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w w:val="98"/>
              </w:rPr>
            </w:pPr>
            <w:hyperlink r:id="rId10">
              <w:r>
                <w:rPr>
                  <w:rFonts w:ascii="Arial" w:cs="Arial" w:eastAsia="Arial" w:hAnsi="Arial"/>
                  <w:sz w:val="24"/>
                  <w:szCs w:val="24"/>
                  <w:u w:val="single" w:color="auto"/>
                  <w:color w:val="0000EE"/>
                  <w:w w:val="98"/>
                </w:rPr>
                <w:t>Opaleye Management Inc.</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05/14/2020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HARROW HEALTH,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HROW</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353"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ONE BOSTON PLACE, 26TH</w:t>
      </w:r>
    </w:p>
    <w:p>
      <w:pPr>
        <w:spacing w:after="0" w:line="4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FLOOR</w:t>
      </w:r>
    </w:p>
    <w:p>
      <w:pPr>
        <w:spacing w:after="0" w:line="38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40" w:type="dxa"/>
            <w:vAlign w:val="bottom"/>
          </w:tcPr>
          <w:p>
            <w:pPr>
              <w:ind w:left="40"/>
              <w:spacing w:after="0"/>
              <w:rPr>
                <w:sz w:val="20"/>
                <w:szCs w:val="20"/>
                <w:color w:val="auto"/>
              </w:rPr>
            </w:pPr>
            <w:r>
              <w:rPr>
                <w:rFonts w:ascii="Arial" w:cs="Arial" w:eastAsia="Arial" w:hAnsi="Arial"/>
                <w:sz w:val="20"/>
                <w:szCs w:val="20"/>
                <w:color w:val="0000FF"/>
              </w:rPr>
              <w:t>BOSTON   MA</w:t>
            </w:r>
          </w:p>
        </w:tc>
        <w:tc>
          <w:tcPr>
            <w:tcW w:w="840" w:type="dxa"/>
            <w:vAlign w:val="bottom"/>
          </w:tcPr>
          <w:p>
            <w:pPr>
              <w:jc w:val="right"/>
              <w:spacing w:after="0"/>
              <w:rPr>
                <w:sz w:val="20"/>
                <w:szCs w:val="20"/>
                <w:color w:val="auto"/>
              </w:rPr>
            </w:pPr>
            <w:r>
              <w:rPr>
                <w:rFonts w:ascii="Arial" w:cs="Arial" w:eastAsia="Arial" w:hAnsi="Arial"/>
                <w:sz w:val="20"/>
                <w:szCs w:val="20"/>
                <w:color w:val="0000FF"/>
              </w:rPr>
              <w:t>02108</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267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2674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2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w w:val="89"/>
              </w:rPr>
              <w:t>Common Stock, $0.001 par value</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jc w:val="right"/>
              <w:ind w:right="217"/>
              <w:spacing w:after="0"/>
              <w:rPr>
                <w:sz w:val="20"/>
                <w:szCs w:val="20"/>
                <w:color w:val="auto"/>
              </w:rPr>
            </w:pPr>
            <w:r>
              <w:rPr>
                <w:rFonts w:ascii="Arial" w:cs="Arial" w:eastAsia="Arial" w:hAnsi="Arial"/>
                <w:sz w:val="20"/>
                <w:szCs w:val="20"/>
                <w:color w:val="0000FF"/>
              </w:rPr>
              <w:t>2,480,500</w:t>
            </w: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Arial" w:cs="Arial" w:eastAsia="Arial" w:hAnsi="Arial"/>
                <w:sz w:val="20"/>
                <w:szCs w:val="20"/>
                <w:color w:val="0000FF"/>
              </w:rPr>
              <w:t>I</w:t>
            </w:r>
          </w:p>
        </w:tc>
        <w:tc>
          <w:tcPr>
            <w:tcW w:w="3360" w:type="dxa"/>
            <w:vAlign w:val="bottom"/>
            <w:tcBorders>
              <w:bottom w:val="single" w:sz="8" w:color="2C2C2C"/>
            </w:tcBorders>
            <w:gridSpan w:val="3"/>
          </w:tcPr>
          <w:p>
            <w:pPr>
              <w:ind w:left="600"/>
              <w:spacing w:after="0"/>
              <w:rPr>
                <w:sz w:val="20"/>
                <w:szCs w:val="20"/>
                <w:color w:val="auto"/>
              </w:rPr>
            </w:pPr>
            <w:r>
              <w:rPr>
                <w:rFonts w:ascii="Arial" w:cs="Arial" w:eastAsia="Arial" w:hAnsi="Arial"/>
                <w:sz w:val="20"/>
                <w:szCs w:val="20"/>
                <w:color w:val="0000FF"/>
              </w:rPr>
              <w:t>By Opaleye, L.P.</w:t>
            </w:r>
            <w:r>
              <w:rPr>
                <w:rFonts w:ascii="Arial" w:cs="Arial" w:eastAsia="Arial" w:hAnsi="Arial"/>
                <w:sz w:val="25"/>
                <w:szCs w:val="25"/>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w w:val="89"/>
              </w:rPr>
              <w:t>Common Stock, $0.001 par value</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jc w:val="right"/>
              <w:ind w:right="297"/>
              <w:spacing w:after="0"/>
              <w:rPr>
                <w:sz w:val="20"/>
                <w:szCs w:val="20"/>
                <w:color w:val="auto"/>
              </w:rPr>
            </w:pPr>
            <w:r>
              <w:rPr>
                <w:rFonts w:ascii="Arial" w:cs="Arial" w:eastAsia="Arial" w:hAnsi="Arial"/>
                <w:sz w:val="20"/>
                <w:szCs w:val="20"/>
                <w:color w:val="0000FF"/>
              </w:rPr>
              <w:t>118,600</w:t>
            </w: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Arial" w:cs="Arial" w:eastAsia="Arial" w:hAnsi="Arial"/>
                <w:sz w:val="20"/>
                <w:szCs w:val="20"/>
                <w:color w:val="0000FF"/>
              </w:rPr>
              <w:t>I</w:t>
            </w:r>
          </w:p>
        </w:tc>
        <w:tc>
          <w:tcPr>
            <w:tcW w:w="3380" w:type="dxa"/>
            <w:vAlign w:val="bottom"/>
            <w:tcBorders>
              <w:bottom w:val="single" w:sz="8" w:color="2C2C2C"/>
            </w:tcBorders>
            <w:gridSpan w:val="4"/>
          </w:tcPr>
          <w:p>
            <w:pPr>
              <w:ind w:left="600"/>
              <w:spacing w:after="0"/>
              <w:rPr>
                <w:sz w:val="20"/>
                <w:szCs w:val="20"/>
                <w:color w:val="auto"/>
              </w:rPr>
            </w:pPr>
            <w:r>
              <w:rPr>
                <w:rFonts w:ascii="Arial" w:cs="Arial" w:eastAsia="Arial" w:hAnsi="Arial"/>
                <w:sz w:val="20"/>
                <w:szCs w:val="20"/>
                <w:color w:val="0000FF"/>
              </w:rPr>
              <w:t>By Managed Account</w:t>
            </w:r>
            <w:r>
              <w:rPr>
                <w:rFonts w:ascii="Arial" w:cs="Arial" w:eastAsia="Arial" w:hAnsi="Arial"/>
                <w:sz w:val="25"/>
                <w:szCs w:val="25"/>
                <w:color w:val="008000"/>
                <w:vertAlign w:val="superscript"/>
              </w:rPr>
              <w:t>(2)</w:t>
            </w: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4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900" w:type="dxa"/>
            <w:vAlign w:val="bottom"/>
            <w:vMerge w:val="restart"/>
          </w:tcPr>
          <w:p>
            <w:pPr>
              <w:ind w:left="32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ind w:left="320"/>
              <w:spacing w:after="0" w:line="161"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90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32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-1380490</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8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72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Represents securities owned directly by Opaleye, L.P. (the "Fund"). As the investment manager of the Fund, Opaleye Management Inc. ("Opaleye") may be deemed to beneficially own the securities owned directly by the Fund.</w:t>
      </w:r>
    </w:p>
    <w:p>
      <w:pPr>
        <w:spacing w:after="0" w:line="26" w:lineRule="exact"/>
        <w:rPr>
          <w:rFonts w:ascii="Arial" w:cs="Arial" w:eastAsia="Arial" w:hAnsi="Arial"/>
          <w:sz w:val="15"/>
          <w:szCs w:val="15"/>
          <w:color w:val="008000"/>
        </w:rPr>
      </w:pPr>
    </w:p>
    <w:p>
      <w:pPr>
        <w:ind w:left="40" w:right="26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Securities owned by a separately managed account (the "Managed Account"). As the portfolio manager of the Managed Account, Opaleye may be deemed to beneficially own the securities owned directly by the Managed Account.</w:t>
      </w:r>
    </w:p>
    <w:p>
      <w:pPr>
        <w:spacing w:after="0" w:line="3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6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0000FF"/>
                <w:w w:val="85"/>
              </w:rPr>
              <w:t>Opaleye, Management</w:t>
            </w: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Arial" w:cs="Arial" w:eastAsia="Arial" w:hAnsi="Arial"/>
                <w:sz w:val="20"/>
                <w:szCs w:val="20"/>
                <w:color w:val="0000FF"/>
              </w:rPr>
              <w:t>Inc., By: /s/ James</w:t>
            </w:r>
          </w:p>
        </w:tc>
        <w:tc>
          <w:tcPr>
            <w:tcW w:w="900" w:type="dxa"/>
            <w:vAlign w:val="bottom"/>
          </w:tcPr>
          <w:p>
            <w:pPr>
              <w:spacing w:after="0" w:line="220" w:lineRule="exact"/>
              <w:rPr>
                <w:sz w:val="20"/>
                <w:szCs w:val="20"/>
                <w:color w:val="auto"/>
              </w:rPr>
            </w:pPr>
            <w:r>
              <w:rPr>
                <w:rFonts w:ascii="Arial" w:cs="Arial" w:eastAsia="Arial" w:hAnsi="Arial"/>
                <w:sz w:val="20"/>
                <w:szCs w:val="20"/>
                <w:color w:val="0000FF"/>
                <w:w w:val="87"/>
              </w:rPr>
              <w:t>05/22/2020</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1620" w:type="dxa"/>
            <w:vAlign w:val="bottom"/>
            <w:tcBorders>
              <w:bottom w:val="single" w:sz="8" w:color="auto"/>
            </w:tcBorders>
            <w:gridSpan w:val="2"/>
          </w:tcPr>
          <w:p>
            <w:pPr>
              <w:spacing w:after="0" w:line="220" w:lineRule="exact"/>
              <w:rPr>
                <w:sz w:val="20"/>
                <w:szCs w:val="20"/>
                <w:color w:val="auto"/>
              </w:rPr>
            </w:pPr>
            <w:r>
              <w:rPr>
                <w:rFonts w:ascii="Arial" w:cs="Arial" w:eastAsia="Arial" w:hAnsi="Arial"/>
                <w:sz w:val="20"/>
                <w:szCs w:val="20"/>
                <w:color w:val="0000FF"/>
                <w:w w:val="86"/>
              </w:rPr>
              <w:t>Silverman, President</w:t>
            </w:r>
          </w:p>
        </w:tc>
        <w:tc>
          <w:tcPr>
            <w:tcW w:w="560" w:type="dxa"/>
            <w:vAlign w:val="bottom"/>
            <w:gridSpan w:val="2"/>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6"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595855" TargetMode="External"/><Relationship Id="rId11"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2020-05-22T18:21:52Z</dcterms:created>
  <dcterms:modified xsi:type="dcterms:W3CDTF">2020-05-22T18:21:52Z</dcterms:modified>
</cp:coreProperties>
</file>