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Opaleye Management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BOSTON PLACE, 26TH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HARROW, INC.</w:t>
              </w:r>
            </w:hyperlink>
            <w:r>
              <w:rPr/>
              <w:t xml:space="preserve"> [ </w:t>
            </w:r>
            <w:r>
              <w:rPr>
                <w:rFonts w:ascii="Times;serif" w:hAnsi="Times;serif"/>
                <w:color w:val="0000FF"/>
                <w:sz w:val="24"/>
                <w:shd w:fill="FFFFFF" w:val="clear"/>
              </w:rPr>
              <w:t>HROW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831"/>
        <w:gridCol w:w="443"/>
        <w:gridCol w:w="748"/>
        <w:gridCol w:w="1264"/>
        <w:gridCol w:w="983"/>
        <w:gridCol w:w="106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03/18/2025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29.64</w:t>
            </w:r>
            <w:r>
              <w:rPr/>
              <w:t xml:space="preserve"> </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145,000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w:t>
            </w:r>
            <w:r>
              <w:rPr>
                <w:rFonts w:ascii="Times;serif" w:hAnsi="Times;serif"/>
                <w:color w:val="008000"/>
                <w:position w:val="7"/>
                <w:sz w:val="16"/>
                <w:sz w:val="20"/>
                <w:shd w:fill="FFFFFF" w:val="clear"/>
              </w:rPr>
              <w:t>(1)(3)</w:t>
            </w:r>
            <w:r>
              <w:rPr/>
              <w:t xml:space="preserve"> </w:t>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3,810,000</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Opaleye, L.P.</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securities owned directly by Opaleye, L.P. (the "Fund"). As the investment manager of the Fund, Opaleye Management Inc.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Opaleye, L.P. (the "Fund"). As the investment manager of the Fund, Opaleye Management Inc.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Opaleye Management Inc., By: /s/ James Silverman,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5855" TargetMode="External"/><Relationship Id="rId5" Type="http://schemas.openxmlformats.org/officeDocument/2006/relationships/hyperlink" Target="http://www.sec.gov/cgi-bin/browse-edgar?action=getcompany&amp;CIK=00013602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713</Words>
  <Characters>3846</Characters>
  <CharactersWithSpaces>4495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