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___)*</w:t>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Harrow,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415858109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November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0"/>
          <w:szCs w:val="20"/>
          <w:color w:val="auto"/>
        </w:rPr>
        <w:t>[_] Rule 13d-1(b)</w:t>
      </w:r>
    </w:p>
    <w:p>
      <w:pPr>
        <w:spacing w:after="0" w:line="229" w:lineRule="exact"/>
        <w:rPr>
          <w:sz w:val="24"/>
          <w:szCs w:val="24"/>
          <w:color w:val="auto"/>
        </w:rPr>
      </w:pPr>
    </w:p>
    <w:p>
      <w:pPr>
        <w:jc w:val="both"/>
        <w:ind w:left="1240" w:right="8540" w:firstLine="10"/>
        <w:spacing w:after="0" w:line="479" w:lineRule="auto"/>
        <w:tabs>
          <w:tab w:leader="none" w:pos="157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13d-1(c) [_] Rule 13d-1(d)</w:t>
      </w: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3232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CUSIP No. 415858109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32320" cy="6335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3353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60" w:right="8240" w:hanging="559"/>
        <w:spacing w:after="0" w:line="415" w:lineRule="auto"/>
        <w:tabs>
          <w:tab w:leader="none" w:pos="56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Names of Reporting Persons </w:t>
      </w:r>
      <w:r>
        <w:rPr>
          <w:rFonts w:ascii="Times New Roman" w:cs="Times New Roman" w:eastAsia="Times New Roman" w:hAnsi="Times New Roman"/>
          <w:sz w:val="20"/>
          <w:szCs w:val="20"/>
          <w:color w:val="auto"/>
        </w:rPr>
        <w:t>Daniel Kaufman</w:t>
      </w:r>
    </w:p>
    <w:p>
      <w:pPr>
        <w:spacing w:after="0" w:line="1" w:lineRule="exact"/>
        <w:rPr>
          <w:sz w:val="20"/>
          <w:szCs w:val="20"/>
          <w:color w:val="auto"/>
        </w:rPr>
      </w:pPr>
    </w:p>
    <w:p>
      <w:pPr>
        <w:ind w:left="560" w:hanging="559"/>
        <w:spacing w:after="0"/>
        <w:tabs>
          <w:tab w:leader="none" w:pos="56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Check the appropriate box if a member of a Group (see instructions)</w:t>
      </w:r>
    </w:p>
    <w:p>
      <w:pPr>
        <w:spacing w:after="0" w:line="165" w:lineRule="exact"/>
        <w:rPr>
          <w:rFonts w:ascii="Times New Roman" w:cs="Times New Roman" w:eastAsia="Times New Roman" w:hAnsi="Times New Roman"/>
          <w:sz w:val="20"/>
          <w:szCs w:val="20"/>
          <w:b w:val="1"/>
          <w:bCs w:val="1"/>
          <w:color w:val="auto"/>
        </w:rPr>
      </w:pPr>
    </w:p>
    <w:p>
      <w:pPr>
        <w:ind w:left="1200" w:hanging="324"/>
        <w:spacing w:after="0"/>
        <w:tabs>
          <w:tab w:leader="none" w:pos="12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1" w:lineRule="exact"/>
        <w:rPr>
          <w:rFonts w:ascii="Times New Roman" w:cs="Times New Roman" w:eastAsia="Times New Roman" w:hAnsi="Times New Roman"/>
          <w:sz w:val="20"/>
          <w:szCs w:val="20"/>
          <w:color w:val="auto"/>
        </w:rPr>
      </w:pPr>
    </w:p>
    <w:p>
      <w:pPr>
        <w:ind w:left="1200" w:hanging="324"/>
        <w:spacing w:after="0"/>
        <w:tabs>
          <w:tab w:leader="none" w:pos="12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149" w:lineRule="exact"/>
        <w:rPr>
          <w:sz w:val="20"/>
          <w:szCs w:val="20"/>
          <w:color w:val="auto"/>
        </w:rPr>
      </w:pPr>
    </w:p>
    <w:p>
      <w:pPr>
        <w:ind w:left="560" w:hanging="559"/>
        <w:spacing w:after="0"/>
        <w:tabs>
          <w:tab w:leader="none" w:pos="5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 Use Only</w:t>
      </w:r>
    </w:p>
    <w:p>
      <w:pPr>
        <w:spacing w:after="0" w:line="200" w:lineRule="exact"/>
        <w:rPr>
          <w:sz w:val="20"/>
          <w:szCs w:val="20"/>
          <w:color w:val="auto"/>
        </w:rPr>
      </w:pPr>
    </w:p>
    <w:p>
      <w:pPr>
        <w:spacing w:after="0" w:line="353" w:lineRule="exact"/>
        <w:rPr>
          <w:sz w:val="20"/>
          <w:szCs w:val="20"/>
          <w:color w:val="auto"/>
        </w:rPr>
      </w:pPr>
    </w:p>
    <w:p>
      <w:pPr>
        <w:ind w:left="560" w:right="7580" w:hanging="559"/>
        <w:spacing w:after="0" w:line="415" w:lineRule="auto"/>
        <w:tabs>
          <w:tab w:leader="none" w:pos="56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Citizenship or Place of Organization </w:t>
      </w:r>
      <w:r>
        <w:rPr>
          <w:rFonts w:ascii="Times New Roman" w:cs="Times New Roman" w:eastAsia="Times New Roman" w:hAnsi="Times New Roman"/>
          <w:sz w:val="20"/>
          <w:szCs w:val="20"/>
          <w:color w:val="auto"/>
        </w:rPr>
        <w:t>United States</w:t>
      </w:r>
    </w:p>
    <w:p>
      <w:pPr>
        <w:spacing w:after="0" w:line="1" w:lineRule="exact"/>
        <w:rPr>
          <w:rFonts w:ascii="Times New Roman" w:cs="Times New Roman" w:eastAsia="Times New Roman" w:hAnsi="Times New Roman"/>
          <w:sz w:val="20"/>
          <w:szCs w:val="20"/>
          <w:b w:val="1"/>
          <w:bCs w:val="1"/>
          <w:color w:val="auto"/>
        </w:rPr>
      </w:pPr>
    </w:p>
    <w:p>
      <w:pPr>
        <w:ind w:left="20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19"/>
          <w:szCs w:val="19"/>
          <w:b w:val="1"/>
          <w:bCs w:val="1"/>
          <w:color w:val="auto"/>
        </w:rPr>
        <w:t>Sole Voting Power</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58"/>
        </w:trPr>
        <w:tc>
          <w:tcPr>
            <w:tcW w:w="1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7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1,885,032</w:t>
            </w:r>
          </w:p>
        </w:tc>
        <w:tc>
          <w:tcPr>
            <w:tcW w:w="0" w:type="dxa"/>
            <w:vAlign w:val="bottom"/>
          </w:tcPr>
          <w:p>
            <w:pPr>
              <w:spacing w:after="0"/>
              <w:rPr>
                <w:sz w:val="1"/>
                <w:szCs w:val="1"/>
                <w:color w:val="auto"/>
              </w:rPr>
            </w:pPr>
          </w:p>
        </w:tc>
      </w:tr>
      <w:tr>
        <w:trPr>
          <w:trHeight w:val="75"/>
        </w:trPr>
        <w:tc>
          <w:tcPr>
            <w:tcW w:w="18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1840" w:type="dxa"/>
            <w:vAlign w:val="bottom"/>
            <w:vMerge w:val="restart"/>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Number of Shares</w:t>
            </w:r>
          </w:p>
        </w:tc>
        <w:tc>
          <w:tcPr>
            <w:tcW w:w="42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79"/>
              </w:rPr>
              <w:t>6</w:t>
            </w:r>
          </w:p>
        </w:tc>
        <w:tc>
          <w:tcPr>
            <w:tcW w:w="878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Shared Voting Power</w:t>
            </w:r>
          </w:p>
        </w:tc>
        <w:tc>
          <w:tcPr>
            <w:tcW w:w="0" w:type="dxa"/>
            <w:vAlign w:val="bottom"/>
          </w:tcPr>
          <w:p>
            <w:pPr>
              <w:spacing w:after="0"/>
              <w:rPr>
                <w:sz w:val="1"/>
                <w:szCs w:val="1"/>
                <w:color w:val="auto"/>
              </w:rPr>
            </w:pPr>
          </w:p>
        </w:tc>
      </w:tr>
      <w:tr>
        <w:trPr>
          <w:trHeight w:val="48"/>
        </w:trPr>
        <w:tc>
          <w:tcPr>
            <w:tcW w:w="18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8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840" w:type="dxa"/>
            <w:vAlign w:val="bottom"/>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8"/>
              </w:rPr>
              <w:t>Beneficially Owned</w:t>
            </w:r>
          </w:p>
        </w:tc>
        <w:tc>
          <w:tcPr>
            <w:tcW w:w="4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vMerge w:val="restart"/>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by Each Reporting</w:t>
            </w:r>
          </w:p>
        </w:tc>
        <w:tc>
          <w:tcPr>
            <w:tcW w:w="420" w:type="dxa"/>
            <w:vAlign w:val="bottom"/>
            <w:tcBorders>
              <w:bottom w:val="single" w:sz="8" w:color="auto"/>
            </w:tcBorders>
          </w:tcPr>
          <w:p>
            <w:pPr>
              <w:spacing w:after="0"/>
              <w:rPr>
                <w:sz w:val="15"/>
                <w:szCs w:val="15"/>
                <w:color w:val="auto"/>
              </w:rPr>
            </w:pPr>
          </w:p>
        </w:tc>
        <w:tc>
          <w:tcPr>
            <w:tcW w:w="8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8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1840" w:type="dxa"/>
            <w:vAlign w:val="bottom"/>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8"/>
              </w:rPr>
              <w:t>Person With:</w:t>
            </w:r>
          </w:p>
        </w:tc>
        <w:tc>
          <w:tcPr>
            <w:tcW w:w="42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79"/>
              </w:rPr>
              <w:t>7</w:t>
            </w:r>
          </w:p>
        </w:tc>
        <w:tc>
          <w:tcPr>
            <w:tcW w:w="878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Sole Dispositive Power</w:t>
            </w:r>
          </w:p>
        </w:tc>
        <w:tc>
          <w:tcPr>
            <w:tcW w:w="0" w:type="dxa"/>
            <w:vAlign w:val="bottom"/>
          </w:tcPr>
          <w:p>
            <w:pPr>
              <w:spacing w:after="0"/>
              <w:rPr>
                <w:sz w:val="1"/>
                <w:szCs w:val="1"/>
                <w:color w:val="auto"/>
              </w:rPr>
            </w:pPr>
          </w:p>
        </w:tc>
      </w:tr>
      <w:tr>
        <w:trPr>
          <w:trHeight w:val="391"/>
        </w:trPr>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1,885,032</w:t>
            </w:r>
          </w:p>
        </w:tc>
        <w:tc>
          <w:tcPr>
            <w:tcW w:w="0" w:type="dxa"/>
            <w:vAlign w:val="bottom"/>
          </w:tcPr>
          <w:p>
            <w:pPr>
              <w:spacing w:after="0"/>
              <w:rPr>
                <w:sz w:val="1"/>
                <w:szCs w:val="1"/>
                <w:color w:val="auto"/>
              </w:rPr>
            </w:pPr>
          </w:p>
        </w:tc>
      </w:tr>
      <w:tr>
        <w:trPr>
          <w:trHeight w:val="75"/>
        </w:trPr>
        <w:tc>
          <w:tcPr>
            <w:tcW w:w="18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1840" w:type="dxa"/>
            <w:vAlign w:val="bottom"/>
          </w:tcPr>
          <w:p>
            <w:pPr>
              <w:spacing w:after="0"/>
              <w:rPr>
                <w:sz w:val="24"/>
                <w:szCs w:val="24"/>
                <w:color w:val="auto"/>
              </w:rPr>
            </w:pPr>
          </w:p>
        </w:tc>
        <w:tc>
          <w:tcPr>
            <w:tcW w:w="42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79"/>
              </w:rPr>
              <w:t>8</w:t>
            </w:r>
          </w:p>
        </w:tc>
        <w:tc>
          <w:tcPr>
            <w:tcW w:w="878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Shared Dispositive Power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560" w:right="5080" w:hanging="559"/>
        <w:spacing w:after="0" w:line="415" w:lineRule="auto"/>
        <w:tabs>
          <w:tab w:leader="none" w:pos="56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Aggregate Amount Beneficially Owned by Each Reporting Person </w:t>
      </w:r>
      <w:r>
        <w:rPr>
          <w:rFonts w:ascii="Times New Roman" w:cs="Times New Roman" w:eastAsia="Times New Roman" w:hAnsi="Times New Roman"/>
          <w:sz w:val="20"/>
          <w:szCs w:val="20"/>
          <w:color w:val="auto"/>
        </w:rPr>
        <w:t>1,885,032</w:t>
      </w:r>
    </w:p>
    <w:p>
      <w:pPr>
        <w:spacing w:after="0" w:line="1" w:lineRule="exact"/>
        <w:rPr>
          <w:sz w:val="20"/>
          <w:szCs w:val="20"/>
          <w:color w:val="auto"/>
        </w:rPr>
      </w:pPr>
    </w:p>
    <w:p>
      <w:pPr>
        <w:ind w:left="560" w:right="3300" w:hanging="559"/>
        <w:spacing w:after="0" w:line="415" w:lineRule="auto"/>
        <w:tabs>
          <w:tab w:leader="none" w:pos="56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Check box if the aggregate amount in row (9) excludes certain shares (See Instructions) </w:t>
      </w:r>
      <w:r>
        <w:rPr>
          <w:rFonts w:ascii="Times New Roman" w:cs="Times New Roman" w:eastAsia="Times New Roman" w:hAnsi="Times New Roman"/>
          <w:sz w:val="20"/>
          <w:szCs w:val="20"/>
          <w:color w:val="auto"/>
        </w:rPr>
        <w:t>[ ]</w:t>
      </w:r>
    </w:p>
    <w:p>
      <w:pPr>
        <w:spacing w:after="0" w:line="1" w:lineRule="exact"/>
        <w:rPr>
          <w:rFonts w:ascii="Times New Roman" w:cs="Times New Roman" w:eastAsia="Times New Roman" w:hAnsi="Times New Roman"/>
          <w:sz w:val="20"/>
          <w:szCs w:val="20"/>
          <w:b w:val="1"/>
          <w:bCs w:val="1"/>
          <w:color w:val="auto"/>
        </w:rPr>
      </w:pPr>
    </w:p>
    <w:p>
      <w:pPr>
        <w:ind w:left="560" w:hanging="559"/>
        <w:spacing w:after="0"/>
        <w:tabs>
          <w:tab w:leader="none" w:pos="56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Percent of class represented by amount in row (9)</w:t>
      </w:r>
    </w:p>
    <w:p>
      <w:pPr>
        <w:spacing w:after="0" w:line="165" w:lineRule="exact"/>
        <w:rPr>
          <w:rFonts w:ascii="Times New Roman" w:cs="Times New Roman" w:eastAsia="Times New Roman" w:hAnsi="Times New Roman"/>
          <w:sz w:val="20"/>
          <w:szCs w:val="20"/>
          <w:b w:val="1"/>
          <w:bCs w:val="1"/>
          <w:color w:val="auto"/>
        </w:rPr>
      </w:pPr>
    </w:p>
    <w:p>
      <w:pPr>
        <w:ind w:left="560" w:right="400"/>
        <w:spacing w:after="0" w:line="29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5.37% (</w:t>
      </w:r>
      <w:r>
        <w:rPr>
          <w:rFonts w:ascii="Times New Roman" w:cs="Times New Roman" w:eastAsia="Times New Roman" w:hAnsi="Times New Roman"/>
          <w:sz w:val="17"/>
          <w:szCs w:val="17"/>
          <w:color w:val="auto"/>
        </w:rPr>
        <w:t>Based upon 35,117,746 shares of common stock outstanding on November 13, 2023 as reported by the Issuer in a 10-Q for the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ending on 9/30/2023 filed with the Securities and Exchange Commission)</w:t>
      </w:r>
    </w:p>
    <w:p>
      <w:pPr>
        <w:spacing w:after="0" w:line="99" w:lineRule="exact"/>
        <w:rPr>
          <w:rFonts w:ascii="Times New Roman" w:cs="Times New Roman" w:eastAsia="Times New Roman" w:hAnsi="Times New Roman"/>
          <w:sz w:val="20"/>
          <w:szCs w:val="20"/>
          <w:b w:val="1"/>
          <w:bCs w:val="1"/>
          <w:color w:val="auto"/>
        </w:rPr>
      </w:pPr>
    </w:p>
    <w:p>
      <w:pPr>
        <w:ind w:left="560" w:right="6940" w:hanging="559"/>
        <w:spacing w:after="0" w:line="442" w:lineRule="auto"/>
        <w:tabs>
          <w:tab w:leader="none" w:pos="56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Type of Reporting Person (See Instructions) </w:t>
      </w:r>
      <w:r>
        <w:rPr>
          <w:rFonts w:ascii="Times New Roman" w:cs="Times New Roman" w:eastAsia="Times New Roman" w:hAnsi="Times New Roman"/>
          <w:sz w:val="20"/>
          <w:szCs w:val="20"/>
          <w:color w:val="auto"/>
        </w:rPr>
        <w:t>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57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1.</w:t>
      </w:r>
    </w:p>
    <w:p>
      <w:pPr>
        <w:spacing w:after="0" w:line="216"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Name of Issuer: </w:t>
      </w:r>
      <w:r>
        <w:rPr>
          <w:rFonts w:ascii="Times New Roman" w:cs="Times New Roman" w:eastAsia="Times New Roman" w:hAnsi="Times New Roman"/>
          <w:sz w:val="20"/>
          <w:szCs w:val="20"/>
          <w:color w:val="auto"/>
        </w:rPr>
        <w:t>Harrow, Inc.</w:t>
      </w:r>
    </w:p>
    <w:p>
      <w:pPr>
        <w:spacing w:after="0" w:line="215"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Address of Issuer’s Principal Executive Offices: </w:t>
      </w:r>
      <w:r>
        <w:rPr>
          <w:rFonts w:ascii="Times New Roman" w:cs="Times New Roman" w:eastAsia="Times New Roman" w:hAnsi="Times New Roman"/>
          <w:sz w:val="20"/>
          <w:szCs w:val="20"/>
          <w:color w:val="auto"/>
        </w:rPr>
        <w:t>102 Woodmont Blvd, Ste 610, Nashville, TN 37205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16" w:lineRule="exact"/>
        <w:rPr>
          <w:sz w:val="20"/>
          <w:szCs w:val="20"/>
          <w:color w:val="auto"/>
        </w:rPr>
      </w:pPr>
    </w:p>
    <w:p>
      <w:pPr>
        <w:ind w:left="620" w:hanging="612"/>
        <w:spacing w:after="0"/>
        <w:tabs>
          <w:tab w:leader="none" w:pos="62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Name of Person Filing: </w:t>
      </w:r>
      <w:r>
        <w:rPr>
          <w:rFonts w:ascii="Times New Roman" w:cs="Times New Roman" w:eastAsia="Times New Roman" w:hAnsi="Times New Roman"/>
          <w:sz w:val="20"/>
          <w:szCs w:val="20"/>
          <w:color w:val="auto"/>
        </w:rPr>
        <w:t>Daniel Kaufman</w:t>
      </w:r>
    </w:p>
    <w:p>
      <w:pPr>
        <w:spacing w:after="0" w:line="215" w:lineRule="exact"/>
        <w:rPr>
          <w:rFonts w:ascii="Times New Roman" w:cs="Times New Roman" w:eastAsia="Times New Roman" w:hAnsi="Times New Roman"/>
          <w:sz w:val="20"/>
          <w:szCs w:val="20"/>
          <w:b w:val="1"/>
          <w:bCs w:val="1"/>
          <w:color w:val="auto"/>
        </w:rPr>
      </w:pPr>
    </w:p>
    <w:p>
      <w:pPr>
        <w:ind w:left="620" w:hanging="612"/>
        <w:spacing w:after="0"/>
        <w:tabs>
          <w:tab w:leader="none" w:pos="62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Address of Principal Business Office or, if None, Residence: </w:t>
      </w:r>
      <w:r>
        <w:rPr>
          <w:rFonts w:ascii="Times New Roman" w:cs="Times New Roman" w:eastAsia="Times New Roman" w:hAnsi="Times New Roman"/>
          <w:sz w:val="20"/>
          <w:szCs w:val="20"/>
          <w:color w:val="auto"/>
        </w:rPr>
        <w:t>PO Box 495, Palmer PR 00721</w:t>
      </w:r>
    </w:p>
    <w:p>
      <w:pPr>
        <w:spacing w:after="0" w:line="215" w:lineRule="exact"/>
        <w:rPr>
          <w:rFonts w:ascii="Times New Roman" w:cs="Times New Roman" w:eastAsia="Times New Roman" w:hAnsi="Times New Roman"/>
          <w:sz w:val="20"/>
          <w:szCs w:val="20"/>
          <w:b w:val="1"/>
          <w:bCs w:val="1"/>
          <w:color w:val="auto"/>
        </w:rPr>
      </w:pPr>
    </w:p>
    <w:p>
      <w:pPr>
        <w:ind w:left="600" w:hanging="592"/>
        <w:spacing w:after="0"/>
        <w:tabs>
          <w:tab w:leader="none" w:pos="6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Citizenship: </w:t>
      </w:r>
      <w:r>
        <w:rPr>
          <w:rFonts w:ascii="Times New Roman" w:cs="Times New Roman" w:eastAsia="Times New Roman" w:hAnsi="Times New Roman"/>
          <w:sz w:val="20"/>
          <w:szCs w:val="20"/>
          <w:color w:val="auto"/>
        </w:rPr>
        <w:t>United States</w:t>
      </w:r>
    </w:p>
    <w:p>
      <w:pPr>
        <w:spacing w:after="0" w:line="215" w:lineRule="exact"/>
        <w:rPr>
          <w:rFonts w:ascii="Times New Roman" w:cs="Times New Roman" w:eastAsia="Times New Roman" w:hAnsi="Times New Roman"/>
          <w:sz w:val="20"/>
          <w:szCs w:val="20"/>
          <w:b w:val="1"/>
          <w:bCs w:val="1"/>
          <w:color w:val="auto"/>
        </w:rPr>
      </w:pPr>
    </w:p>
    <w:p>
      <w:pPr>
        <w:ind w:left="620" w:hanging="612"/>
        <w:spacing w:after="0"/>
        <w:tabs>
          <w:tab w:leader="none" w:pos="62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Title and Class of Securities: </w:t>
      </w:r>
      <w:r>
        <w:rPr>
          <w:rFonts w:ascii="Times New Roman" w:cs="Times New Roman" w:eastAsia="Times New Roman" w:hAnsi="Times New Roman"/>
          <w:sz w:val="20"/>
          <w:szCs w:val="20"/>
          <w:color w:val="auto"/>
        </w:rPr>
        <w:t>Common Stock, $0.001 par value per share</w:t>
      </w:r>
    </w:p>
    <w:p>
      <w:pPr>
        <w:spacing w:after="0" w:line="215" w:lineRule="exact"/>
        <w:rPr>
          <w:rFonts w:ascii="Times New Roman" w:cs="Times New Roman" w:eastAsia="Times New Roman" w:hAnsi="Times New Roman"/>
          <w:sz w:val="20"/>
          <w:szCs w:val="20"/>
          <w:b w:val="1"/>
          <w:bCs w:val="1"/>
          <w:color w:val="auto"/>
        </w:rPr>
      </w:pPr>
    </w:p>
    <w:p>
      <w:pPr>
        <w:ind w:left="600" w:hanging="592"/>
        <w:spacing w:after="0"/>
        <w:tabs>
          <w:tab w:leader="none" w:pos="6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CUSIP No.: </w:t>
      </w:r>
      <w:r>
        <w:rPr>
          <w:rFonts w:ascii="Times New Roman" w:cs="Times New Roman" w:eastAsia="Times New Roman" w:hAnsi="Times New Roman"/>
          <w:sz w:val="20"/>
          <w:szCs w:val="20"/>
          <w:color w:val="auto"/>
        </w:rPr>
        <w:t>415858109</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 240.13d-1(b) or 240.13d-2(b) or (c), check whether the person filing is a:</w:t>
      </w:r>
    </w:p>
    <w:p>
      <w:pPr>
        <w:spacing w:after="0" w:line="220" w:lineRule="exact"/>
        <w:rPr>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w:t>
      </w:r>
      <w:r>
        <w:rPr>
          <w:rFonts w:ascii="Times New Roman" w:cs="Times New Roman" w:eastAsia="Times New Roman" w:hAnsi="Times New Roman"/>
          <w:sz w:val="19"/>
          <w:szCs w:val="19"/>
          <w:color w:val="auto"/>
        </w:rPr>
        <w:t>Broker or dealer registered under Section 15 of the Act;</w:t>
      </w:r>
    </w:p>
    <w:p>
      <w:pPr>
        <w:spacing w:after="0" w:line="215"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w:t>
      </w:r>
      <w:r>
        <w:rPr>
          <w:rFonts w:ascii="Times New Roman" w:cs="Times New Roman" w:eastAsia="Times New Roman" w:hAnsi="Times New Roman"/>
          <w:sz w:val="19"/>
          <w:szCs w:val="19"/>
          <w:color w:val="auto"/>
        </w:rPr>
        <w:t>Bank as defined in Section 3(a)(6) of the Act;</w:t>
      </w:r>
    </w:p>
    <w:p>
      <w:pPr>
        <w:spacing w:after="0" w:line="215"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w:t>
      </w:r>
      <w:r>
        <w:rPr>
          <w:rFonts w:ascii="Times New Roman" w:cs="Times New Roman" w:eastAsia="Times New Roman" w:hAnsi="Times New Roman"/>
          <w:sz w:val="19"/>
          <w:szCs w:val="19"/>
          <w:color w:val="auto"/>
        </w:rPr>
        <w:t>Insurance company as defined in Section 3(a)(19) of the Act;</w:t>
      </w:r>
    </w:p>
    <w:p>
      <w:pPr>
        <w:spacing w:after="0" w:line="215"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w:t>
      </w:r>
      <w:r>
        <w:rPr>
          <w:rFonts w:ascii="Times New Roman" w:cs="Times New Roman" w:eastAsia="Times New Roman" w:hAnsi="Times New Roman"/>
          <w:sz w:val="19"/>
          <w:szCs w:val="19"/>
          <w:color w:val="auto"/>
        </w:rPr>
        <w:t>Investment company registered under Section 8 of the Investment Company Act of 1940;</w:t>
      </w:r>
    </w:p>
    <w:p>
      <w:pPr>
        <w:spacing w:after="0" w:line="215"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An investment adviser in accordance with Rule 13d-1(b)(1)(ii)(E);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An employee benefit plan or endowment fund in accordance with Rule 13d-1(b)(1)(ii)(F);</w:t>
      </w:r>
    </w:p>
    <w:p>
      <w:pPr>
        <w:spacing w:after="0" w:line="215"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parent holding company or control person in accordance with Rule 13d-1(b)(1)(ii)(G);</w:t>
      </w:r>
    </w:p>
    <w:p>
      <w:pPr>
        <w:spacing w:after="0" w:line="215"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savings associations as defined in Section 3(b) of the Federal Deposit Insurance Act (12 U.S.C. 1813);</w:t>
      </w:r>
    </w:p>
    <w:p>
      <w:pPr>
        <w:spacing w:after="0" w:line="215" w:lineRule="exact"/>
        <w:rPr>
          <w:rFonts w:ascii="Times New Roman" w:cs="Times New Roman" w:eastAsia="Times New Roman" w:hAnsi="Times New Roman"/>
          <w:sz w:val="20"/>
          <w:szCs w:val="20"/>
          <w:color w:val="auto"/>
        </w:rPr>
      </w:pPr>
    </w:p>
    <w:p>
      <w:pPr>
        <w:ind w:left="1960" w:hanging="1304"/>
        <w:spacing w:after="0" w:line="269" w:lineRule="auto"/>
        <w:tabs>
          <w:tab w:leader="none" w:pos="129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church plan that is excluded from the definition of an investment company under section 3(c)(14) of the Investment Company Act of 1940;</w:t>
      </w:r>
    </w:p>
    <w:p>
      <w:pPr>
        <w:spacing w:after="0" w:line="159"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non-U.S. institution in accordance with Rule 240.13d-1(b)(1)(ii)(J);</w:t>
      </w:r>
    </w:p>
    <w:p>
      <w:pPr>
        <w:spacing w:after="0" w:line="215" w:lineRule="exact"/>
        <w:rPr>
          <w:rFonts w:ascii="Times New Roman" w:cs="Times New Roman" w:eastAsia="Times New Roman" w:hAnsi="Times New Roman"/>
          <w:sz w:val="20"/>
          <w:szCs w:val="20"/>
          <w:color w:val="auto"/>
        </w:rPr>
      </w:pPr>
    </w:p>
    <w:p>
      <w:pPr>
        <w:ind w:left="1960" w:right="340" w:hanging="1304"/>
        <w:spacing w:after="0" w:line="269" w:lineRule="auto"/>
        <w:tabs>
          <w:tab w:leader="none" w:pos="129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Group, in accordance with Rule 240.13d-1(b)(1)(ii)(K). If filing as a non-U.S. institution in accordance with Rule 240.13d-1(b)(1)(ii)(J), please specify the type of institution: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64"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Item 4. Ownership</w:t>
      </w:r>
    </w:p>
    <w:p>
      <w:pPr>
        <w:spacing w:after="0" w:line="216" w:lineRule="exact"/>
        <w:rPr>
          <w:sz w:val="20"/>
          <w:szCs w:val="20"/>
          <w:color w:val="auto"/>
        </w:rPr>
      </w:pPr>
    </w:p>
    <w:p>
      <w:pPr>
        <w:ind w:left="620" w:hanging="612"/>
        <w:spacing w:after="0"/>
        <w:tabs>
          <w:tab w:leader="none" w:pos="62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Amount Beneficially Owned:   </w:t>
      </w:r>
      <w:r>
        <w:rPr>
          <w:rFonts w:ascii="Times New Roman" w:cs="Times New Roman" w:eastAsia="Times New Roman" w:hAnsi="Times New Roman"/>
          <w:sz w:val="20"/>
          <w:szCs w:val="20"/>
          <w:color w:val="auto"/>
        </w:rPr>
        <w:t>1,885,032</w:t>
      </w:r>
    </w:p>
    <w:p>
      <w:pPr>
        <w:spacing w:after="0" w:line="215" w:lineRule="exact"/>
        <w:rPr>
          <w:rFonts w:ascii="Times New Roman" w:cs="Times New Roman" w:eastAsia="Times New Roman" w:hAnsi="Times New Roman"/>
          <w:sz w:val="20"/>
          <w:szCs w:val="20"/>
          <w:b w:val="1"/>
          <w:bCs w:val="1"/>
          <w:color w:val="auto"/>
        </w:rPr>
      </w:pPr>
    </w:p>
    <w:p>
      <w:pPr>
        <w:ind w:left="600" w:hanging="592"/>
        <w:spacing w:after="0"/>
        <w:tabs>
          <w:tab w:leader="none" w:pos="60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Percent of Class: </w:t>
      </w:r>
      <w:r>
        <w:rPr>
          <w:rFonts w:ascii="Times New Roman" w:cs="Times New Roman" w:eastAsia="Times New Roman" w:hAnsi="Times New Roman"/>
          <w:sz w:val="20"/>
          <w:szCs w:val="20"/>
          <w:color w:val="auto"/>
        </w:rPr>
        <w:t>5.37%</w:t>
      </w:r>
    </w:p>
    <w:p>
      <w:pPr>
        <w:spacing w:after="0" w:line="215" w:lineRule="exact"/>
        <w:rPr>
          <w:rFonts w:ascii="Times New Roman" w:cs="Times New Roman" w:eastAsia="Times New Roman" w:hAnsi="Times New Roman"/>
          <w:sz w:val="20"/>
          <w:szCs w:val="20"/>
          <w:b w:val="1"/>
          <w:bCs w:val="1"/>
          <w:color w:val="auto"/>
        </w:rPr>
      </w:pPr>
    </w:p>
    <w:p>
      <w:pPr>
        <w:ind w:left="580" w:hanging="572"/>
        <w:spacing w:after="0"/>
        <w:tabs>
          <w:tab w:leader="none" w:pos="58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Number of shares as to which such person has:</w:t>
      </w:r>
    </w:p>
    <w:p>
      <w:pPr>
        <w:spacing w:after="0" w:line="215" w:lineRule="exact"/>
        <w:rPr>
          <w:rFonts w:ascii="Times New Roman" w:cs="Times New Roman" w:eastAsia="Times New Roman" w:hAnsi="Times New Roman"/>
          <w:sz w:val="20"/>
          <w:szCs w:val="20"/>
          <w:b w:val="1"/>
          <w:bCs w:val="1"/>
          <w:color w:val="auto"/>
        </w:rPr>
      </w:pPr>
    </w:p>
    <w:p>
      <w:pPr>
        <w:ind w:left="1080" w:hanging="478"/>
        <w:spacing w:after="0"/>
        <w:tabs>
          <w:tab w:leader="none" w:pos="108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Sole power to vote or to direct the vote: </w:t>
      </w:r>
      <w:r>
        <w:rPr>
          <w:rFonts w:ascii="Times New Roman" w:cs="Times New Roman" w:eastAsia="Times New Roman" w:hAnsi="Times New Roman"/>
          <w:sz w:val="20"/>
          <w:szCs w:val="20"/>
          <w:color w:val="auto"/>
        </w:rPr>
        <w:t>1,885,032</w:t>
      </w:r>
    </w:p>
    <w:p>
      <w:pPr>
        <w:spacing w:after="0" w:line="215" w:lineRule="exact"/>
        <w:rPr>
          <w:rFonts w:ascii="Times New Roman" w:cs="Times New Roman" w:eastAsia="Times New Roman" w:hAnsi="Times New Roman"/>
          <w:sz w:val="20"/>
          <w:szCs w:val="20"/>
          <w:b w:val="1"/>
          <w:bCs w:val="1"/>
          <w:color w:val="auto"/>
        </w:rPr>
      </w:pPr>
    </w:p>
    <w:p>
      <w:pPr>
        <w:ind w:left="1100" w:hanging="498"/>
        <w:spacing w:after="0"/>
        <w:tabs>
          <w:tab w:leader="none" w:pos="110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Shared power to vote or to direct the vote:</w:t>
      </w:r>
    </w:p>
    <w:p>
      <w:pPr>
        <w:spacing w:after="0" w:line="215" w:lineRule="exact"/>
        <w:rPr>
          <w:rFonts w:ascii="Times New Roman" w:cs="Times New Roman" w:eastAsia="Times New Roman" w:hAnsi="Times New Roman"/>
          <w:sz w:val="20"/>
          <w:szCs w:val="20"/>
          <w:b w:val="1"/>
          <w:bCs w:val="1"/>
          <w:color w:val="auto"/>
        </w:rPr>
      </w:pPr>
    </w:p>
    <w:p>
      <w:pPr>
        <w:ind w:left="1100" w:hanging="498"/>
        <w:spacing w:after="0"/>
        <w:tabs>
          <w:tab w:leader="none" w:pos="110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Sole power to dispose or to direct the disposition of: </w:t>
      </w:r>
      <w:r>
        <w:rPr>
          <w:rFonts w:ascii="Times New Roman" w:cs="Times New Roman" w:eastAsia="Times New Roman" w:hAnsi="Times New Roman"/>
          <w:sz w:val="20"/>
          <w:szCs w:val="20"/>
          <w:color w:val="auto"/>
        </w:rPr>
        <w:t>1,885,032</w:t>
      </w:r>
    </w:p>
    <w:p>
      <w:pPr>
        <w:spacing w:after="0" w:line="216" w:lineRule="exact"/>
        <w:rPr>
          <w:sz w:val="20"/>
          <w:szCs w:val="20"/>
          <w:color w:val="auto"/>
        </w:rPr>
      </w:pPr>
    </w:p>
    <w:p>
      <w:pPr>
        <w:ind w:right="5580" w:firstLine="8"/>
        <w:spacing w:after="0" w:line="464" w:lineRule="auto"/>
        <w:tabs>
          <w:tab w:leader="none" w:pos="569"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(iv) Shared power to dispose or to direct the disposition of: Item 5. Ownership of Five Percent or Less of a Class.</w:t>
      </w:r>
    </w:p>
    <w:p>
      <w:pPr>
        <w:spacing w:after="0" w:line="1" w:lineRule="exact"/>
        <w:rPr>
          <w:sz w:val="20"/>
          <w:szCs w:val="20"/>
          <w:color w:val="auto"/>
        </w:rPr>
      </w:pPr>
    </w:p>
    <w:p>
      <w:pPr>
        <w:ind w:left="980" w:firstLine="196"/>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ind w:left="980" w:hanging="971"/>
        <w:spacing w:after="0" w:line="273" w:lineRule="auto"/>
        <w:tabs>
          <w:tab w:leader="none" w:pos="96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 or control person.</w:t>
      </w:r>
    </w:p>
    <w:p>
      <w:pPr>
        <w:spacing w:after="0" w:line="15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Certifications.</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following certification shall be included if the statement is filed pursuant to §240.13d-1(c):</w:t>
      </w:r>
    </w:p>
    <w:p>
      <w:pPr>
        <w:spacing w:after="0" w:line="216" w:lineRule="exact"/>
        <w:rPr>
          <w:sz w:val="20"/>
          <w:szCs w:val="20"/>
          <w:color w:val="auto"/>
        </w:rPr>
      </w:pPr>
    </w:p>
    <w:p>
      <w:pPr>
        <w:jc w:val="both"/>
        <w:ind w:left="980" w:right="20" w:hanging="39"/>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2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November 22,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Name: </w:t>
      </w:r>
      <w:r>
        <w:rPr>
          <w:rFonts w:ascii="Times New Roman" w:cs="Times New Roman" w:eastAsia="Times New Roman" w:hAnsi="Times New Roman"/>
          <w:sz w:val="20"/>
          <w:szCs w:val="20"/>
          <w:i w:val="1"/>
          <w:iCs w:val="1"/>
          <w:u w:val="single" w:color="auto"/>
          <w:color w:val="auto"/>
        </w:rPr>
        <w:t>/s/ Daniel Kaufman</w:t>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i w:val="1"/>
          <w:iCs w:val="1"/>
          <w:color w:val="auto"/>
        </w:rPr>
        <w:t>Daniel Kaufman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Individual Investor</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lvl w:ilvl="1">
      <w:lvlJc w:val="left"/>
      <w:lvlText w:val="(%2)"/>
      <w:numFmt w:val="lowerRoman"/>
      <w:start w:val="1"/>
    </w:lvl>
  </w:abstractNum>
  <w:abstractNum w:abstractNumId="11">
    <w:nsid w:val="66EF438D"/>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2023-11-24T05:16:01Z</dcterms:created>
  <dcterms:modified xsi:type="dcterms:W3CDTF">2023-11-24T05:16:01Z</dcterms:modified>
</cp:coreProperties>
</file>