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Harrow,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Opaleye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2,105,000.00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2,105,000.00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2,105,000.00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Opaleye,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2,105,000.00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2,105,000.00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2,105,000.00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spacing w:after="0" w:line="10" w:lineRule="exact"/>
        <w:rPr>
          <w:sz w:val="20"/>
          <w:szCs w:val="20"/>
          <w:color w:val="auto"/>
        </w:rPr>
      </w:pPr>
    </w:p>
    <w:p>
      <w:pPr>
        <w:ind w:left="1160" w:right="5640" w:hanging="1112"/>
        <w:spacing w:after="0" w:line="371" w:lineRule="auto"/>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5.62 %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Based on 37,487,850 shares of Common Stock outstanding as of August 6, 2026,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reported by Harrow, Inc. in its Form 10-Q filed with the SEC on August 10, 2026.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James Silverman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49" w:orient="portrait"/>
          <w:cols w:equalWidth="0" w:num="1">
            <w:col w:w="11100"/>
          </w:cols>
          <w:pgMar w:left="320" w:top="111" w:right="479"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2,105,000.00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2,105,000.00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2,105,000.00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49" w:orient="portrait"/>
          <w:cols w:equalWidth="0" w:num="2">
            <w:col w:w="1100" w:space="60"/>
            <w:col w:w="9940"/>
          </w:cols>
          <w:pgMar w:left="320" w:top="111" w:right="47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Harrow, Inc.</w:t>
      </w:r>
    </w:p>
    <w:p>
      <w:pPr>
        <w:spacing w:after="0" w:line="20" w:lineRule="exact"/>
        <w:rPr>
          <w:sz w:val="20"/>
          <w:szCs w:val="20"/>
          <w:color w:val="auto"/>
        </w:rPr>
      </w:pPr>
    </w:p>
    <w:p>
      <w:pPr>
        <w:ind w:left="960" w:hanging="912"/>
        <w:spacing w:after="0"/>
        <w:tabs>
          <w:tab w:leader="none" w:pos="96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Address of issuer's principal executive offices:</w:t>
      </w:r>
    </w:p>
    <w:p>
      <w:pPr>
        <w:sectPr>
          <w:pgSz w:w="11900" w:h="16849" w:orient="portrait"/>
          <w:cols w:equalWidth="0" w:num="1">
            <w:col w:w="11100"/>
          </w:cols>
          <w:pgMar w:left="320" w:top="111" w:right="47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1A Burton Hills Blvd., Suite 200, Nashville, TN 37215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420"/>
        <w:spacing w:after="0" w:line="253" w:lineRule="auto"/>
        <w:rPr>
          <w:sz w:val="20"/>
          <w:szCs w:val="20"/>
          <w:color w:val="auto"/>
        </w:rPr>
      </w:pPr>
      <w:r>
        <w:rPr>
          <w:rFonts w:ascii="Times New Roman" w:cs="Times New Roman" w:eastAsia="Times New Roman" w:hAnsi="Times New Roman"/>
          <w:sz w:val="21"/>
          <w:szCs w:val="21"/>
          <w:color w:val="auto"/>
        </w:rPr>
        <w:t>This statement is filed by (i) Opaleye Management Inc. (the "Adviser"), (ii) Opaleye, L.P. (the "Fund"), and (iii) James Silverman (collectively, the "Reporting Persons"). The Fund directly holds 2,105,000 shares of Common</w:t>
      </w:r>
    </w:p>
    <w:p>
      <w:pPr>
        <w:spacing w:after="0" w:line="1" w:lineRule="exact"/>
        <w:rPr>
          <w:sz w:val="20"/>
          <w:szCs w:val="20"/>
          <w:color w:val="auto"/>
        </w:rPr>
      </w:pPr>
    </w:p>
    <w:p>
      <w:pPr>
        <w:ind w:left="920" w:hanging="912"/>
        <w:spacing w:after="0" w:line="233"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par value $0.001 per share (the "Common Stock"), of Harrow, Inc. (the "Issuer"). The Adviser, as investment adviser to the Fund, and Mr. Silverman, as the controlling person of the Adviser, may be deemed to beneficially own the 2,105,000 shares of Common Stock held directly by the Fund. The filing of this statement shall not be construed as an admission that any Reporting Person is the beneficial owner of any securities covered by this statement for purposes of Section 13 of the Securities Exchange Act of 1934, as amended, or otherwise.</w:t>
      </w:r>
    </w:p>
    <w:p>
      <w:pPr>
        <w:sectPr>
          <w:pgSz w:w="11900" w:h="16838" w:orient="portrait"/>
          <w:cols w:equalWidth="0" w:num="1">
            <w:col w:w="11020"/>
          </w:cols>
          <w:pgMar w:left="360" w:top="355" w:right="519" w:bottom="0" w:gutter="0" w:footer="0" w:header="0"/>
        </w:sect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Boston Place, 26th Floor, Boston, MA 02108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300"/>
        <w:spacing w:after="0" w:line="309" w:lineRule="auto"/>
        <w:rPr>
          <w:sz w:val="20"/>
          <w:szCs w:val="20"/>
          <w:color w:val="auto"/>
        </w:rPr>
      </w:pPr>
      <w:r>
        <w:rPr>
          <w:rFonts w:ascii="Times New Roman" w:cs="Times New Roman" w:eastAsia="Times New Roman" w:hAnsi="Times New Roman"/>
          <w:sz w:val="22"/>
          <w:szCs w:val="22"/>
          <w:color w:val="auto"/>
        </w:rPr>
        <w:t>Opaleye Management Inc. - Massachusetts Opaleye, L.P. - Delaware James Silverman - United States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100"/>
          </w:cols>
          <w:pgMar w:left="360" w:top="355" w:right="519" w:bottom="0" w:gutter="0" w:footer="0" w:header="0"/>
          <w:type w:val="continuous"/>
        </w:sectPr>
      </w:pPr>
    </w:p>
    <w:p>
      <w:pPr>
        <w:ind w:left="920" w:hanging="912"/>
        <w:spacing w:after="0"/>
        <w:tabs>
          <w:tab w:leader="none" w:pos="9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2,105,000.00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5.62 %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120" w:firstLine="6"/>
        <w:spacing w:after="0" w:line="486" w:lineRule="auto"/>
        <w:tabs>
          <w:tab w:leader="none" w:pos="123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2,105,000.00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w:t>
      </w:r>
    </w:p>
    <w:p>
      <w:pPr>
        <w:sectPr>
          <w:pgSz w:w="11900" w:h="16838" w:orient="portrait"/>
          <w:cols w:equalWidth="0" w:num="1">
            <w:col w:w="11020"/>
          </w:cols>
          <w:pgMar w:left="360" w:top="355" w:right="519" w:bottom="0" w:gutter="0" w:footer="0" w:header="0"/>
          <w:type w:val="continuous"/>
        </w:sectPr>
      </w:pPr>
    </w:p>
    <w:bookmarkStart w:id="4" w:name="page5"/>
    <w:bookmarkEnd w:id="4"/>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2,105,000.00</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The Fund is entitled to receive dividends from, and the proceeds from the sale of, the shares reported herein. The Fund's interest exceeds 5% of the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Opaleye Management Inc.</w:t>
      </w:r>
    </w:p>
    <w:p>
      <w:pPr>
        <w:spacing w:after="0" w:line="152"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Silverman</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President</w:t>
      </w:r>
    </w:p>
    <w:p>
      <w:pPr>
        <w:spacing w:after="0" w:line="44"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11/06/2026</w:t>
      </w:r>
    </w:p>
    <w:p>
      <w:pPr>
        <w:spacing w:after="0" w:line="15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Opaleye, L.P.</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Opaleye GP LLC, its general partner /s/ James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Silverman</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11/06/2026</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James Silverman</w:t>
      </w:r>
    </w:p>
    <w:p>
      <w:pPr>
        <w:spacing w:after="0" w:line="152"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Silverman</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Individually</w:t>
      </w:r>
    </w:p>
    <w:p>
      <w:pPr>
        <w:spacing w:after="0" w:line="44"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11/06/2026</w:t>
      </w:r>
    </w:p>
    <w:p>
      <w:pPr>
        <w:spacing w:after="0" w:line="108" w:lineRule="exact"/>
        <w:rPr>
          <w:sz w:val="20"/>
          <w:szCs w:val="20"/>
          <w:color w:val="auto"/>
        </w:rPr>
      </w:pPr>
    </w:p>
    <w:p>
      <w:pPr>
        <w:jc w:val="center"/>
        <w:ind w:right="49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 by and among the reporting persons</w:t>
      </w:r>
    </w:p>
    <w:p>
      <w:pPr>
        <w:sectPr>
          <w:pgSz w:w="11900" w:h="16838" w:orient="portrait"/>
          <w:cols w:equalWidth="0" w:num="1">
            <w:col w:w="11140"/>
          </w:cols>
          <w:pgMar w:left="360" w:top="112" w:right="399"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Joint Filing Agreement, dated as of November 6, 2026, is by and among Opaleye Management Inc., Opaleye, L.P. and James Silverman (collectively, the “Filers”).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Each of the Filers may be required to file with the United States Securities and Exchange Commission a statement on Schedule 13D and/or 13G with respect to shares of Common Stock of Harrow, Inc. beneficially owned by them from time to time.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and in accordance with Rule 13d-1(k) promulgated under the Securities Exchange Act of 1934, as amended, the Filers hereby agree to file a single statement on Schedule 13D and/or 13G (and any amendments thereto) on behalf of each of the Filers, and hereby further agree to file this Joint Filing Agreement as an exhibit to such statement, as required by such rule.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Joint Filing Agreement may be terminated by any of the Filers upon written notice or such lesser period of notice as the Filers may mutually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Executed and delivered as of the date first above written.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OPALEYE MANAGEMENT INC.</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Silverman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Silverman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OPALEYE, L.P.</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Opaleye GP LLC, its general partner</w:t>
            </w:r>
          </w:p>
        </w:tc>
      </w:tr>
      <w:tr>
        <w:trPr>
          <w:trHeight w:val="21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Silverman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Silverman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JAMES SILVERMAN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James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2026-11-06T15:13:51Z</dcterms:created>
  <dcterms:modified xsi:type="dcterms:W3CDTF">2026-11-06T15:13:51Z</dcterms:modified>
</cp:coreProperties>
</file>