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33" w:lineRule="exact"/>
        <w:rPr>
          <w:sz w:val="24"/>
          <w:szCs w:val="24"/>
          <w:color w:val="auto"/>
        </w:rPr>
      </w:pPr>
    </w:p>
    <w:p>
      <w:pPr>
        <w:spacing w:after="0" w:line="161" w:lineRule="exact"/>
        <w:tabs>
          <w:tab w:leader="none" w:pos="2240" w:val="left"/>
          <w:tab w:leader="none" w:pos="3920" w:val="left"/>
          <w:tab w:leader="none" w:pos="7860" w:val="left"/>
        </w:tabs>
        <w:rPr>
          <w:sz w:val="20"/>
          <w:szCs w:val="20"/>
          <w:color w:val="auto"/>
        </w:rPr>
      </w:pPr>
      <w:r>
        <w:rPr>
          <w:rFonts w:ascii="Times New Roman" w:cs="Times New Roman" w:eastAsia="Times New Roman" w:hAnsi="Times New Roman"/>
          <w:sz w:val="14"/>
          <w:szCs w:val="14"/>
          <w:color w:val="auto"/>
        </w:rPr>
        <w:t>Filed by the Registrant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Filed by a Party other than the Registrant</w:t>
      </w:r>
      <w:r>
        <w:rPr>
          <w:sz w:val="20"/>
          <w:szCs w:val="20"/>
          <w:color w:val="auto"/>
        </w:rPr>
        <w:tab/>
      </w:r>
      <w:r>
        <w:rPr>
          <w:rFonts w:ascii="MS PGothic" w:cs="MS PGothic" w:eastAsia="MS PGothic" w:hAnsi="MS PGothic"/>
          <w:sz w:val="11"/>
          <w:szCs w:val="11"/>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5"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74"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70"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HEALTH,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70" w:lineRule="exact"/>
        <w:rPr>
          <w:sz w:val="24"/>
          <w:szCs w:val="24"/>
          <w:color w:val="auto"/>
        </w:rPr>
      </w:pPr>
    </w:p>
    <w:p>
      <w:pPr>
        <w:ind w:left="500" w:hanging="497"/>
        <w:spacing w:after="0"/>
        <w:tabs>
          <w:tab w:leader="none" w:pos="50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500" w:hanging="497"/>
        <w:spacing w:after="0"/>
        <w:tabs>
          <w:tab w:leader="none" w:pos="5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14c-5(g) and 0-11.</w:t>
      </w:r>
    </w:p>
    <w:p>
      <w:pPr>
        <w:spacing w:after="0" w:line="169" w:lineRule="exact"/>
        <w:rPr>
          <w:rFonts w:ascii="MS PGothic" w:cs="MS PGothic" w:eastAsia="MS PGothic" w:hAnsi="MS PGothic"/>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unit price or other underlying value of transaction computed pursuant to Exchange Act Rule 0-11 (set forth the amount on which the filing is calculated and state how it was determined):</w:t>
      </w:r>
    </w:p>
    <w:p>
      <w:pPr>
        <w:spacing w:after="0" w:line="181" w:lineRule="exact"/>
        <w:rPr>
          <w:rFonts w:ascii="Times New Roman" w:cs="Times New Roman" w:eastAsia="Times New Roman" w:hAnsi="Times New Roman"/>
          <w:sz w:val="13"/>
          <w:szCs w:val="13"/>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500" w:hanging="497"/>
        <w:spacing w:after="0" w:line="272" w:lineRule="auto"/>
        <w:tabs>
          <w:tab w:leader="none" w:pos="5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384810</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1296035</wp:posOffset>
            </wp:positionV>
            <wp:extent cx="537337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3370" cy="13335"/>
                    </a:xfrm>
                    <a:prstGeom prst="rect">
                      <a:avLst/>
                    </a:prstGeom>
                    <a:noFill/>
                  </pic:spPr>
                </pic:pic>
              </a:graphicData>
            </a:graphic>
          </wp:anchor>
        </w:drawing>
        <w:drawing>
          <wp:anchor simplePos="0" relativeHeight="251657728" behindDoc="1" locked="0" layoutInCell="0" allowOverlap="1">
            <wp:simplePos x="0" y="0"/>
            <wp:positionH relativeFrom="page">
              <wp:posOffset>2987040</wp:posOffset>
            </wp:positionH>
            <wp:positionV relativeFrom="page">
              <wp:posOffset>364490</wp:posOffset>
            </wp:positionV>
            <wp:extent cx="1574800" cy="826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74800" cy="82677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of Annual Meeting</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107315</wp:posOffset>
            </wp:positionV>
            <wp:extent cx="537337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3370" cy="13335"/>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2023 Annual Meeting of Stockholders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Wednesday, June 21, 2023, 8:00 a.m. CT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Harrow Health’s Corporate Office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102 Woodmont Blvd., Suite 610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3144520</wp:posOffset>
            </wp:positionH>
            <wp:positionV relativeFrom="page">
              <wp:posOffset>364490</wp:posOffset>
            </wp:positionV>
            <wp:extent cx="1259840" cy="662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59840" cy="66294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April 28,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Stockholder:</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You are cordially invited to attend the 2023 Annual Meeting of Stockholders of Harrow Health, Inc., which will be held at our corporate office located at 102 Woodmont Blvd., Suite 610, Nashville, TN 37205 on June 21, 2023, at 8:00 a.m. (Central Time).</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2022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spacing w:after="0" w:line="142"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2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102 Woodmont Blvd., Suite 610, Nashville, TN 37205, or to promptly use the telephone or Internet voting system. If you do attend the annual meeting and wish to vote in person, you may withdraw a previously submitted proxy at that time.</w:t>
      </w:r>
    </w:p>
    <w:p>
      <w:pPr>
        <w:spacing w:after="0" w:line="1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Mark L. Baum</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 w:name="page4"/>
    <w:bookmarkEnd w:id="3"/>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3144520</wp:posOffset>
            </wp:positionH>
            <wp:positionV relativeFrom="page">
              <wp:posOffset>364490</wp:posOffset>
            </wp:positionV>
            <wp:extent cx="1259840" cy="662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59840" cy="662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102 WOODMONT BLVD., SUITE 610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NASHVILLE, TN 37205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June 21,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of Harrow Health, Inc.:</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NOTICE IS HEREBY GIVEN that the Annual Meeting of Stockholders of Harrow Health, Inc. (the “Company”) will be held on June 21, 2023, at 8:00 a.m. (Central Time), at the Company’s corporate office located at 102 Woodmont Blvd., Suite 610, Nashville, TN 37205, for the following purposes:</w:t>
      </w:r>
    </w:p>
    <w:p>
      <w:pPr>
        <w:spacing w:after="0" w:line="131" w:lineRule="exact"/>
        <w:rPr>
          <w:sz w:val="20"/>
          <w:szCs w:val="20"/>
          <w:color w:val="auto"/>
        </w:rPr>
      </w:pPr>
    </w:p>
    <w:p>
      <w:pPr>
        <w:ind w:left="740" w:hanging="241"/>
        <w:spacing w:after="0" w:line="272" w:lineRule="auto"/>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to the Board of Directors the five (5) director nominees named in the accompanying proxy statement to serve until the 2024 annual meeting of stockholders and until their successors are duly elected and qualified.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selection of KMJ Corbin &amp; Company LLP as the Company’s independent registered public accounting firm for the fiscal year ending December 31, 2023.</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an advisory basis, the compensation of the Company’s named executive officers.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meeting or any adjournment or postponement thereof.</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foregoing items of business are more fully described in the proxy statement accompanying this notice.</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Company’s Board of Directors has fixed the close of business on April 24, 2023, as the record date for the determination of stockholders entitled to notice of and to vote at the annual meeting and at any adjournment or postponement thereof. All stockholders are invited to attend the meeting.</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Mark L. Baum</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 of the Board of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60" w:type="dxa"/>
            <w:vAlign w:val="bottom"/>
            <w:gridSpan w:val="3"/>
          </w:tcPr>
          <w:p>
            <w:pPr>
              <w:ind w:left="1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PROXY STATEMENT</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NO. 1: ELECTION OF DIRECTORS</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NO. 2: RATIFICATION OF SELECTION OF INDEPENDENT REGISTERED PUBLIC ACCOUNTING FIRM</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NO. 3: ADVISORY VOTE ON NAMED EXECUTIVE OFFICER COMPENSATION</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CORPORATE GOVERNANCE</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DIRECTOR COMPENSATION</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EXECUTIVE COMPENSATION</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tcBorders>
              <w:bottom w:val="single" w:sz="8" w:color="0000EE"/>
            </w:tcBorders>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w w:val="97"/>
              </w:rPr>
              <w:t>SECURITY OWNERSHIP OF CERTAIN BENEFICIAL OWNERS AND MANAGEMENT AND RELATED STOCKHOLDER MATTERS</w:t>
            </w:r>
          </w:p>
        </w:tc>
        <w:tc>
          <w:tcPr>
            <w:tcW w:w="30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REPORT OF THE AUDIT COMMITTEE</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HOUSEHOLDING OF PROXY MATERIALS</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STOCKHOLDER PROPOSALS</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ANNUAL REPORT</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260" w:type="dxa"/>
            <w:vAlign w:val="bottom"/>
            <w:gridSpan w:val="1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OTHER MATTERS</w:t>
            </w:r>
          </w:p>
        </w:tc>
        <w:tc>
          <w:tcPr>
            <w:tcW w:w="3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2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5" w:name="page6"/>
    <w:bookmarkEnd w:id="5"/>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3144520</wp:posOffset>
            </wp:positionH>
            <wp:positionV relativeFrom="page">
              <wp:posOffset>364490</wp:posOffset>
            </wp:positionV>
            <wp:extent cx="1259840" cy="662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59840" cy="662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102 Woodmont Blvd., Suite 610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107315</wp:posOffset>
            </wp:positionV>
            <wp:extent cx="215201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2015" cy="13335"/>
                    </a:xfrm>
                    <a:prstGeom prst="rect">
                      <a:avLst/>
                    </a:prstGeom>
                    <a:noFill/>
                  </pic:spPr>
                </pic:pic>
              </a:graphicData>
            </a:graphic>
          </wp:anchor>
        </w:drawing>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Annual Meeting of Stockholders to be held on June 21,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This proxy statement (this “Proxy Statement”) is furnished in connection with the solicitation by the Board of Directors (the “Board” or “Board of Directors”) of Harrow Health, Inc. (the “Company”) of proxies for use at the Annual Meeting of Stockholders (the “Annual Meeting”) to be held on June 21, 2023, at 8:00 a.m. (Central Time) at the Company’s corporate office located at 102 Woodmont Blvd., Suite 610, Nashville, Tennessee 37205, or at any adjournment or postponement thereof, for the purposes set forth herein and in the accompanying Notice of Annual Meeting of Stockholders (the “Notice”). We expect to mail or make available this Proxy Statement and the accompanying materials, including our Annual Report for the fiscal year ended December 31, 2022 (the “Annual Report”), the Notice and a proxy card, to our stockholders on or about April 28, 2023.</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references to “us,” “we,” “our,” and the “Company” refer to Harrow Health, Inc.</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Copies of this Proxy Statement, the Notice and the Annual Report can be accessed electronically at: </w:t>
      </w:r>
      <w:r>
        <w:rPr>
          <w:rFonts w:ascii="Times New Roman" w:cs="Times New Roman" w:eastAsia="Times New Roman" w:hAnsi="Times New Roman"/>
          <w:sz w:val="14"/>
          <w:szCs w:val="14"/>
          <w:u w:val="single" w:color="auto"/>
          <w:color w:val="auto"/>
        </w:rPr>
        <w:t>www.proxyvote.com</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Board is soliciting proxies to vote at the Annual Meeting.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 of Record</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Only holders of record of shares of our common stock at the close of business on the record date, April 24, 2023, will be entitled to notice of and to vote at the Annual Meeting and any postponement or adjournment thereof. At the close of business on April 24, 2023, the Company had 30,121,997 shares of common stock outstanding and entitled to vote, held by 73 stockholders of record. Each holder of record of shares of our common stock on the record date will be entitled to one vote for each share held on all matters to be voted upon at the Annual Meeting.</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ectPr>
          <w:pgSz w:w="11900" w:h="16838" w:orient="portrait"/>
          <w:cols w:equalWidth="0" w:num="1">
            <w:col w:w="11280"/>
          </w:cols>
          <w:pgMar w:left="300" w:top="144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Vote Required and Method of Counting Votes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Broker Discretionary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2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Voting Allowed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w w:val="94"/>
              </w:rPr>
              <w:t>Proposal 1</w:t>
            </w:r>
          </w:p>
        </w:tc>
        <w:tc>
          <w:tcPr>
            <w:tcW w:w="80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 Election of five directors</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31"/>
              <w:spacing w:after="0" w:line="153" w:lineRule="exact"/>
              <w:rPr>
                <w:sz w:val="20"/>
                <w:szCs w:val="20"/>
                <w:color w:val="auto"/>
              </w:rPr>
            </w:pPr>
            <w:r>
              <w:rPr>
                <w:rFonts w:ascii="Times New Roman" w:cs="Times New Roman" w:eastAsia="Times New Roman" w:hAnsi="Times New Roman"/>
                <w:sz w:val="14"/>
                <w:szCs w:val="14"/>
                <w:color w:val="auto"/>
              </w:rPr>
              <w:t>Plurality of</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Votes Cast</w:t>
            </w:r>
          </w:p>
        </w:tc>
        <w:tc>
          <w:tcPr>
            <w:tcW w:w="1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4"/>
              </w:rPr>
              <w:t>Proposal 2</w:t>
            </w:r>
          </w:p>
        </w:tc>
        <w:tc>
          <w:tcPr>
            <w:tcW w:w="80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 Ratification of auditors for the 2023 fiscal year</w:t>
            </w:r>
          </w:p>
        </w:tc>
        <w:tc>
          <w:tcPr>
            <w:tcW w:w="100" w:type="dxa"/>
            <w:vAlign w:val="bottom"/>
          </w:tcPr>
          <w:p>
            <w:pPr>
              <w:spacing w:after="0"/>
              <w:rPr>
                <w:sz w:val="13"/>
                <w:szCs w:val="13"/>
                <w:color w:val="auto"/>
              </w:rPr>
            </w:pPr>
          </w:p>
        </w:tc>
        <w:tc>
          <w:tcPr>
            <w:tcW w:w="980" w:type="dxa"/>
            <w:vAlign w:val="bottom"/>
          </w:tcPr>
          <w:p>
            <w:pPr>
              <w:jc w:val="right"/>
              <w:ind w:right="131"/>
              <w:spacing w:after="0" w:line="153" w:lineRule="exact"/>
              <w:rPr>
                <w:sz w:val="20"/>
                <w:szCs w:val="20"/>
                <w:color w:val="auto"/>
              </w:rPr>
            </w:pPr>
            <w:r>
              <w:rPr>
                <w:rFonts w:ascii="Times New Roman" w:cs="Times New Roman" w:eastAsia="Times New Roman" w:hAnsi="Times New Roman"/>
                <w:sz w:val="14"/>
                <w:szCs w:val="14"/>
                <w:color w:val="auto"/>
              </w:rPr>
              <w:t>Majority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Votes Cast</w:t>
            </w: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w w:val="94"/>
              </w:rPr>
              <w:t>Proposal 3</w:t>
            </w:r>
          </w:p>
        </w:tc>
        <w:tc>
          <w:tcPr>
            <w:tcW w:w="80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 Advisory vote to approve the compensation of our named executive officers</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31"/>
              <w:spacing w:after="0" w:line="153" w:lineRule="exact"/>
              <w:rPr>
                <w:sz w:val="20"/>
                <w:szCs w:val="20"/>
                <w:color w:val="auto"/>
              </w:rPr>
            </w:pPr>
            <w:r>
              <w:rPr>
                <w:rFonts w:ascii="Times New Roman" w:cs="Times New Roman" w:eastAsia="Times New Roman" w:hAnsi="Times New Roman"/>
                <w:sz w:val="14"/>
                <w:szCs w:val="14"/>
                <w:color w:val="auto"/>
              </w:rPr>
              <w:t>Majority of</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Votes Cast</w:t>
            </w:r>
          </w:p>
        </w:tc>
        <w:tc>
          <w:tcPr>
            <w:tcW w:w="10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506"/>
        <w:spacing w:after="0" w:line="272" w:lineRule="auto"/>
        <w:rPr>
          <w:sz w:val="20"/>
          <w:szCs w:val="20"/>
          <w:color w:val="auto"/>
        </w:rPr>
      </w:pPr>
      <w:r>
        <w:rPr>
          <w:rFonts w:ascii="Times New Roman" w:cs="Times New Roman" w:eastAsia="Times New Roman" w:hAnsi="Times New Roman"/>
          <w:sz w:val="14"/>
          <w:szCs w:val="14"/>
          <w:color w:val="auto"/>
        </w:rPr>
        <w:t>With respect to Proposal 1, you may vote FOR or WITHHOLD. With respect to Proposals 2 and 3, you may vote FOR, AGAINST or ABSTAIN. As specified in our Bylaws, abstentions and broker non-votes are not considered to be a vote cast and, therefore, will have no direct impact on any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to Vote</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102 Woodmont Blvd., Suite 610, Nashville, TN 37205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2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Revocation of Proxies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You are a stockholder of record if, at the close of business on the record date, your shares were registered directly in your name with Securities Transfer Corporation, our transfer agent. If you are a stockholder of record and submit your vote by proxy, you may revoke it at any time before its use, either by:</w:t>
      </w:r>
    </w:p>
    <w:p>
      <w:pPr>
        <w:spacing w:after="0" w:line="131" w:lineRule="exact"/>
        <w:rPr>
          <w:sz w:val="20"/>
          <w:szCs w:val="20"/>
          <w:color w:val="auto"/>
        </w:rPr>
      </w:pPr>
    </w:p>
    <w:p>
      <w:pPr>
        <w:ind w:left="740" w:hanging="241"/>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revoking it in person at the Annual Meeting;</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written notice to our Corporate Secretary at 102 Woodmont Blvd., Suite 610, Nashville, TN 37205 before the proxy is used; or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later dated proxy card to us at the address noted above before the proxy is used.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and Method of Solicitation</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List</w:t>
      </w:r>
    </w:p>
    <w:p>
      <w:pPr>
        <w:spacing w:after="0" w:line="174" w:lineRule="exact"/>
        <w:rPr>
          <w:sz w:val="20"/>
          <w:szCs w:val="20"/>
          <w:color w:val="auto"/>
        </w:rPr>
      </w:pPr>
    </w:p>
    <w:p>
      <w:pPr>
        <w:jc w:val="both"/>
        <w:ind w:right="20" w:firstLine="496"/>
        <w:spacing w:after="0" w:line="272" w:lineRule="auto"/>
        <w:rPr>
          <w:sz w:val="20"/>
          <w:szCs w:val="20"/>
          <w:color w:val="auto"/>
        </w:rPr>
      </w:pPr>
      <w:r>
        <w:rPr>
          <w:rFonts w:ascii="Times New Roman" w:cs="Times New Roman" w:eastAsia="Times New Roman" w:hAnsi="Times New Roman"/>
          <w:sz w:val="14"/>
          <w:szCs w:val="14"/>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102 Woodmont Blvd., Suite 610, Nashville, TN 37205.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536"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PROPOSAL NO.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currently consists of six directors. Upon the recommendation of the Company’s Nomination and Corporate Governance Committee, our Board has selected five director nominees for election at the Annual Meeting. Each of the nominees is currently a director of the Company and was elected or re-elected by our stockholders at our 2022 annual meeting of stockholders.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Richard L. Lindstrom, M.D., currently serves as a director of the Company and is not being nominated for reappointment, causing his term as a member of the Board to expire at the Annual Meeting. As a result, the number of directors serving on the Board will decrease from six to five. Following his term as a board member, the Company expects Dr. Lindstrom to enter into a consulting agreement to continue working with the Company as a Board observer and senior advisor to the Chairman of the Board and Chief Executive Officer.</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has selected the five persons listed below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regarding the nominees for directors and such persons, if elected at the Annual Meeting, will serve as directors until the earlier of the 2024 Annual Meeting of the Company’s stockholders or until their successors are duly elected and qualified.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788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4"/>
                <w:szCs w:val="14"/>
                <w:b w:val="1"/>
                <w:bCs w:val="1"/>
                <w:color w:val="auto"/>
              </w:rPr>
              <w:t>Position &amp; Committees</w:t>
            </w:r>
          </w:p>
        </w:tc>
      </w:tr>
      <w:tr>
        <w:trPr>
          <w:trHeight w:val="165"/>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w:t>
            </w:r>
          </w:p>
        </w:tc>
        <w:tc>
          <w:tcPr>
            <w:tcW w:w="9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 of the Board, Chief Executive Officer</w:t>
            </w: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Martin A. Makary</w:t>
            </w:r>
          </w:p>
        </w:tc>
        <w:tc>
          <w:tcPr>
            <w:tcW w:w="92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 Audit Committee</w:t>
            </w:r>
          </w:p>
        </w:tc>
      </w:tr>
      <w:tr>
        <w:trPr>
          <w:trHeight w:val="165"/>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Teresa F. Sparks</w:t>
            </w:r>
          </w:p>
        </w:tc>
        <w:tc>
          <w:tcPr>
            <w:tcW w:w="9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Independent Director, Audit Committee (Chair), Compensation Committee, Nomination and Corporate Governance Committee</w:t>
            </w: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Perry J. Sternberg</w:t>
            </w:r>
          </w:p>
        </w:tc>
        <w:tc>
          <w:tcPr>
            <w:tcW w:w="92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Independent Director, Compensation Committee</w:t>
            </w:r>
          </w:p>
        </w:tc>
      </w:tr>
      <w:tr>
        <w:trPr>
          <w:trHeight w:val="165"/>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 Lawrence Van Horn</w:t>
            </w:r>
          </w:p>
        </w:tc>
        <w:tc>
          <w:tcPr>
            <w:tcW w:w="920" w:type="dxa"/>
            <w:vAlign w:val="bottom"/>
            <w:gridSpan w:val="2"/>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Lead Independent Director, Audit Committee, Compensation Committee (Chair), Nomination and Corporate Governance Committee (Chair)</w:t>
            </w:r>
          </w:p>
        </w:tc>
      </w:tr>
    </w:tbl>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Mark L. Baum, J.D. </w:t>
      </w:r>
      <w:r>
        <w:rPr>
          <w:rFonts w:ascii="Times New Roman" w:cs="Times New Roman" w:eastAsia="Times New Roman" w:hAnsi="Times New Roman"/>
          <w:sz w:val="13"/>
          <w:szCs w:val="13"/>
          <w:color w:val="auto"/>
        </w:rPr>
        <w:t>is a founder, Chairman of the Board of Directors and Chief Executive Officer of the Company. In 2011, Mr. Baum led the restructuring and reorganization of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and since that time has directed the key operational and strategic activities of the Company. Mr. Baum was appointed as a director of the Company in December 2011, served as the Chairman of the Board of Directors from December 2011 to April 2012, was appointed Chief Executive Officer in April 2012, and was again appointed and has served as the Chairman of the Board since August 2021. Prior to Mr. Baum’s involvement with the Company, from 2001 to 2011, he was the founder and managing director of TBLF, LLC, a consulting firm and fund manager, where he managed a series of three funds and acted as a principal investor in financing publicly-traded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Melt Pharmaceuticals, Inc. and is a founder and former board member of both Surface Ophthalmics, Inc., and Eton Pharmaceuticals, Inc. From November 2012 until December 2017, Mr. Baum served on the board of directors of Ideal Power, Inc., where he also served as the chair of its audit committee. Mr. Baum is a graduate, </w:t>
      </w:r>
      <w:r>
        <w:rPr>
          <w:rFonts w:ascii="Times New Roman" w:cs="Times New Roman" w:eastAsia="Times New Roman" w:hAnsi="Times New Roman"/>
          <w:sz w:val="13"/>
          <w:szCs w:val="13"/>
          <w:i w:val="1"/>
          <w:iCs w:val="1"/>
          <w:color w:val="auto"/>
        </w:rPr>
        <w:t>cum laude</w:t>
      </w:r>
      <w:r>
        <w:rPr>
          <w:rFonts w:ascii="Times New Roman" w:cs="Times New Roman" w:eastAsia="Times New Roman" w:hAnsi="Times New Roman"/>
          <w:sz w:val="13"/>
          <w:szCs w:val="13"/>
          <w:color w:val="auto"/>
        </w:rPr>
        <w:t>, of The University of Texas at Arlington and a graduate of California Western School of Law. Mr. Baum brings years of public company executive and board experience, including knowledge of securities laws, reporting requirements, and public company finance-related issues.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1280"/>
          </w:cols>
          <w:pgMar w:left="300" w:top="536" w:right="319" w:bottom="1440" w:gutter="0" w:footer="0" w:header="0"/>
        </w:sectPr>
      </w:pPr>
    </w:p>
    <w:bookmarkStart w:id="8" w:name="page9"/>
    <w:bookmarkEnd w:id="8"/>
    <w:p>
      <w:pPr>
        <w:jc w:val="both"/>
        <w:ind w:firstLine="496"/>
        <w:spacing w:after="0" w:line="273" w:lineRule="auto"/>
        <w:rPr>
          <w:sz w:val="20"/>
          <w:szCs w:val="20"/>
          <w:color w:val="auto"/>
        </w:rPr>
      </w:pPr>
      <w:r>
        <w:rPr>
          <w:rFonts w:ascii="Times New Roman" w:cs="Times New Roman" w:eastAsia="Times New Roman" w:hAnsi="Times New Roman"/>
          <w:sz w:val="13"/>
          <w:szCs w:val="13"/>
          <w:b w:val="1"/>
          <w:bCs w:val="1"/>
          <w:color w:val="auto"/>
        </w:rPr>
        <w:t xml:space="preserve">Martin A. Makary, M.D., M.P.H. </w:t>
      </w:r>
      <w:r>
        <w:rPr>
          <w:rFonts w:ascii="Times New Roman" w:cs="Times New Roman" w:eastAsia="Times New Roman" w:hAnsi="Times New Roman"/>
          <w:sz w:val="13"/>
          <w:szCs w:val="13"/>
          <w:color w:val="auto"/>
        </w:rPr>
        <w:t>has served as a member of our Board of Directors since March 2022. Dr. Makary is a healthcare expert and is Chief of Islet Transplant Surgery at The Johns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Hopkins Hospital, where he has been employed since 2002. Dr. Makary is a frequent public policy expert in the media and a leading voice for physicians, writing for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He is the author of two New York Times bestselling books on healthcare and has published over 250 scientific peer-reviewed articles, including articles on organizational culture, surgical innovation, vulnerable populations, and the re-design of healthcare delivery. Dr. Makary has served in leadership at the World Health Organization and has been elected to the National Academy of Medicine. Dr. Makary has been a visiting professor at over 25 medical schools and is the recipient of the Nobility in Science Award from the National Pancreas Foundation. Dr. Makary speaks frequently on the future of healthcare and what it means for everyday Americans, business leaders, and healthcare professionals. His current research focuses on the appropriateness of medical care and the impact of the healthcare cost crisis on low-income populations. He has a Bachelor of Science degree from Bucknell University, an M.D. degree from Thomas Jefferson University, and a Master of Public Health (M.P.H.) degree, with a concentration in Health Policy, from Harvard University. Dr. Makary brings to the Board extensive experience as a surgeon, corporate advisor, and healthcare policy thought leader.</w:t>
      </w:r>
    </w:p>
    <w:p>
      <w:pPr>
        <w:spacing w:after="0" w:line="12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Teresa F. Sparks </w:t>
      </w:r>
      <w:r>
        <w:rPr>
          <w:rFonts w:ascii="Times New Roman" w:cs="Times New Roman" w:eastAsia="Times New Roman" w:hAnsi="Times New Roman"/>
          <w:sz w:val="14"/>
          <w:szCs w:val="14"/>
          <w:color w:val="auto"/>
        </w:rPr>
        <w:t>has served as a member of our Board of Directors since March 2020. Ms. Sparks serves as an independent board member for publicly-traded and privately held companies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healthcare, technology and life sciences industries. Her prior operating experience includes her role as the Executive Vice President and Chief Financial Officer of Envision Healthcare from October 2018 to August 2020. Prior to Envision, Ms. Sparks was the interim Chief Financial Officer at Brookdale Senior Living from March 2018 until September 2018. Previous to that, she served as Executive Vice President and Chief Financial Officer of Surgery Center Holdings, Inc. from its acquisition of Symbion, Inc. in November 2014 until January 2018. Prior to that, Ms. Sparks served as Senior Vice President and Chief Financial Officer of Symbion Holdings Corporation and Symbion, Inc. from August 2007 to November 2014 and as Corporate Controller from Symbion’s inception in 1996 through August 2007 and was named Vice President in December 2002. Prior to joining Symbion, she served as Assistant Controller for HealthWise of America, Inc., a managed care organization, and was a senior healthcare auditor for Deloitte &amp; Touche LLP. Ms. Sparks currently serves on the board of directors of ATI Physical Therapy (NYSE: ATIP), a publicly traded healthcare company. Ms. Sparks also serves on the board of directors and as chair of the audit committee of other private companies. Ms. Sparks is a Certified Public Accountant (inactive) and holds a Bachelor of Science degree, </w:t>
      </w:r>
      <w:r>
        <w:rPr>
          <w:rFonts w:ascii="Times New Roman" w:cs="Times New Roman" w:eastAsia="Times New Roman" w:hAnsi="Times New Roman"/>
          <w:sz w:val="14"/>
          <w:szCs w:val="14"/>
          <w:i w:val="1"/>
          <w:iCs w:val="1"/>
          <w:color w:val="auto"/>
        </w:rPr>
        <w:t>summa cum laude</w:t>
      </w:r>
      <w:r>
        <w:rPr>
          <w:rFonts w:ascii="Times New Roman" w:cs="Times New Roman" w:eastAsia="Times New Roman" w:hAnsi="Times New Roman"/>
          <w:sz w:val="14"/>
          <w:szCs w:val="14"/>
          <w:color w:val="auto"/>
        </w:rPr>
        <w:t>, in Accounting and Business Administration from Trevecca Nazarene University. Ms. Sparks brings to the Board her management expertise and depth of experience in the areas of audit, accounting, and finance, through her prior experience as a Chief Financial Officer for publicly-traded and privately held companies. With her extensive accounting knowledge and experience, we believe she is highly qualified to serve as the chair of the Audit Committee of the Board.</w:t>
      </w:r>
    </w:p>
    <w:p>
      <w:pPr>
        <w:spacing w:after="0" w:line="14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Perry J. Sternberg </w:t>
      </w:r>
      <w:r>
        <w:rPr>
          <w:rFonts w:ascii="Times New Roman" w:cs="Times New Roman" w:eastAsia="Times New Roman" w:hAnsi="Times New Roman"/>
          <w:sz w:val="14"/>
          <w:szCs w:val="14"/>
          <w:color w:val="auto"/>
        </w:rPr>
        <w:t>has served as a member of our Board of Directors since March 2022. Perry Sternberg has served as the President and Chief Executive Officer of Corium, Inc., a commercial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 Mr. Sternberg is also a member of the board of directors of privately held Surface Ophthalmics, Inc. Mr. Sternberg brings to the Board 25 years of experience in biotechnology and pharmaceuticals, including the development of a strategic marketing vision, implementation of tactical sales plans that drive revenue growth, and effective leadership of teams to achieve as well as exceed growth targets.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ectPr>
          <w:pgSz w:w="11900" w:h="16838" w:orient="portrait"/>
          <w:cols w:equalWidth="0" w:num="1">
            <w:col w:w="11280"/>
          </w:cols>
          <w:pgMar w:left="300" w:top="536" w:right="319" w:bottom="1440" w:gutter="0" w:footer="0" w:header="0"/>
        </w:sectPr>
      </w:pPr>
    </w:p>
    <w:bookmarkStart w:id="9" w:name="page10"/>
    <w:bookmarkEnd w:id="9"/>
    <w:p>
      <w:pPr>
        <w:jc w:val="both"/>
        <w:ind w:firstLine="496"/>
        <w:spacing w:after="0" w:line="249" w:lineRule="auto"/>
        <w:rPr>
          <w:sz w:val="20"/>
          <w:szCs w:val="20"/>
          <w:color w:val="auto"/>
        </w:rPr>
      </w:pPr>
      <w:r>
        <w:rPr>
          <w:rFonts w:ascii="Times New Roman" w:cs="Times New Roman" w:eastAsia="Times New Roman" w:hAnsi="Times New Roman"/>
          <w:sz w:val="14"/>
          <w:szCs w:val="14"/>
          <w:b w:val="1"/>
          <w:bCs w:val="1"/>
          <w:color w:val="auto"/>
        </w:rPr>
        <w:t xml:space="preserve">R. Lawrence Van Horn </w:t>
      </w:r>
      <w:r>
        <w:rPr>
          <w:rFonts w:ascii="Times New Roman" w:cs="Times New Roman" w:eastAsia="Times New Roman" w:hAnsi="Times New Roman"/>
          <w:sz w:val="14"/>
          <w:szCs w:val="14"/>
          <w:color w:val="auto"/>
        </w:rPr>
        <w:t>has served as a member of our Board of Directors since September 2020. Mr. Van Horn is an entrepreneur, board member, and leading expert and researcher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healthcare management and economics. A nontraditional academic, his activity spans business, health policy, and academia. His research has appeared in such leading journals as the Journal of Health Economics, Journal of Law and Economics, New England Journal of Medicine, Journal of Public Budgeting and Financial Management, and Harvard Business Review. He is an Associate Professor of Economics and Management at the Owen Graduate School of Management at Vanderbilt University. He holds courtesy appointments in both the medical and law schools at Vanderbilt. He is the founder and Chief Executive Officer of Preverity, Inc. located in Nashville, Tennessee. Since its founding, he has served as Governance Committee Chair and a Compensation Committee Member for Community Healthcare Trust Incorporated (NYSE: CHCT). He served as Compensation Committee Chair and as an Audit Committee Member for Quorum Health Corporation (NYSE: QHC) prior to it being taken private. He is the Board Chair for Savida Inc., a private equity-backed opioid treatment company focusing on medication-assisted treatment. He is a member of the CEO Council for Council Capital and advisory boards for Harpeth Capital and Council Capital. He is the Executive Director of Health Affairs and Founder and Director of the Center of Health Care Market Innovation at Vanderbilt University. He is also the Co-Director of the Nashville Health Care Council Fellows Program. Mr. Van Horn holds a Ph.D. from the University of Pennsylvania’s Wharton School, a Master’s degree in Public Health, and a Bachelor of Arts from the University of Rochester. Mr. Van Horn brings extensive knowledge and research into healthcare industry economics and governance to the Board. He also has unique experience with healthcare decision makers and business executives nationwide regarding healthcare policy.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 and Board of Directors’ Recommendation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will vote the proxies they receive FOR the election of the nominees named above, unless a particular proxy card withholds authorization to do so or provides contrary instructions.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THE BOARD OF DIRECTORS RECOMMENDS THAT STOCKHOLDERS VOTE </w:t>
      </w:r>
      <w:r>
        <w:rPr>
          <w:rFonts w:ascii="Times New Roman" w:cs="Times New Roman" w:eastAsia="Times New Roman" w:hAnsi="Times New Roman"/>
          <w:sz w:val="14"/>
          <w:szCs w:val="14"/>
          <w:b w:val="1"/>
          <w:bCs w:val="1"/>
          <w:u w:val="single" w:color="auto"/>
          <w:color w:val="auto"/>
        </w:rPr>
        <w:t>FOR</w:t>
      </w:r>
      <w:r>
        <w:rPr>
          <w:rFonts w:ascii="Times New Roman" w:cs="Times New Roman" w:eastAsia="Times New Roman" w:hAnsi="Times New Roman"/>
          <w:sz w:val="14"/>
          <w:szCs w:val="14"/>
          <w:b w:val="1"/>
          <w:bCs w:val="1"/>
          <w:color w:val="auto"/>
        </w:rPr>
        <w:t xml:space="preserve"> THE ELECTION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EACH OF THE NOMINEES FOR DIRECTOR.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ectPr>
          <w:pgSz w:w="11900" w:h="16838" w:orient="portrait"/>
          <w:cols w:equalWidth="0" w:num="1">
            <w:col w:w="11280"/>
          </w:cols>
          <w:pgMar w:left="300" w:top="536"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PROPOSAL NO.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RATIFICATION OF SELECTION OF INDEPENDENT REGISTERED PUBLIC ACCOUNTING FIRM</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Upon the recommendation of our Audit Committee, our Board has selected KMJ Corbin &amp; Company LLP (“KMJ”) to serve as our independent registered public accounting firm for the fiscal year ending December 31, 2023,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and All Other Fees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Aggregate fees for professional services billed to the Company by KMJ for the years ended December 31, 2022 and 2021 were as follows: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183"/>
        </w:trPr>
        <w:tc>
          <w:tcPr>
            <w:tcW w:w="2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5"/>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p>
        </w:tc>
        <w:tc>
          <w:tcPr>
            <w:tcW w:w="14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220,926</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224,025</w:t>
            </w:r>
          </w:p>
        </w:tc>
        <w:tc>
          <w:tcPr>
            <w:tcW w:w="60" w:type="dxa"/>
            <w:vAlign w:val="bottom"/>
            <w:tcBorders>
              <w:top w:val="single" w:sz="8" w:color="CCEEFF"/>
            </w:tcBorders>
            <w:shd w:val="clear" w:color="auto" w:fill="CCEEFF"/>
          </w:tcPr>
          <w:p>
            <w:pPr>
              <w:spacing w:after="0"/>
              <w:rPr>
                <w:sz w:val="14"/>
                <w:szCs w:val="14"/>
                <w:color w:val="auto"/>
              </w:rPr>
            </w:pPr>
          </w:p>
        </w:tc>
      </w:tr>
      <w:tr>
        <w:trPr>
          <w:trHeight w:val="165"/>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p>
        </w:tc>
        <w:tc>
          <w:tcPr>
            <w:tcW w:w="2260" w:type="dxa"/>
            <w:vAlign w:val="bottom"/>
            <w:gridSpan w:val="2"/>
          </w:tcPr>
          <w:p>
            <w:pPr>
              <w:jc w:val="right"/>
              <w:ind w:right="69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68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60" w:type="dxa"/>
            <w:vAlign w:val="bottom"/>
          </w:tcPr>
          <w:p>
            <w:pPr>
              <w:spacing w:after="0"/>
              <w:rPr>
                <w:sz w:val="14"/>
                <w:szCs w:val="14"/>
                <w:color w:val="auto"/>
              </w:rPr>
            </w:pPr>
          </w:p>
        </w:tc>
      </w:tr>
      <w:tr>
        <w:trPr>
          <w:trHeight w:val="19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Fees</w:t>
            </w:r>
          </w:p>
        </w:tc>
        <w:tc>
          <w:tcPr>
            <w:tcW w:w="226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r>
      <w:tr>
        <w:trPr>
          <w:trHeight w:val="156"/>
        </w:trPr>
        <w:tc>
          <w:tcPr>
            <w:tcW w:w="2500" w:type="dxa"/>
            <w:vAlign w:val="bottom"/>
            <w:tcBorders>
              <w:top w:val="single" w:sz="8" w:color="CCEEFF"/>
            </w:tcBorders>
          </w:tcPr>
          <w:p>
            <w:pPr>
              <w:spacing w:after="0" w:line="157" w:lineRule="exact"/>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220,926</w:t>
            </w:r>
          </w:p>
        </w:tc>
        <w:tc>
          <w:tcPr>
            <w:tcW w:w="180" w:type="dxa"/>
            <w:vAlign w:val="bottom"/>
            <w:tcBorders>
              <w:top w:val="single" w:sz="8" w:color="CCEEFF"/>
            </w:tcBorders>
          </w:tcPr>
          <w:p>
            <w:pPr>
              <w:spacing w:after="0"/>
              <w:rPr>
                <w:sz w:val="13"/>
                <w:szCs w:val="13"/>
                <w:color w:val="auto"/>
              </w:rPr>
            </w:pPr>
          </w:p>
        </w:tc>
        <w:tc>
          <w:tcPr>
            <w:tcW w:w="20" w:type="dxa"/>
            <w:vAlign w:val="bottom"/>
            <w:tcBorders>
              <w:top w:val="single" w:sz="8" w:color="CCEEFF"/>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235,025</w:t>
            </w:r>
          </w:p>
        </w:tc>
        <w:tc>
          <w:tcPr>
            <w:tcW w:w="60" w:type="dxa"/>
            <w:vAlign w:val="bottom"/>
            <w:tcBorders>
              <w:top w:val="single" w:sz="8" w:color="CCEEFF"/>
            </w:tcBorders>
          </w:tcPr>
          <w:p>
            <w:pPr>
              <w:spacing w:after="0"/>
              <w:rPr>
                <w:sz w:val="13"/>
                <w:szCs w:val="13"/>
                <w:color w:val="auto"/>
              </w:rPr>
            </w:pPr>
          </w:p>
        </w:tc>
      </w:tr>
      <w:tr>
        <w:trPr>
          <w:trHeight w:val="20"/>
        </w:trPr>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assurance and related services that are reasonably related to the performance of the audit or review of our financial statements and are not reported under audit fees. There were no fees billed by or paid to our principal accountant during the years ended December 31, 2022, and 2021 for tax compliance, tax advice or tax planning services, or for financial information systems design and implementation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Policy</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Audit Committee pre-approves all services to be provided by KMJ. All fees paid to KMJ for services performed in 2022 and 2021 were pre-approved by our Audit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 and Board of Directors’ Recommendation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a proposal and, therefore, will have no direct impact on this proposal. Broker non-votes are not expected to result from the vote on this proposal. The persons named in the proxy will vote the proxies they receive FOR the ratification of the selection of KMJ as our independent registered public accounting firm, unless a particular proxy card withholds authorization to do so or provides contrary instructions.</w:t>
      </w:r>
    </w:p>
    <w:p>
      <w:pPr>
        <w:spacing w:after="0" w:line="138" w:lineRule="exact"/>
        <w:rPr>
          <w:sz w:val="20"/>
          <w:szCs w:val="20"/>
          <w:color w:val="auto"/>
        </w:rPr>
      </w:pPr>
    </w:p>
    <w:p>
      <w:pPr>
        <w:jc w:val="center"/>
        <w:ind w:left="320"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THE BOARD OF DIRECTORS RECOMMENDS THAT STOCKHOLDERS VOTE </w:t>
      </w:r>
      <w:r>
        <w:rPr>
          <w:rFonts w:ascii="Times New Roman" w:cs="Times New Roman" w:eastAsia="Times New Roman" w:hAnsi="Times New Roman"/>
          <w:sz w:val="14"/>
          <w:szCs w:val="14"/>
          <w:b w:val="1"/>
          <w:bCs w:val="1"/>
          <w:u w:val="single" w:color="auto"/>
          <w:color w:val="auto"/>
        </w:rPr>
        <w:t>FOR</w:t>
      </w:r>
      <w:r>
        <w:rPr>
          <w:rFonts w:ascii="Times New Roman" w:cs="Times New Roman" w:eastAsia="Times New Roman" w:hAnsi="Times New Roman"/>
          <w:sz w:val="14"/>
          <w:szCs w:val="14"/>
          <w:b w:val="1"/>
          <w:bCs w:val="1"/>
          <w:color w:val="auto"/>
        </w:rPr>
        <w:t xml:space="preserve"> THE RATIFICATION OF THE SELECTION OF KMJ CORBIN &amp; COMPANY LLP AS THE COMPANY’S INDEPENDENT REGISTERED PUBLIC ACCOUNTING FIRM FOR THE FISCAL YEAR ENDING DECEMBER 31,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1280"/>
          </w:cols>
          <w:pgMar w:left="300" w:top="536"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PROPOSAL NO. 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ADVISORY VOTE ON NAMED EXECUTIVE OFFICER COMPENSATION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Securities and Exchange Commission (“SEC”) rules.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in this Proxy Statement,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“RESOLVED, that the Company’s stockholders approve, on an advisory basis, the compensation of the named executive officers, as disclosed in the Company’s Proxy Statement for the 2023 Annual Meeting of Stockholders pursuant to the compensation disclosure rules of the Securities and Exchange Commission.”</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 and Board of Directors’ Recommendation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Approval of this proposal requires the affirmative vote of a majority of the votes cast at a meeting at which a quorum is present. Abstentions and broker non-votes will be counted as present for purposes of determining the presence of a quorum, but are not considered votes for or against a proposal and, therefore, will have no direct impact on this proposal.</w:t>
      </w:r>
    </w:p>
    <w:p>
      <w:pPr>
        <w:spacing w:after="0" w:line="1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THE BOARD OF DIRECTORS RECOMMENDS THAT STOCKHOLDERS VOTE </w:t>
      </w:r>
      <w:r>
        <w:rPr>
          <w:rFonts w:ascii="Times New Roman" w:cs="Times New Roman" w:eastAsia="Times New Roman" w:hAnsi="Times New Roman"/>
          <w:sz w:val="14"/>
          <w:szCs w:val="14"/>
          <w:b w:val="1"/>
          <w:bCs w:val="1"/>
          <w:u w:val="single" w:color="auto"/>
          <w:color w:val="auto"/>
        </w:rPr>
        <w:t>FOR</w:t>
      </w:r>
      <w:r>
        <w:rPr>
          <w:rFonts w:ascii="Times New Roman" w:cs="Times New Roman" w:eastAsia="Times New Roman" w:hAnsi="Times New Roman"/>
          <w:sz w:val="14"/>
          <w:szCs w:val="14"/>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11280"/>
          </w:cols>
          <w:pgMar w:left="300" w:top="536"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Guidelines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Board of Directors has adopted corporate governance guidelines to assist it in the exercise of its responsibilities and to serve the interests of the Company and our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Our Board of Directors currently consists of the following six members: Mark L. Baum (Chair), Dr. Richard L. Lindstrom, Dr. Martin A. Makary, Teresa F. Sparks, Perry J. Sternberg, and R. Lawrence Van Horn (Lead Independent Director). The Board has determined that Dr. Makary, Ms. Sparks, Mr. Sternberg, and Mr. Van Horn,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 within the last three years. Dr. Robert J. Kammer, who served on the Board until March 31, 2022, was deemed by the Board to be independent during his service on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Nominations for Directors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47"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11280"/>
          </w:cols>
          <w:pgMar w:left="300" w:top="536" w:right="319" w:bottom="1440" w:gutter="0" w:footer="0" w:header="0"/>
        </w:sectPr>
      </w:pPr>
    </w:p>
    <w:bookmarkStart w:id="13" w:name="page14"/>
    <w:bookmarkEnd w:id="13"/>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102 Woodmont Blvd., Suite 610, Nashville, TN 37205, or by accessing the exhibits to our Annual Report on Form 10-K for the year ended December 31, 2022,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5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believes that gender diversity and racial and ethnic diversity are important in providing diverse viewpoints. Of the past four new members elected to the Board, one has been a woman and one has been of Middle Eastern / North African descent. Although Nasdaq’s classification system does not include Middle Eastern or North African individuals as an underrepresented demographic, other classification systems and the Company’s Board consider them to be diverse. For further details about the diversity of the Board, please refer to the following matrix:</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24,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76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8"/>
              </w:rPr>
              <w:t>Male</w:t>
            </w:r>
          </w:p>
        </w:tc>
      </w:tr>
      <w:tr>
        <w:trPr>
          <w:trHeight w:val="16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Number of Directors</w:t>
            </w:r>
          </w:p>
        </w:tc>
        <w:tc>
          <w:tcPr>
            <w:tcW w:w="116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1351"/>
              <w:spacing w:after="0"/>
              <w:rPr>
                <w:sz w:val="20"/>
                <w:szCs w:val="20"/>
                <w:color w:val="auto"/>
              </w:rPr>
            </w:pPr>
            <w:r>
              <w:rPr>
                <w:rFonts w:ascii="Times New Roman" w:cs="Times New Roman" w:eastAsia="Times New Roman" w:hAnsi="Times New Roman"/>
                <w:sz w:val="14"/>
                <w:szCs w:val="14"/>
                <w:color w:val="auto"/>
              </w:rPr>
              <w:t>6</w:t>
            </w:r>
          </w:p>
        </w:tc>
      </w:tr>
      <w:tr>
        <w:trPr>
          <w:trHeight w:val="165"/>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Directors</w:t>
            </w:r>
          </w:p>
        </w:tc>
        <w:tc>
          <w:tcPr>
            <w:tcW w:w="116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1</w:t>
            </w:r>
          </w:p>
        </w:tc>
        <w:tc>
          <w:tcPr>
            <w:tcW w:w="17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5</w:t>
            </w:r>
          </w:p>
        </w:tc>
      </w:tr>
      <w:tr>
        <w:trPr>
          <w:trHeight w:val="165"/>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5"/>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 African/Middle Eastern</w:t>
            </w:r>
          </w:p>
        </w:tc>
        <w:tc>
          <w:tcPr>
            <w:tcW w:w="116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rPr>
              <w:t>0</w:t>
            </w:r>
          </w:p>
        </w:tc>
        <w:tc>
          <w:tcPr>
            <w:tcW w:w="17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85"/>
              </w:rPr>
              <w:t>1</w:t>
            </w:r>
          </w:p>
        </w:tc>
      </w:tr>
      <w:tr>
        <w:trPr>
          <w:trHeight w:val="179"/>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White</w:t>
            </w:r>
          </w:p>
        </w:tc>
        <w:tc>
          <w:tcPr>
            <w:tcW w:w="1160" w:type="dxa"/>
            <w:vAlign w:val="bottom"/>
          </w:tcPr>
          <w:p>
            <w:pPr>
              <w:jc w:val="center"/>
              <w:ind w:left="131"/>
              <w:spacing w:after="0"/>
              <w:rPr>
                <w:sz w:val="20"/>
                <w:szCs w:val="20"/>
                <w:color w:val="auto"/>
              </w:rPr>
            </w:pPr>
            <w:r>
              <w:rPr>
                <w:rFonts w:ascii="Times New Roman" w:cs="Times New Roman" w:eastAsia="Times New Roman" w:hAnsi="Times New Roman"/>
                <w:sz w:val="14"/>
                <w:szCs w:val="14"/>
                <w:color w:val="auto"/>
              </w:rPr>
              <w:t>1</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85"/>
              </w:rPr>
              <w:t>4</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Communications with Directors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Stockholders may communicate with the Board of Directors by sending a letter to the Corporate Secretary, Harrow Health, Inc., 102 Woodmont Blvd., Suite 610, Nashville, TN 37205.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 xml:space="preserve">Our Board has adopted a Code of Business Conduct and Ethics, which is available for review on the Investors section of the Company’s website, </w:t>
      </w:r>
      <w:r>
        <w:rPr>
          <w:rFonts w:ascii="Times New Roman" w:cs="Times New Roman" w:eastAsia="Times New Roman" w:hAnsi="Times New Roman"/>
          <w:sz w:val="13"/>
          <w:szCs w:val="13"/>
          <w:u w:val="single" w:color="auto"/>
          <w:color w:val="auto"/>
        </w:rPr>
        <w:t>www.harrow.com</w:t>
      </w:r>
      <w:r>
        <w:rPr>
          <w:rFonts w:ascii="Times New Roman" w:cs="Times New Roman" w:eastAsia="Times New Roman" w:hAnsi="Times New Roman"/>
          <w:sz w:val="13"/>
          <w:szCs w:val="13"/>
          <w:color w:val="auto"/>
        </w:rPr>
        <w:t>, under Corporate Governance, and is also available in print, without charge, to any stockholder who requests a copy by writing to us at Harrow Health, Inc., 102 Woodmont Blvd., Suite 610, Nashville, TN 37205,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Meetings and Committees of the Board</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11280"/>
          </w:cols>
          <w:pgMar w:left="300" w:top="54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Meeting Attendance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Board generally holds meetings on a quarterly basis, along with monthly update calls, but may hold additional meetings as required. In 2022, the Board held six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directors attended our 2022 annual meeting of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During 2022, our Audit Committee was composed of Ms. Teresa F. Sparks (Chair), Dr. Martin A. Makary, Mr. R. Lawrence Van Horn, and Dr. Robert J. Kammer until his resignation from the Board in March 2022.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Sparks qualifies as an “audit committee financial expert,” as such term is defined in Regulation S-K under the Securities Act of 1933, as amended. The Audit Committee held six meetings in 2022.</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Audit Committee acts pursuant to a written charter that has been adopted by the Board, which is available for review on the Investors section of the Company’s website, </w:t>
      </w:r>
      <w:r>
        <w:rPr>
          <w:rFonts w:ascii="Times New Roman" w:cs="Times New Roman" w:eastAsia="Times New Roman" w:hAnsi="Times New Roman"/>
          <w:sz w:val="14"/>
          <w:szCs w:val="14"/>
          <w:u w:val="single" w:color="auto"/>
          <w:color w:val="auto"/>
        </w:rPr>
        <w:t>www.harrow.com</w:t>
      </w:r>
      <w:r>
        <w:rPr>
          <w:rFonts w:ascii="Times New Roman" w:cs="Times New Roman" w:eastAsia="Times New Roman" w:hAnsi="Times New Roman"/>
          <w:sz w:val="14"/>
          <w:szCs w:val="14"/>
          <w:color w:val="auto"/>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During 2022, our Compensation Committee was composed of Mr. R. Lawrence Van Horn (Chair), Ms. Teresa F. Sparks, Mr. Perry J. Sternberg, and Dr. Robert J. Kammer until his resignation from the Board in March 2022.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2022.</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Compensation Committee acts pursuant to a written charter that has been adopted by the Board, which is available for review on the Investors section of the Company’s website, </w:t>
      </w:r>
      <w:r>
        <w:rPr>
          <w:rFonts w:ascii="Times New Roman" w:cs="Times New Roman" w:eastAsia="Times New Roman" w:hAnsi="Times New Roman"/>
          <w:sz w:val="14"/>
          <w:szCs w:val="14"/>
          <w:u w:val="single" w:color="auto"/>
          <w:color w:val="auto"/>
        </w:rPr>
        <w:t>www.harrow.com</w:t>
      </w:r>
      <w:r>
        <w:rPr>
          <w:rFonts w:ascii="Times New Roman" w:cs="Times New Roman" w:eastAsia="Times New Roman" w:hAnsi="Times New Roman"/>
          <w:sz w:val="14"/>
          <w:szCs w:val="14"/>
          <w:color w:val="auto"/>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Nomination and Corporate Governance Committee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During 2022, our Nomination and Corporate Governance Committee was composed of Mr. R. Lawrence Van Horn (Chair), Ms. Teresa F. Sparks, and Dr. Robert J. Kammer until his resignation from the Board in March 2022.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four meetings in 2022.</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The Nomination and Corporate Governance Committee acts pursuant to a written charter that has been adopted by the Board, which is available for review on the Investors section of the Company’s website, </w:t>
      </w:r>
      <w:r>
        <w:rPr>
          <w:rFonts w:ascii="Times New Roman" w:cs="Times New Roman" w:eastAsia="Times New Roman" w:hAnsi="Times New Roman"/>
          <w:sz w:val="14"/>
          <w:szCs w:val="14"/>
          <w:u w:val="single" w:color="auto"/>
          <w:color w:val="auto"/>
        </w:rPr>
        <w:t>www.harrow.com</w:t>
      </w:r>
      <w:r>
        <w:rPr>
          <w:rFonts w:ascii="Times New Roman" w:cs="Times New Roman" w:eastAsia="Times New Roman" w:hAnsi="Times New Roman"/>
          <w:sz w:val="14"/>
          <w:szCs w:val="14"/>
          <w:color w:val="auto"/>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ectPr>
          <w:pgSz w:w="11900" w:h="16838" w:orient="portrait"/>
          <w:cols w:equalWidth="0" w:num="1">
            <w:col w:w="11280"/>
          </w:cols>
          <w:pgMar w:left="300" w:top="53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both filled by Mark L. Baum. As a result of his in-depth knowledge of the Company’s operations gained by serving as Chief Executive Officer, Mr. Baum is well positioned to identify and lead Board deliberations regarding important matters relating to the Company’s operations, strategic priorities, and overall development. The Board believes that serving as both Chief Executive Officer and Chairman of the Board enables Mr. Baum to facilitate effective communication between Company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our existing corporate governance practices effectively achieve independent oversight and management accountability.</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Corporate Governance Guidelines also provide that, if the same individual serves as Chairman of the Board and Chief Executive Officer, or if the Chairman of the Board is otherwise not independent, our Board shall appoint a Lead Independent Director. Mr. Van Horn has served as our Lead Independent Director since 2021.</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The responsibilities of the Lead Independent Director include: (i) fostering processes that allow the Board to function independently of management and encouraging open and effective communication between the Board and management of the Company; (ii) providing input to the Chairman on behalf of the independent directors with respect to Board agendas; (iii) presiding at all meetings of the Board at which the Chairman is not present, as well as regularly scheduled executive sessions of independent directors; (iv) in the case of a conflict of interest involving a director, if appropriate, asking the conflicted director to leave the room during discussion concerning such matter and, if appropriate, asking such director to recuse himself or herself from voting on the relevant matter; (v) communicating with the Chairman and the Chief Executive Officer, as appropriate, regarding meetings of the independent directors and resources and information necessary for the Board to effectively carry out its duties and responsibilities; (vi) serving as liaison between the Chairman and the independent directors; (vii) being available to directors who have concerns that cannot be addressed through the Chairman; (viii) calling meetings of the independent directors, as needed or when appropriate; and (ix) performing other functions as may reasonably be requested by the Board or the Chairman. In the event the Company appoints an independent Chairman of the Board, the responsibilities of the Lead Independent Director will be assumed by the independent Chairman of the Board.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Role in Risk Management</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Board/Committee</w:t>
            </w:r>
          </w:p>
        </w:tc>
        <w:tc>
          <w:tcPr>
            <w:tcW w:w="220" w:type="dxa"/>
            <w:vAlign w:val="bottom"/>
          </w:tcPr>
          <w:p>
            <w:pPr>
              <w:spacing w:after="0"/>
              <w:rPr>
                <w:sz w:val="15"/>
                <w:szCs w:val="15"/>
                <w:color w:val="auto"/>
              </w:rPr>
            </w:pPr>
          </w:p>
        </w:tc>
        <w:tc>
          <w:tcPr>
            <w:tcW w:w="7680" w:type="dxa"/>
            <w:vAlign w:val="bottom"/>
            <w:gridSpan w:val="2"/>
          </w:tcPr>
          <w:p>
            <w:pPr>
              <w:ind w:left="2860"/>
              <w:spacing w:after="0"/>
              <w:rPr>
                <w:sz w:val="20"/>
                <w:szCs w:val="20"/>
                <w:color w:val="auto"/>
              </w:rPr>
            </w:pPr>
            <w:r>
              <w:rPr>
                <w:rFonts w:ascii="Times New Roman" w:cs="Times New Roman" w:eastAsia="Times New Roman" w:hAnsi="Times New Roman"/>
                <w:sz w:val="14"/>
                <w:szCs w:val="14"/>
                <w:b w:val="1"/>
                <w:bCs w:val="1"/>
                <w:color w:val="auto"/>
              </w:rPr>
              <w:t>Primary Areas of Risk Oversight</w:t>
            </w:r>
          </w:p>
        </w:tc>
      </w:tr>
      <w:tr>
        <w:trPr>
          <w:trHeight w:val="153"/>
        </w:trPr>
        <w:tc>
          <w:tcPr>
            <w:tcW w:w="20" w:type="dxa"/>
            <w:vAlign w:val="bottom"/>
          </w:tcPr>
          <w:p>
            <w:pPr>
              <w:spacing w:after="0"/>
              <w:rPr>
                <w:sz w:val="13"/>
                <w:szCs w:val="13"/>
                <w:color w:val="auto"/>
              </w:rPr>
            </w:pPr>
          </w:p>
        </w:tc>
        <w:tc>
          <w:tcPr>
            <w:tcW w:w="338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Full Board</w:t>
            </w:r>
          </w:p>
        </w:tc>
        <w:tc>
          <w:tcPr>
            <w:tcW w:w="220" w:type="dxa"/>
            <w:vAlign w:val="bottom"/>
            <w:shd w:val="clear" w:color="auto" w:fill="CCEEFF"/>
          </w:tcPr>
          <w:p>
            <w:pPr>
              <w:spacing w:after="0"/>
              <w:rPr>
                <w:sz w:val="13"/>
                <w:szCs w:val="13"/>
                <w:color w:val="auto"/>
              </w:rPr>
            </w:pPr>
          </w:p>
        </w:tc>
        <w:tc>
          <w:tcPr>
            <w:tcW w:w="766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Risks and exposures associated with our business strategy and other current matters that may present material risk to our financial</w:t>
            </w:r>
          </w:p>
        </w:tc>
        <w:tc>
          <w:tcPr>
            <w:tcW w:w="2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operations, prospects or reputation.</w:t>
            </w:r>
          </w:p>
        </w:tc>
        <w:tc>
          <w:tcPr>
            <w:tcW w:w="2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33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Audit Committee</w:t>
            </w:r>
          </w:p>
        </w:tc>
        <w:tc>
          <w:tcPr>
            <w:tcW w:w="220" w:type="dxa"/>
            <w:vAlign w:val="bottom"/>
          </w:tcPr>
          <w:p>
            <w:pPr>
              <w:spacing w:after="0"/>
              <w:rPr>
                <w:sz w:val="13"/>
                <w:szCs w:val="13"/>
                <w:color w:val="auto"/>
              </w:rPr>
            </w:pPr>
          </w:p>
        </w:tc>
        <w:tc>
          <w:tcPr>
            <w:tcW w:w="76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Overall policies with respect to risk assessment and risk management, material pending legal proceedings involving the Company and</w:t>
            </w:r>
          </w:p>
        </w:tc>
        <w:tc>
          <w:tcPr>
            <w:tcW w:w="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contingent liabilities, any potential related party or conflict of interest transactions, as well as other risks and exposures that may</w:t>
            </w: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have a material impact on our financial statements.</w:t>
            </w:r>
          </w:p>
        </w:tc>
      </w:tr>
      <w:tr>
        <w:trPr>
          <w:trHeight w:val="153"/>
        </w:trPr>
        <w:tc>
          <w:tcPr>
            <w:tcW w:w="20" w:type="dxa"/>
            <w:vAlign w:val="bottom"/>
          </w:tcPr>
          <w:p>
            <w:pPr>
              <w:spacing w:after="0"/>
              <w:rPr>
                <w:sz w:val="13"/>
                <w:szCs w:val="13"/>
                <w:color w:val="auto"/>
              </w:rPr>
            </w:pPr>
          </w:p>
        </w:tc>
        <w:tc>
          <w:tcPr>
            <w:tcW w:w="33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Compensation Committee</w:t>
            </w:r>
          </w:p>
        </w:tc>
        <w:tc>
          <w:tcPr>
            <w:tcW w:w="220" w:type="dxa"/>
            <w:vAlign w:val="bottom"/>
            <w:shd w:val="clear" w:color="auto" w:fill="CCEEFF"/>
          </w:tcPr>
          <w:p>
            <w:pPr>
              <w:spacing w:after="0"/>
              <w:rPr>
                <w:sz w:val="13"/>
                <w:szCs w:val="13"/>
                <w:color w:val="auto"/>
              </w:rPr>
            </w:pPr>
          </w:p>
        </w:tc>
        <w:tc>
          <w:tcPr>
            <w:tcW w:w="7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w w:val="98"/>
              </w:rPr>
              <w:t>Risks and exposures associated with management succession planning and executive compensation programs and arrangements, including</w:t>
            </w:r>
          </w:p>
        </w:tc>
        <w:tc>
          <w:tcPr>
            <w:tcW w:w="2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plans.</w:t>
            </w: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Nomination and Corporate Governance Committee</w:t>
            </w:r>
          </w:p>
        </w:tc>
        <w:tc>
          <w:tcPr>
            <w:tcW w:w="22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Risks and exposures associated with director succession planning, corporate governance, and overall board effectiveness.</w:t>
            </w:r>
          </w:p>
        </w:tc>
        <w:tc>
          <w:tcPr>
            <w:tcW w:w="20" w:type="dxa"/>
            <w:vAlign w:val="bottom"/>
          </w:tcPr>
          <w:p>
            <w:pPr>
              <w:spacing w:after="0"/>
              <w:rPr>
                <w:sz w:val="15"/>
                <w:szCs w:val="15"/>
                <w:color w:val="auto"/>
              </w:rPr>
            </w:pPr>
          </w:p>
        </w:tc>
      </w:tr>
      <w:tr>
        <w:trPr>
          <w:trHeight w:val="153"/>
        </w:trPr>
        <w:tc>
          <w:tcPr>
            <w:tcW w:w="3400" w:type="dxa"/>
            <w:vAlign w:val="bottom"/>
            <w:gridSpan w:val="2"/>
          </w:tcPr>
          <w:p>
            <w:pPr>
              <w:spacing w:after="0"/>
              <w:rPr>
                <w:sz w:val="13"/>
                <w:szCs w:val="13"/>
                <w:color w:val="auto"/>
              </w:rPr>
            </w:pPr>
          </w:p>
        </w:tc>
        <w:tc>
          <w:tcPr>
            <w:tcW w:w="7900" w:type="dxa"/>
            <w:vAlign w:val="bottom"/>
            <w:gridSpan w:val="3"/>
          </w:tcPr>
          <w:p>
            <w:pPr>
              <w:spacing w:after="0"/>
              <w:rPr>
                <w:sz w:val="13"/>
                <w:szCs w:val="13"/>
                <w:color w:val="auto"/>
              </w:rPr>
            </w:pPr>
          </w:p>
        </w:tc>
      </w:tr>
      <w:tr>
        <w:trPr>
          <w:trHeight w:val="179"/>
        </w:trPr>
        <w:tc>
          <w:tcPr>
            <w:tcW w:w="3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7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r>
    </w:tbl>
    <w:p>
      <w:pPr>
        <w:sectPr>
          <w:pgSz w:w="11900" w:h="16838" w:orient="portrait"/>
          <w:cols w:equalWidth="0" w:num="1">
            <w:col w:w="11280"/>
          </w:cols>
          <w:pgMar w:left="300" w:top="53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Corporate Transparency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early 2022, we released and published on our corporate website (</w:t>
      </w:r>
      <w:r>
        <w:rPr>
          <w:rFonts w:ascii="Times New Roman" w:cs="Times New Roman" w:eastAsia="Times New Roman" w:hAnsi="Times New Roman"/>
          <w:sz w:val="14"/>
          <w:szCs w:val="14"/>
          <w:u w:val="single" w:color="auto"/>
          <w:color w:val="auto"/>
        </w:rPr>
        <w:t>www.harrow.com</w:t>
      </w:r>
      <w:r>
        <w:rPr>
          <w:rFonts w:ascii="Times New Roman" w:cs="Times New Roman" w:eastAsia="Times New Roman" w:hAnsi="Times New Roman"/>
          <w:sz w:val="14"/>
          <w:szCs w:val="14"/>
          <w:color w:val="auto"/>
        </w:rPr>
        <w:t>) our Corporate Transparency Report, which describes and summarizes the initiatives the Company has undertaken and associated metrics related to certain issues including:</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 Emissions, Waste and Water</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Embracing Our Community</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Supply Chain Management</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Innovation/Sustainable Products</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Community Involvement</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Health and Safety</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Recruitment, Development and Retention</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Governance</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Diversity</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Drug Safety</w:t>
            </w: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Ethics, Compliance and Bribery</w:t>
            </w: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7"/>
              </w:rPr>
              <w:t>Data Protection, Patient Data Privacy</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Policy Regarding Related Party Transactions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Related Persons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Klarity License Agreement – Related Party</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Dr. Lindstrom was paid $274,00 and $165,000 in cash during the years ended December 31, 2022 and 2021, respectively, and was due an additional $71,000 and $30,000 at December 31, 2022 and 2021, respectively. The Company incurred $315,000 and $160,000 of royalty expenses related to the Klarity License Agreement during the years ended December 31, 2022 and 2021,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Injectable Asset Purchase Agreement – Related Party</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$32,000 and $28,000 in cash during the years ended December 31, 2022 and 2021, respectively, and was due $9,000 and $8,000 at December 31, 2022 and 2021, respectively. The Company incurred $33,000 and $29,000 of royalty expenses related to the Lindstrom APA during the years ended December 31, 2022 and 2021,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1280"/>
          </w:cols>
          <w:pgMar w:left="300" w:top="53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Presbyopia Asset Purchase Agreement – Related Party</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December 2019, the Company entered into an asset purchase agreement (the “Presbyopia APA”) with Dr. Lindstrom,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Under the terms of the Presbyopia APA, the Company is required to make royalty payments to Dr. Lindstrom ranging from 2% to 4% of net sales, dependent upon the final formulation and patent protection of the Presbyopia Product sold. No amounts were due or paid to Dr. Lindstrom during the years ended December 31, 2022 and 2021. The Company incurred no royalty expenses related to the Presbyopia APA during the years ended December 31, 2022 and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in Eton Pharmaceuticals, Inc.</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Eton Pharmaceuticals, Inc. (“Eton”) was formed as a subsidiary of the Company in 2017. In May 2017, Eton closed an offering of its Series A Preferred Stock, as a result of which we lost our controlling interest in it. In November 2018, Eton completed an initial public offering of its common stock. We own 1,982,000 shares of Eton common stock, which represented approximately 8% of the equity and voting interests of Eton as of December 31, 2022. At December 31, 2022, the fair market value of Eton’s common stock was $2.82 per share. In accordance with Accounting Standard Update (“ASU”) 2016-01, </w:t>
      </w:r>
      <w:r>
        <w:rPr>
          <w:rFonts w:ascii="Times New Roman" w:cs="Times New Roman" w:eastAsia="Times New Roman" w:hAnsi="Times New Roman"/>
          <w:sz w:val="14"/>
          <w:szCs w:val="14"/>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4"/>
          <w:szCs w:val="14"/>
          <w:color w:val="auto"/>
        </w:rPr>
        <w:t>, for the years ended December 31, 2022 and 2021, we recorded an investment loss from our Eton common stock position of $2,914,000 and $10,126,000, respectively, related to the change in fair market value of our investment in Eton during the measurement periods, including a realized loss of $1,406,000 from the sale of 1,518,000 shares of Eton’s common stock during the year ended December 31, 2021. As of December 31, 2022 and 2021, the fair market value of our investment in Eton was $5,589,000 and $8,503,000,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in Surface Pharmaceuticals, Inc. and Related Agreements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2017, the Company formed Surface Pharmaceuticals, Inc. (“Surface”). In May and July 2018, Surface closed an offering of its Series A Preferred Stock. At that time, the Company lost its controlling interest and deconsolidated Surface from the Company’s consolidated financial statements. The Company owns 3,500,000 shares of common stock of Surface, which represented approximately 20% of Surface’s equity and voting interests as of December 31, 2022,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49"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Company entered into an asset purchase and license agreement with Surface in 2017 and amended it in April 2018 (the “Surface License Agreement”). Pursuant to the terms of the Surface License Agreement,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Richard L. Lindstrom, M.D. and Mark L. Baum were directors of Surface until March 31, 2023. Perry J. Sternberg, a Company director, is currently a director on the Surface board of directors. Surface is required to make royalty payments to Dr. Lindstrom of 3% of net sales of certain Surface Products while certain patent rights remain outstanding. Dr. Lindstrom is also a principal of Flying L Partners, an affiliate of the funding investor who purchased Surface Series A Preferred Stock. Several employees and directors of the Company (including Mr. Baum and Dr. Lindstrom) previously acted as consultants to Surface.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in Melt Pharmaceuticals, Inc.</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April 2018, the Company formed Melt Pharmaceuticals, Inc. (“Melt”) as a wholly-owned subsidiary. 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ectPr>
          <w:pgSz w:w="11900" w:h="16838" w:orient="portrait"/>
          <w:cols w:equalWidth="0" w:num="1">
            <w:col w:w="11280"/>
          </w:cols>
          <w:pgMar w:left="300" w:top="536" w:right="319" w:bottom="1440" w:gutter="0" w:footer="0" w:header="0"/>
        </w:sectPr>
      </w:pPr>
    </w:p>
    <w:bookmarkStart w:id="18" w:name="page19"/>
    <w:bookmarkEnd w:id="18"/>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In January and March of 2019, Melt entered into definitive stock purchase agreements (collectively, the “Melt Series A Preferred Stock Agreement”) with certain investors and closed on the purchase and sale of Melt’s Series A Preferred Stock (the “Melt Series A Stock”), generating approximately $11,400,000 of proceeds (collectively, the “Melt Series A Round”) at a purchase price of $5.00 per share. As a result, the Company lost voting and ownership control of Melt and ceased consolidating Melt’s financial statements. In January 2019, the Company deconsolidated Melt and recorded a gain of $5,810,000 and adjusted the carrying value in Melt to reflect the increased valuation of Melt and the Company’s new ownership interest in accordance with Accounting Standards Codification (“ASC”) 810-10-40-4(c),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February 2019, the Company and Melt entered into a Management Service Agreement (the “Melt MSA”), whereby the Company provides to Melt certain administrative services and support, including bookkeeping, web services and human resources related activities, and Melt is required to pay the Company a monthly amount of $10,000. During the year ended December 31, 2022, the Company recorded $91,000 due from Melt for reimbursable expenses and amounts payable pursuant to the Melt MSA, which are included in prepaid expenses and other current assets in the accompanying condensed consolidated balance sheets. As of December 31, 2022 and December 31, 2021, the Company was due $139,000 and $48,000, respectively, from Melt for reimbursable expenses and amounts due under the Melt MSA. Melt did not make any payments to the Company during the year ended December 31, 2022.</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4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The Company owns 3,500,000 shares of common stock of Melt (representing approximately 46% of the equity and voting interests of Melt as of December 31, 2022).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December 31, 2022 and 2021, and at the time of entering into the Melt Loan Agreement (as defined below),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5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September 1, 2021, the Company entered into a loan and security agreement in the principal amount of $13,500,000 (the “Melt Loan Agreement”), as lender, with Melt, as borrower. Amounts borrowed under the Melt Loan Agreement bear interest at 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June 1, 2023, which can be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spacing w:after="0" w:line="149"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3% per annum.</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ectPr>
          <w:pgSz w:w="11900" w:h="16838" w:orient="portrait"/>
          <w:cols w:equalWidth="0" w:num="1">
            <w:col w:w="11280"/>
          </w:cols>
          <w:pgMar w:left="300" w:top="540" w:right="319" w:bottom="1440" w:gutter="0" w:footer="0" w:header="0"/>
        </w:sectPr>
      </w:pPr>
    </w:p>
    <w:bookmarkStart w:id="19" w:name="page20"/>
    <w:bookmarkEnd w:id="19"/>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net funds received by Melt excluded $908,000 owed to the Company for reimbursable expenses and amounts due under the Melt MSA prior to the effective date of the note receivable. As of December 31, 2022 and 2021, aggregate principal and accrued interest payable to the Company pursuant to the Melt Loan Agreement amounted to $15,984,000 and $14,076,000, respectively. In accordance with ASC 328, </w:t>
      </w:r>
      <w:r>
        <w:rPr>
          <w:rFonts w:ascii="Times New Roman" w:cs="Times New Roman" w:eastAsia="Times New Roman" w:hAnsi="Times New Roman"/>
          <w:sz w:val="14"/>
          <w:szCs w:val="14"/>
          <w:i w:val="1"/>
          <w:iCs w:val="1"/>
          <w:color w:val="auto"/>
        </w:rPr>
        <w:t>Investments – Equity Method and Joint Ventures</w:t>
      </w:r>
      <w:r>
        <w:rPr>
          <w:rFonts w:ascii="Times New Roman" w:cs="Times New Roman" w:eastAsia="Times New Roman" w:hAnsi="Times New Roman"/>
          <w:sz w:val="14"/>
          <w:szCs w:val="14"/>
          <w:color w:val="auto"/>
        </w:rPr>
        <w:t>, the carrying amount of the note receivable has been reduced by the Company’s allocated share of Melt’s losses based on its ownership of total debt owed by Melt.</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Company’s Chief Executive Officer, Mark L. Baum, was previously a member of the Melt board of directors until his resignation in 2021. Following Mr. Baum’s departure, the Company did not have any representation on Melt’s board of directors until January 2023, when Mr. Baum re-joined the Melt board of directors. At the time Mr. Baum re-joined, the Melt board of directors consisted of five total members, including Mr. Baum, who is the only representative of the Company on Melt’s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on Hedging, Pledging and Similar Activities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We maintain an insider trading policy that governs transactions in our securities by directors, officers and other employees. Among other provisions, the policy prohibits “short-selling” of any equity security of the Company and transactions in put options, call options or other derivative securities, on an exchange or in any other organized market. Hedging or monetization transactions, including through the use of financial instruments such as prepaid variable forwards, equity swaps, collars and exchange funds, are strongly discouraged and must be submitted for approval by the Company’s compliance officer prior to any proposed execution of such a transaction. Directors and officers are also prohibited from holding our securities in a margin account or otherwise pledging our securities as collateral for a loan. In addition, the policy discourages placing standing or limit orders on Company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Executive officers are appointed by our Board and serve at its discretion. Set forth below is information regarding our executive officers as of April 24, 2023.</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2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7180" w:type="dxa"/>
            <w:vAlign w:val="bottom"/>
            <w:gridSpan w:val="2"/>
          </w:tcPr>
          <w:p>
            <w:pPr>
              <w:ind w:left="3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r>
      <w:tr>
        <w:trPr>
          <w:trHeight w:val="165"/>
        </w:trPr>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w:t>
            </w:r>
          </w:p>
        </w:tc>
        <w:tc>
          <w:tcPr>
            <w:tcW w:w="100" w:type="dxa"/>
            <w:vAlign w:val="bottom"/>
            <w:tcBorders>
              <w:top w:val="single" w:sz="8" w:color="CCEEFF"/>
            </w:tcBorders>
            <w:shd w:val="clear" w:color="auto" w:fill="CCEEFF"/>
          </w:tcPr>
          <w:p>
            <w:pPr>
              <w:spacing w:after="0"/>
              <w:rPr>
                <w:sz w:val="14"/>
                <w:szCs w:val="14"/>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r>
      <w:tr>
        <w:trPr>
          <w:trHeight w:val="16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Andrew R. Boll</w:t>
            </w: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 and Corporate Secretary</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r>
      <w:tr>
        <w:trPr>
          <w:trHeight w:val="165"/>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 Saharek</w:t>
            </w: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Chief Commercial Officer and President, ImprimisRx</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r>
    </w:tbl>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 Baum’s biographical information is included with such information for the other members of our Board.</w:t>
      </w:r>
    </w:p>
    <w:p>
      <w:pPr>
        <w:spacing w:after="0" w:line="16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Andrew R. Boll, CFA, CMA. </w:t>
      </w:r>
      <w:r>
        <w:rPr>
          <w:rFonts w:ascii="Times New Roman" w:cs="Times New Roman" w:eastAsia="Times New Roman" w:hAnsi="Times New Roman"/>
          <w:sz w:val="13"/>
          <w:szCs w:val="13"/>
          <w:color w:val="auto"/>
        </w:rPr>
        <w:t>Mr. Boll started as a founding employee of Harrow in December 2011 and has served as our Chief Financial Officer and Corporate Secretary since his promotion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role in February 2015. He oversees the Company’s accounting, financial and other general administrative operations, along with corporate and business development initiatives. In addition, Mr. Boll helped found and start-up Eton Pharmaceuticals, Surface Ophthalmics, Melt Pharmaceuticals and ImprimisRx. Prior to the founding of Harrow, from 2007 to 2011, Mr. Boll worked for an investment company and its series of funds where he oversaw the fund’s accounting, financial analysis, and reporting. He was also closely involved with the financial operations of a number of the fund’s portfolio</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4"/>
          <w:szCs w:val="14"/>
          <w:color w:val="auto"/>
        </w:rPr>
        <w:t>companies (public and private). Prior to 2007, Mr. Boll held various accounting roles at Welsh Companies, LLC, a commercial real estate company, its fund and its other subsidiaries. Mr. Boll is a CFA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charterholder, Certified Management Accountant and earned his Bachelor of Science degree, </w:t>
      </w:r>
      <w:r>
        <w:rPr>
          <w:rFonts w:ascii="Times New Roman" w:cs="Times New Roman" w:eastAsia="Times New Roman" w:hAnsi="Times New Roman"/>
          <w:sz w:val="14"/>
          <w:szCs w:val="14"/>
          <w:i w:val="1"/>
          <w:iCs w:val="1"/>
          <w:color w:val="auto"/>
        </w:rPr>
        <w:t>summa cum laude</w:t>
      </w:r>
      <w:r>
        <w:rPr>
          <w:rFonts w:ascii="Times New Roman" w:cs="Times New Roman" w:eastAsia="Times New Roman" w:hAnsi="Times New Roman"/>
          <w:sz w:val="14"/>
          <w:szCs w:val="14"/>
          <w:color w:val="auto"/>
        </w:rPr>
        <w:t>, in Corporate and Public Finance at Huron University.</w:t>
      </w:r>
    </w:p>
    <w:p>
      <w:pPr>
        <w:spacing w:after="0" w:line="149"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John P. Saharek. </w:t>
      </w:r>
      <w:r>
        <w:rPr>
          <w:rFonts w:ascii="Times New Roman" w:cs="Times New Roman" w:eastAsia="Times New Roman" w:hAnsi="Times New Roman"/>
          <w:sz w:val="14"/>
          <w:szCs w:val="14"/>
          <w:color w:val="auto"/>
        </w:rPr>
        <w:t>Mr. Saharek has served as our Chief Commercial Officer since February 2015 and as ImprimisRx’s President since February 2019, and was previously our Vice-President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Commercialization, Ophthalmology from November 2013 until February 2015. He is a senior healthcare industry executive with over 30 years of broad experience developing and commercializing pharmaceutical, biotechnology,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 of Business Administration in Finance from the University of Hartford and a Bachelor of Arts in Business from Central Connecticut State University.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bl>
    <w:p>
      <w:pPr>
        <w:sectPr>
          <w:pgSz w:w="11900" w:h="16838" w:orient="portrait"/>
          <w:cols w:equalWidth="0" w:num="1">
            <w:col w:w="11280"/>
          </w:cols>
          <w:pgMar w:left="300" w:top="540" w:right="31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722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DIRECTOR COMPENSATION</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1"/>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 Compensation Program for Year Ended December 31, 2022</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the non-employee director compensation arrangements for 2022 is set forth below.</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Cash Compensation</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Retainer and</w:t>
            </w:r>
          </w:p>
        </w:tc>
      </w:tr>
      <w:tr>
        <w:trPr>
          <w:trHeight w:val="183"/>
        </w:trPr>
        <w:tc>
          <w:tcPr>
            <w:tcW w:w="50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Meeting Fees</w:t>
            </w:r>
          </w:p>
        </w:tc>
      </w:tr>
      <w:tr>
        <w:trPr>
          <w:trHeight w:val="165"/>
        </w:trPr>
        <w:tc>
          <w:tcPr>
            <w:tcW w:w="500" w:type="dxa"/>
            <w:vAlign w:val="bottom"/>
          </w:tcPr>
          <w:p>
            <w:pPr>
              <w:spacing w:after="0"/>
              <w:rPr>
                <w:sz w:val="14"/>
                <w:szCs w:val="14"/>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Annual Board Retainer Fee</w:t>
            </w: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Borders>
              <w:top w:val="single" w:sz="8" w:color="CCEEFF"/>
            </w:tcBorders>
            <w:shd w:val="clear" w:color="auto" w:fill="CCEEFF"/>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Annual Chairman Retainer Fees*: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Non-Employee Chairman of the Board or Lead Independent Director</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w:t>
            </w:r>
          </w:p>
        </w:tc>
      </w:tr>
      <w:tr>
        <w:trPr>
          <w:trHeight w:val="165"/>
        </w:trPr>
        <w:tc>
          <w:tcPr>
            <w:tcW w:w="50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 Committee Chairman</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20,000</w:t>
            </w:r>
          </w:p>
        </w:tc>
      </w:tr>
      <w:tr>
        <w:trPr>
          <w:trHeight w:val="165"/>
        </w:trPr>
        <w:tc>
          <w:tcPr>
            <w:tcW w:w="500" w:type="dxa"/>
            <w:vAlign w:val="bottom"/>
          </w:tcPr>
          <w:p>
            <w:pPr>
              <w:spacing w:after="0"/>
              <w:rPr>
                <w:sz w:val="14"/>
                <w:szCs w:val="14"/>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Committee Chairman</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15,000</w:t>
            </w:r>
          </w:p>
        </w:tc>
      </w:tr>
      <w:tr>
        <w:trPr>
          <w:trHeight w:val="165"/>
        </w:trPr>
        <w:tc>
          <w:tcPr>
            <w:tcW w:w="50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Nomination and Corporate Governance Committee Chairman</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10,000</w:t>
            </w:r>
          </w:p>
        </w:tc>
      </w:tr>
      <w:tr>
        <w:trPr>
          <w:trHeight w:val="165"/>
        </w:trPr>
        <w:tc>
          <w:tcPr>
            <w:tcW w:w="500" w:type="dxa"/>
            <w:vAlign w:val="bottom"/>
          </w:tcPr>
          <w:p>
            <w:pPr>
              <w:spacing w:after="0"/>
              <w:rPr>
                <w:sz w:val="14"/>
                <w:szCs w:val="14"/>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Annual Committee Member Retainer Fees*:</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50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 Committee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10,000</w:t>
            </w:r>
          </w:p>
        </w:tc>
      </w:tr>
      <w:tr>
        <w:trPr>
          <w:trHeight w:val="165"/>
        </w:trPr>
        <w:tc>
          <w:tcPr>
            <w:tcW w:w="500" w:type="dxa"/>
            <w:vAlign w:val="bottom"/>
          </w:tcPr>
          <w:p>
            <w:pPr>
              <w:spacing w:after="0"/>
              <w:rPr>
                <w:sz w:val="14"/>
                <w:szCs w:val="14"/>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Committee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7,500</w:t>
            </w:r>
          </w:p>
        </w:tc>
      </w:tr>
      <w:tr>
        <w:trPr>
          <w:trHeight w:val="179"/>
        </w:trPr>
        <w:tc>
          <w:tcPr>
            <w:tcW w:w="500" w:type="dxa"/>
            <w:vAlign w:val="bottom"/>
          </w:tcPr>
          <w:p>
            <w:pPr>
              <w:spacing w:after="0"/>
              <w:rPr>
                <w:sz w:val="15"/>
                <w:szCs w:val="15"/>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Nomination and Corporate Governance Committee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96520</wp:posOffset>
            </wp:positionV>
            <wp:extent cx="179133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1335" cy="13335"/>
                    </a:xfrm>
                    <a:prstGeom prst="rect">
                      <a:avLst/>
                    </a:prstGeom>
                    <a:noFill/>
                  </pic:spPr>
                </pic:pic>
              </a:graphicData>
            </a:graphic>
          </wp:anchor>
        </w:drawing>
      </w:r>
    </w:p>
    <w:p>
      <w:pPr>
        <w:spacing w:after="0" w:line="150" w:lineRule="exact"/>
        <w:rPr>
          <w:sz w:val="20"/>
          <w:szCs w:val="20"/>
          <w:color w:val="auto"/>
        </w:rPr>
      </w:pPr>
    </w:p>
    <w:p>
      <w:pPr>
        <w:ind w:left="500"/>
        <w:spacing w:after="0"/>
        <w:tabs>
          <w:tab w:leader="none" w:pos="720" w:val="left"/>
        </w:tabs>
        <w:rPr>
          <w:sz w:val="20"/>
          <w:szCs w:val="20"/>
          <w:color w:val="auto"/>
        </w:rPr>
      </w:pPr>
      <w:r>
        <w:rPr>
          <w:rFonts w:ascii="Times New Roman" w:cs="Times New Roman" w:eastAsia="Times New Roman" w:hAnsi="Times New Roman"/>
          <w:sz w:val="14"/>
          <w:szCs w:val="14"/>
          <w:color w:val="auto"/>
        </w:rPr>
        <w:t>*</w:t>
        <w:tab/>
        <w:t>These fees are in addition to the Annual Board Retainer Fee, as applicable.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Non-employee directors are also reimbursed for their reasonable out-of-pocket expenses incurred in connection with attending Board and committee meetings.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Non-employee directors are eligible to receive an annual award of restricted stock units (“RSUs”) valued at $100,000, as well as an initial award of RSUs at the time of their appointment to the Board.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 Table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following table shows the compensation earned by, awarded or paid in 2022 to the individuals who served as our non-employee directors during such period and the number of shares underlying RSUs held by each non-employee director at year-end. Dr. Kammer resigned from the Board effective March 31, 2022, but remained as an advisor to the Company through the end of 2022. As a result of Dr. Kammer’s resignation and the expansion of the Board to six members, Mr. Sternberg and Dr. Makary joined the Board on March 31, 2022. Mr. Baum did not receive any additional compensation for his services as a director and his compensation received as an executive officer is disclosed in the Summary Compensation Table in this Proxy Statement.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Aggregate Shares</w:t>
            </w:r>
          </w:p>
        </w:tc>
      </w:tr>
      <w:tr>
        <w:trPr>
          <w:trHeight w:val="165"/>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Underlying RSUs</w:t>
            </w:r>
          </w:p>
        </w:tc>
      </w:tr>
      <w:tr>
        <w:trPr>
          <w:trHeight w:val="183"/>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7"/>
              </w:rPr>
              <w:t>Paid in Cash ($)</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(1)(2)</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Held by Director</w:t>
            </w:r>
          </w:p>
        </w:tc>
        <w:tc>
          <w:tcPr>
            <w:tcW w:w="160" w:type="dxa"/>
            <w:vAlign w:val="bottom"/>
            <w:tcBorders>
              <w:bottom w:val="single" w:sz="8" w:color="CCEEFF"/>
            </w:tcBorders>
          </w:tcPr>
          <w:p>
            <w:pPr>
              <w:spacing w:after="0"/>
              <w:rPr>
                <w:sz w:val="15"/>
                <w:szCs w:val="15"/>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J. Kammer (3)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16,875(3)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100,000(4)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30,000(4)</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146,875</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r>
      <w:tr>
        <w:trPr>
          <w:trHeight w:val="165"/>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L. Lindstrom</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40,000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221,806(5)</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361,806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122,741(6)</w:t>
            </w:r>
          </w:p>
        </w:tc>
      </w:tr>
      <w:tr>
        <w:trPr>
          <w:trHeight w:val="16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Martin A. Makary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37,500</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137,500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13,123(6)</w:t>
            </w:r>
          </w:p>
        </w:tc>
      </w:tr>
      <w:tr>
        <w:trPr>
          <w:trHeight w:val="165"/>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Teresa F. Sparks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72,500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172,500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49,773(6)</w:t>
            </w:r>
          </w:p>
        </w:tc>
      </w:tr>
      <w:tr>
        <w:trPr>
          <w:trHeight w:val="165"/>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Perry J. Sternberg</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35,625</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135,625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13,123(6)</w:t>
            </w:r>
          </w:p>
        </w:tc>
      </w:tr>
      <w:tr>
        <w:trPr>
          <w:trHeight w:val="179"/>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Lawrence Van Horn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103,750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203,750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35,267(6)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179133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1335" cy="13335"/>
                    </a:xfrm>
                    <a:prstGeom prst="rect">
                      <a:avLst/>
                    </a:prstGeom>
                    <a:noFill/>
                  </pic:spPr>
                </pic:pic>
              </a:graphicData>
            </a:graphic>
          </wp:anchor>
        </w:drawing>
      </w:r>
    </w:p>
    <w:p>
      <w:pPr>
        <w:spacing w:after="0" w:line="146" w:lineRule="exact"/>
        <w:rPr>
          <w:sz w:val="20"/>
          <w:szCs w:val="20"/>
          <w:color w:val="auto"/>
        </w:rPr>
      </w:pPr>
    </w:p>
    <w:p>
      <w:pPr>
        <w:jc w:val="both"/>
        <w:ind w:left="260" w:hanging="257"/>
        <w:spacing w:after="0" w:line="255"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the dollar amount of the grant date fair value of awards granted in 2022, measured in accordance with ASC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xml:space="preserve"> and without adjustment for estimated forfeitures. For a discussion of the assumptions used to calculate the value of equity awards, refer to Note 15 to our consolidated financial statements for the fiscal year ended December 31, 2022, included in the Annual Report.</w:t>
      </w: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received an award of 13,123 RSUs during the year ended December 31, 2022.</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figure shown through the date of Dr. Kammer’s resignation from the Board effective March 31, 2022.</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payable for consulting services provided by Dr. Kammer after his resignation from the Board.</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royalties paid to Dr. Lindstrom as part of the Klarity License Agreement and Lindstrom APA (defined under the heading “Corporate Governance – Transactions with Related Persons” above) and consulting fees associated with serving as a part of the Company’s medical advisory board.</w:t>
      </w:r>
    </w:p>
    <w:p>
      <w:pPr>
        <w:ind w:left="260" w:hanging="257"/>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that have vested, but the issuance and delivery of which is deferred until the director resigns.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ectPr>
          <w:pgSz w:w="11900" w:h="16838" w:orient="portrait"/>
          <w:cols w:equalWidth="0" w:num="1">
            <w:col w:w="11280"/>
          </w:cols>
          <w:pgMar w:left="300" w:top="536"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named executive officers for 2022 were: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5"/>
                <w:szCs w:val="15"/>
                <w:color w:val="auto"/>
              </w:rPr>
            </w:pPr>
          </w:p>
        </w:tc>
        <w:tc>
          <w:tcPr>
            <w:tcW w:w="768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65"/>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w:t>
            </w:r>
          </w:p>
        </w:tc>
        <w:tc>
          <w:tcPr>
            <w:tcW w:w="100" w:type="dxa"/>
            <w:vAlign w:val="bottom"/>
            <w:shd w:val="clear" w:color="auto" w:fill="CCEEFF"/>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r>
      <w:tr>
        <w:trPr>
          <w:trHeight w:val="16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Andrew R. Boll</w:t>
            </w:r>
          </w:p>
        </w:tc>
        <w:tc>
          <w:tcPr>
            <w:tcW w:w="7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Financial Officer and Corporate Secretary</w:t>
            </w:r>
          </w:p>
        </w:tc>
      </w:tr>
      <w:tr>
        <w:trPr>
          <w:trHeight w:val="165"/>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 Saharek</w:t>
            </w:r>
          </w:p>
        </w:tc>
        <w:tc>
          <w:tcPr>
            <w:tcW w:w="7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Chief Commercial Officer</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Philosophy and Objectives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42" w:lineRule="exact"/>
        <w:rPr>
          <w:sz w:val="20"/>
          <w:szCs w:val="20"/>
          <w:color w:val="auto"/>
        </w:rPr>
      </w:pPr>
    </w:p>
    <w:p>
      <w:pPr>
        <w:ind w:left="740" w:hanging="241"/>
        <w:spacing w:after="0" w:line="256"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competitive total compensation package that enables the Company to attract and retain highly qualified executives with the skills and experience required for the achievement of business goals;</w:t>
      </w:r>
    </w:p>
    <w:p>
      <w:pPr>
        <w:ind w:left="740" w:hanging="241"/>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compensation elements with the Company’s annual goals and long-term business strategies and objectives;</w:t>
      </w:r>
    </w:p>
    <w:p>
      <w:pPr>
        <w:spacing w:after="0" w:line="4" w:lineRule="exact"/>
        <w:rPr>
          <w:rFonts w:ascii="Times New Roman" w:cs="Times New Roman" w:eastAsia="Times New Roman" w:hAnsi="Times New Roman"/>
          <w:sz w:val="14"/>
          <w:szCs w:val="14"/>
          <w:color w:val="auto"/>
        </w:rPr>
      </w:pPr>
    </w:p>
    <w:p>
      <w:pPr>
        <w:ind w:left="740" w:hanging="241"/>
        <w:spacing w:after="0" w:line="246"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promote the achievement of key strategic and financial performance measures by linking short-term and long-term cash and equity incentives to the achievement of measurable corporate and individual performance goals; and</w:t>
      </w:r>
    </w:p>
    <w:p>
      <w:pPr>
        <w:ind w:left="740" w:hanging="241"/>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executives’ incentives with the creation of stockholder value.</w:t>
      </w:r>
    </w:p>
    <w:p>
      <w:pPr>
        <w:spacing w:after="0" w:line="156"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such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3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Roles in Determining Executive Officer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ectPr>
          <w:pgSz w:w="11900" w:h="16838" w:orient="portrait"/>
          <w:cols w:equalWidth="0" w:num="1">
            <w:col w:w="11280"/>
          </w:cols>
          <w:pgMar w:left="300" w:top="53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Chief Executive Officer reviews and makes recommendations to the Compensation Committee with respect to the compensation of our named executive officers and other members of the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Consultant</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During 2021, the Compensation Committee retained the services of an external compensation consultant, Mercer, Inc. (“Mercer”).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Mercer’s performance, considers alternative compensation consultants and has the final authority to engage and terminate Mercer’s services. The decision to engage Mercer was made solely by the Compensation Committee. The Compensation Committee, after a review of the factors set forth in Section 10C-1 of the Exchange Act and Nasdaq requirements, has determined that the work performed by Mercer did not present any conflicts of interest.</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Compensation Committee intends to continue to engage with Mercer in order to assist the Compensation Committee in its ongoing review of executive and director compensation practices, including a regular review and update of the Company’s peer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Competitive Market Benchmarking</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The Compensation Committee draws on a number of resources to assist in the evaluation of the various components of the Company’s executive compensation program including, but not limited to, industry data compiled by Mercer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within such sectors are an important factor that the Compensation Committee considers in assessing the reasonableness of compensation and ensuring that our compensation practices are competitive in the marketplace. The Compensation Committee adopted a group of peer companies in 2021,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2021 peer group, the Compensation Committee and Mercer focused on biotechnology and pharmaceutical companies, targeting commercial companies when possible, with annual revenues below $125 million, and employee headcounts below 400 employees. Mercer and the Compensation Committee also gave consideration related to market value, research and development expense, location and stage of development along with an emphasis on companies with ophthalmic focus, and where possible, incorporated size appropriate holding companies in the life science industry. The list of peer companies identified in 2021 by the Compensation Committee was comprised of the following companies: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Aerie Pharmaceuticals (1)</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RVL Pharmaceuticals (2)</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AcelRx Pharmaceuticals</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Ocular Therapeutix</w:t>
            </w: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Oyster Point</w:t>
            </w: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Evofem Bioscience</w:t>
            </w:r>
          </w:p>
        </w:tc>
      </w:tr>
      <w:tr>
        <w:trPr>
          <w:trHeight w:val="165"/>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Rigel Pharmaceuticals</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EyePoint Pharmaceuticals</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 Jolla Pharmaceutical</w:t>
            </w:r>
          </w:p>
        </w:tc>
      </w:tr>
      <w:tr>
        <w:trPr>
          <w:trHeight w:val="165"/>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Anika Therapeutics</w:t>
            </w: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Kala Pharmaceuticals</w:t>
            </w: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Cumberland Pharmaceuticals</w:t>
            </w:r>
          </w:p>
        </w:tc>
      </w:tr>
      <w:tr>
        <w:trPr>
          <w:trHeight w:val="165"/>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Fortress Biotech</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XOMA</w:t>
            </w: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Alimera Sciences</w:t>
            </w:r>
          </w:p>
        </w:tc>
      </w:tr>
      <w:tr>
        <w:trPr>
          <w:trHeight w:val="17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Kadmon Holdings (3)</w:t>
            </w: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Flexion Therapeutics (4)</w:t>
            </w:r>
          </w:p>
        </w:tc>
        <w:tc>
          <w:tcPr>
            <w:tcW w:w="1180" w:type="dxa"/>
            <w:vAlign w:val="bottom"/>
          </w:tcPr>
          <w:p>
            <w:pPr>
              <w:spacing w:after="0"/>
              <w:rPr>
                <w:sz w:val="15"/>
                <w:szCs w:val="15"/>
                <w:color w:val="auto"/>
              </w:rPr>
            </w:pPr>
          </w:p>
        </w:tc>
        <w:tc>
          <w:tcPr>
            <w:tcW w:w="3620" w:type="dxa"/>
            <w:vAlign w:val="bottom"/>
          </w:tcPr>
          <w:p>
            <w:pPr>
              <w:spacing w:after="0"/>
              <w:rPr>
                <w:sz w:val="15"/>
                <w:szCs w:val="15"/>
                <w:color w:val="auto"/>
              </w:rPr>
            </w:pPr>
          </w:p>
        </w:tc>
      </w:tr>
    </w:tbl>
    <w:p>
      <w:pPr>
        <w:spacing w:after="0" w:line="139" w:lineRule="exact"/>
        <w:rPr>
          <w:sz w:val="20"/>
          <w:szCs w:val="20"/>
          <w:color w:val="auto"/>
        </w:rPr>
      </w:pPr>
    </w:p>
    <w:p>
      <w:pPr>
        <w:ind w:left="260" w:hanging="257"/>
        <w:spacing w:after="0" w:line="256" w:lineRule="auto"/>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Aerie Pharmaceuticals was acquired by Alcon in November 2022 and therefore is no longer a public company. However, because Aerie’s most recent fiscal year executive compensation was used in making 2022 compensation decisions and comparative performance analysis, Aerie remained in the 2021 peer group.</w:t>
      </w:r>
    </w:p>
    <w:p>
      <w:pPr>
        <w:ind w:left="260" w:hanging="257"/>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Osmotica Pharmaceuticals, Inc. changed its name to RVL Pharmaceuticals in January 2022.</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Kadmon Holdings (“Kadmon”) was acquired by Sanofi in November 2021 and therefore is no longer a public company. However, because Kadmon’s most recent fiscal year executive compensation was used in making 2021 compensation decisions and comparative performance analysis, Kadmon remained in the 2021 peer group.</w:t>
      </w:r>
    </w:p>
    <w:p>
      <w:pPr>
        <w:ind w:left="260" w:hanging="257"/>
        <w:spacing w:after="0" w:line="252" w:lineRule="auto"/>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Flexion Therapeutics (“Flexion”) was acquired by Pacira Biosciences, Inc. in November 2021 and therefore is no longer a public company. However, because Flexion’s most recent fiscal year executive compensation was used in making 2021 compensation decisions and comparative performance analysis, Flexion remained in the 2021 peer group.</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ectPr>
          <w:pgSz w:w="11900" w:h="16838" w:orient="portrait"/>
          <w:cols w:equalWidth="0" w:num="1">
            <w:col w:w="11280"/>
          </w:cols>
          <w:pgMar w:left="300" w:top="536" w:right="319" w:bottom="1440" w:gutter="0" w:footer="0" w:header="0"/>
        </w:sectPr>
      </w:pPr>
    </w:p>
    <w:bookmarkStart w:id="23" w:name="page24"/>
    <w:bookmarkEnd w:id="23"/>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to adopting the above group of peer companies, the Compensation Committee engaged Mercer to conduct a comprehensive benchmarking study reporting on compensation levels and practices, including equity, relative to the 2021 peer group. An Executive Compensation Assessment report was prepared by Mercer in 2021 that provided a competitive assessment of the Company’s executive compensation program compared to the market data for base salaries, target total cash compensation and equity compensation of the 2021 peer group.</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At the beginning of 2023, the Compensation Committee re-engaged with Mercer to assist the Compensation Committee in its review of executive and director compensation practices, which included an assessment of the 2021 peer group, compilation of a new peer group, benchmarking with the Company’s new peer group and other technical considerations including tax- and accounting-related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Program Overview</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2022, our executive compensation program consisted of the following forms of compensation, each of which is described in greater detail below:</w:t>
      </w:r>
    </w:p>
    <w:p>
      <w:pPr>
        <w:spacing w:after="0" w:line="170" w:lineRule="exact"/>
        <w:rPr>
          <w:sz w:val="20"/>
          <w:szCs w:val="20"/>
          <w:color w:val="auto"/>
        </w:rPr>
      </w:pPr>
    </w:p>
    <w:p>
      <w:pPr>
        <w:ind w:left="740" w:hanging="24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Bonus</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 Program</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Control Arrangements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Base Salary</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43" w:lineRule="exact"/>
        <w:rPr>
          <w:sz w:val="20"/>
          <w:szCs w:val="20"/>
          <w:color w:val="auto"/>
        </w:rPr>
      </w:pPr>
    </w:p>
    <w:p>
      <w:pPr>
        <w:ind w:left="740" w:hanging="24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performance of the executive, as well as our overall performance, during the prior year;</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of responsibility, including breadth, scope and complexity of the position;</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of experience and expertise of the executive;</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review of the executive’s compensation relative to other executives to ensure internal equity; and</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 compensation levels at other similar companies to ensure competitiveness.</w:t>
      </w:r>
    </w:p>
    <w:p>
      <w:pPr>
        <w:spacing w:after="0" w:line="15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Bonus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established, which then determines the size of the total bonus pool from which annual bonus incentives are to be paid to executive officers. All cash bonuses are awarded retrospectively.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ectPr>
          <w:pgSz w:w="11900" w:h="16838" w:orient="portrait"/>
          <w:cols w:equalWidth="0" w:num="1">
            <w:col w:w="11280"/>
          </w:cols>
          <w:pgMar w:left="300" w:top="540" w:right="319" w:bottom="1440" w:gutter="0" w:footer="0" w:header="0"/>
        </w:sectPr>
      </w:pPr>
    </w:p>
    <w:bookmarkStart w:id="24" w:name="page25"/>
    <w:bookmarkEnd w:id="24"/>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For 2022 and 2021, the annual incentive bonus for our executive officers was based 100% on overall corporate performance, including metrics associated with revenue, adjusted EBITDA, revenue from certain products and stock price performance. Target annual incentive bonus levels for 2022 and 2021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2022 that exceeded target levels, our Chief Executive Officer a cash incentive bonus equal to 82% of his annual base salary, and our Chief Financial Officer and Chief Commercial Officer cash incentive bonuses equal to 68% of their annual base salaries.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2021, the Compensation Committee awarded restricted stock units (“RSUs”) and market-based performance stock units (“PSUs”) to the named executive officers and no equity awards were granted to our named executive officers in 2022. See the “Outstanding Equity Awards at Fiscal Year-End” table below for additional details about awards held by our named executive officers.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Benefit Program</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ectPr>
          <w:pgSz w:w="11900" w:h="16838" w:orient="portrait"/>
          <w:cols w:equalWidth="0" w:num="1">
            <w:col w:w="11280"/>
          </w:cols>
          <w:pgMar w:left="300" w:top="54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Change of Control Arrangements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Information regarding the change of control arrangements and the potential value of payments upon termination related to a change of control is provided for the named executive officers under the heading “Change of Control Arrangements” in the sections below describing each named executive officer’s compensation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total compensation paid to our named executive officers, who are comprised of our principal executive officer and our next two highest compensated executive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40" w:type="dxa"/>
            <w:vAlign w:val="bottom"/>
          </w:tcPr>
          <w:p>
            <w:pPr>
              <w:spacing w:after="0"/>
              <w:rPr>
                <w:sz w:val="15"/>
                <w:szCs w:val="15"/>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w:t>
            </w: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608,649</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500,346</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86,146</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1,195,141</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11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564,596</w:t>
            </w:r>
          </w:p>
        </w:tc>
        <w:tc>
          <w:tcPr>
            <w:tcW w:w="3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6,251,841(4)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492,503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12,527</w:t>
            </w:r>
          </w:p>
        </w:tc>
        <w:tc>
          <w:tcPr>
            <w:tcW w:w="3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7,321,467</w:t>
            </w:r>
          </w:p>
        </w:tc>
        <w:tc>
          <w:tcPr>
            <w:tcW w:w="100" w:type="dxa"/>
            <w:vAlign w:val="bottom"/>
            <w:shd w:val="clear" w:color="auto" w:fill="CCEEFF"/>
          </w:tcPr>
          <w:p>
            <w:pPr>
              <w:spacing w:after="0"/>
              <w:rPr>
                <w:sz w:val="14"/>
                <w:szCs w:val="14"/>
                <w:color w:val="auto"/>
              </w:rPr>
            </w:pPr>
          </w:p>
        </w:tc>
      </w:tr>
      <w:tr>
        <w:trPr>
          <w:trHeight w:val="153"/>
        </w:trPr>
        <w:tc>
          <w:tcPr>
            <w:tcW w:w="38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Andrew R. Boll</w:t>
            </w:r>
          </w:p>
        </w:tc>
        <w:tc>
          <w:tcPr>
            <w:tcW w:w="1140" w:type="dxa"/>
            <w:vAlign w:val="bottom"/>
            <w:gridSpan w:val="2"/>
          </w:tcPr>
          <w:p>
            <w:pPr>
              <w:jc w:val="right"/>
              <w:ind w:right="191"/>
              <w:spacing w:after="0" w:line="153" w:lineRule="exact"/>
              <w:rPr>
                <w:sz w:val="20"/>
                <w:szCs w:val="20"/>
                <w:color w:val="auto"/>
              </w:rPr>
            </w:pPr>
            <w:r>
              <w:rPr>
                <w:rFonts w:ascii="Times New Roman" w:cs="Times New Roman" w:eastAsia="Times New Roman" w:hAnsi="Times New Roman"/>
                <w:sz w:val="14"/>
                <w:szCs w:val="14"/>
                <w:color w:val="auto"/>
              </w:rPr>
              <w:t>2022</w:t>
            </w:r>
          </w:p>
        </w:tc>
        <w:tc>
          <w:tcPr>
            <w:tcW w:w="340" w:type="dxa"/>
            <w:vAlign w:val="bottom"/>
          </w:tcPr>
          <w:p>
            <w:pPr>
              <w:spacing w:after="0"/>
              <w:rPr>
                <w:sz w:val="13"/>
                <w:szCs w:val="13"/>
                <w:color w:val="auto"/>
              </w:rPr>
            </w:pPr>
          </w:p>
        </w:tc>
        <w:tc>
          <w:tcPr>
            <w:tcW w:w="160" w:type="dxa"/>
            <w:vAlign w:val="bottom"/>
          </w:tcPr>
          <w:p>
            <w:pPr>
              <w:jc w:val="right"/>
              <w:ind w:right="11"/>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416,427</w:t>
            </w:r>
          </w:p>
        </w:tc>
        <w:tc>
          <w:tcPr>
            <w:tcW w:w="380" w:type="dxa"/>
            <w:vAlign w:val="bottom"/>
            <w:gridSpan w:val="2"/>
          </w:tcPr>
          <w:p>
            <w:pPr>
              <w:jc w:val="right"/>
              <w:ind w:right="77"/>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320"/>
              <w:spacing w:after="0" w:line="153" w:lineRule="exact"/>
              <w:rPr>
                <w:sz w:val="20"/>
                <w:szCs w:val="20"/>
                <w:color w:val="auto"/>
              </w:rPr>
            </w:pPr>
            <w:r>
              <w:rPr>
                <w:rFonts w:ascii="Times New Roman" w:cs="Times New Roman" w:eastAsia="Times New Roman" w:hAnsi="Times New Roman"/>
                <w:sz w:val="14"/>
                <w:szCs w:val="14"/>
                <w:color w:val="auto"/>
              </w:rPr>
              <w:t>285,225</w:t>
            </w:r>
          </w:p>
        </w:tc>
        <w:tc>
          <w:tcPr>
            <w:tcW w:w="1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62,734</w:t>
            </w:r>
          </w:p>
        </w:tc>
        <w:tc>
          <w:tcPr>
            <w:tcW w:w="340" w:type="dxa"/>
            <w:vAlign w:val="bottom"/>
            <w:gridSpan w:val="2"/>
          </w:tcPr>
          <w:p>
            <w:pPr>
              <w:jc w:val="right"/>
              <w:ind w:right="63"/>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764,386</w:t>
            </w:r>
          </w:p>
        </w:tc>
        <w:tc>
          <w:tcPr>
            <w:tcW w:w="100" w:type="dxa"/>
            <w:vAlign w:val="bottom"/>
          </w:tcPr>
          <w:p>
            <w:pPr>
              <w:spacing w:after="0"/>
              <w:rPr>
                <w:sz w:val="13"/>
                <w:szCs w:val="13"/>
                <w:color w:val="auto"/>
              </w:rPr>
            </w:pPr>
          </w:p>
        </w:tc>
      </w:tr>
      <w:tr>
        <w:trPr>
          <w:trHeight w:val="16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Financial Officer and</w:t>
            </w:r>
          </w:p>
        </w:tc>
        <w:tc>
          <w:tcPr>
            <w:tcW w:w="114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tcPr>
          <w:p>
            <w:pPr>
              <w:spacing w:after="0"/>
              <w:rPr>
                <w:sz w:val="14"/>
                <w:szCs w:val="1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405,073</w:t>
            </w: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2,635,425(5)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299,672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11,984</w:t>
            </w:r>
          </w:p>
        </w:tc>
        <w:tc>
          <w:tcPr>
            <w:tcW w:w="3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3,352,154</w:t>
            </w:r>
          </w:p>
        </w:tc>
        <w:tc>
          <w:tcPr>
            <w:tcW w:w="100" w:type="dxa"/>
            <w:vAlign w:val="bottom"/>
          </w:tcPr>
          <w:p>
            <w:pPr>
              <w:spacing w:after="0"/>
              <w:rPr>
                <w:sz w:val="14"/>
                <w:szCs w:val="14"/>
                <w:color w:val="auto"/>
              </w:rPr>
            </w:pPr>
          </w:p>
        </w:tc>
      </w:tr>
      <w:tr>
        <w:trPr>
          <w:trHeight w:val="17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Secretary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 Saharek</w:t>
            </w:r>
          </w:p>
        </w:tc>
        <w:tc>
          <w:tcPr>
            <w:tcW w:w="11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378,955</w:t>
            </w:r>
          </w:p>
        </w:tc>
        <w:tc>
          <w:tcPr>
            <w:tcW w:w="3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261,287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16,645</w:t>
            </w:r>
          </w:p>
        </w:tc>
        <w:tc>
          <w:tcPr>
            <w:tcW w:w="3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656,887</w:t>
            </w:r>
          </w:p>
        </w:tc>
        <w:tc>
          <w:tcPr>
            <w:tcW w:w="100" w:type="dxa"/>
            <w:vAlign w:val="bottom"/>
            <w:shd w:val="clear" w:color="auto" w:fill="CCEEFF"/>
          </w:tcPr>
          <w:p>
            <w:pPr>
              <w:spacing w:after="0"/>
              <w:rPr>
                <w:sz w:val="14"/>
                <w:szCs w:val="14"/>
                <w:color w:val="auto"/>
              </w:rPr>
            </w:pPr>
          </w:p>
        </w:tc>
      </w:tr>
      <w:tr>
        <w:trPr>
          <w:trHeight w:val="16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Commercial Officer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347,308</w:t>
            </w:r>
          </w:p>
        </w:tc>
        <w:tc>
          <w:tcPr>
            <w:tcW w:w="3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2,054,940(6)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261,813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12,797</w:t>
            </w:r>
          </w:p>
        </w:tc>
        <w:tc>
          <w:tcPr>
            <w:tcW w:w="3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2,676,858</w:t>
            </w:r>
          </w:p>
        </w:tc>
        <w:tc>
          <w:tcPr>
            <w:tcW w:w="100" w:type="dxa"/>
            <w:vAlign w:val="bottom"/>
            <w:shd w:val="clear" w:color="auto" w:fill="CCEEFF"/>
          </w:tcPr>
          <w:p>
            <w:pPr>
              <w:spacing w:after="0"/>
              <w:rPr>
                <w:sz w:val="14"/>
                <w:szCs w:val="14"/>
                <w:color w:val="auto"/>
              </w:rPr>
            </w:pPr>
          </w:p>
        </w:tc>
      </w:tr>
      <w:tr>
        <w:trPr>
          <w:trHeight w:val="16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President, ImprimisRx</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1335" cy="13335"/>
                    </a:xfrm>
                    <a:prstGeom prst="rect">
                      <a:avLst/>
                    </a:prstGeom>
                    <a:noFill/>
                  </pic:spPr>
                </pic:pic>
              </a:graphicData>
            </a:graphic>
          </wp:anchor>
        </w:drawing>
      </w:r>
    </w:p>
    <w:p>
      <w:pPr>
        <w:spacing w:after="0" w:line="164" w:lineRule="exact"/>
        <w:rPr>
          <w:sz w:val="20"/>
          <w:szCs w:val="20"/>
          <w:color w:val="auto"/>
        </w:rPr>
      </w:pPr>
    </w:p>
    <w:p>
      <w:pPr>
        <w:jc w:val="both"/>
        <w:ind w:left="260" w:hanging="257"/>
        <w:spacing w:after="0" w:line="251"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dollar amount of the grant date fair value of awards granted during the respective fiscal years, measured in accordance with ASC 718 and without adjustment for estimated forfeitures, and includes grant date fair value of awards of our Project 15 Subsidiaries issued to our named executive officers prior to the deconsolidation of such entities. For a discussion of the assumptions used to calculate the value of equity awards, refer to Note 15 to our consolidated financial statements for the year ended December 31, 2022, included in the Annual Report. For information about the material terms of each equity award, see the tables under the subheading entitled “Outstanding Equity Awards at Fiscal Year-End” below.</w:t>
      </w:r>
    </w:p>
    <w:p>
      <w:pPr>
        <w:spacing w:after="0" w:line="1" w:lineRule="exact"/>
        <w:rPr>
          <w:rFonts w:ascii="Times New Roman" w:cs="Times New Roman" w:eastAsia="Times New Roman" w:hAnsi="Times New Roman"/>
          <w:sz w:val="14"/>
          <w:szCs w:val="14"/>
          <w:color w:val="auto"/>
        </w:rPr>
      </w:pPr>
    </w:p>
    <w:p>
      <w:pPr>
        <w:jc w:val="both"/>
        <w:ind w:left="260" w:hanging="257"/>
        <w:spacing w:after="0" w:line="246"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jc w:val="both"/>
        <w:ind w:left="260" w:hanging="257"/>
        <w:spacing w:after="0" w:line="246"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matching contributions made by us for the benefit of the named executive officer under our 401(k) retirement savings plan, group life insurance benefit in excess of the standard threshold granted to all other employees and the payout of unused and accrued paid-time-off (“PTO”) balances of Mr. Baum and Mr. Boll during 2022 as a result of a change in PTO policy to provide unlimited PTO for those individuals.</w:t>
      </w:r>
    </w:p>
    <w:p>
      <w:pPr>
        <w:ind w:left="260" w:hanging="257"/>
        <w:spacing w:after="0" w:line="246"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(i) RSUs granted to Mr. Baum during 2021 with a fair value of $1,335,000 that vest over a three-year period and (ii) market-based vesting PSUs that vest at various total stockholder return (“TSR”) targets with a fair value of $4,916,841 – as described further under the subheading “</w:t>
      </w:r>
      <w:r>
        <w:rPr>
          <w:rFonts w:ascii="Times New Roman" w:cs="Times New Roman" w:eastAsia="Times New Roman" w:hAnsi="Times New Roman"/>
          <w:sz w:val="14"/>
          <w:szCs w:val="14"/>
          <w:i w:val="1"/>
          <w:iCs w:val="1"/>
          <w:color w:val="auto"/>
        </w:rPr>
        <w:t>Outstanding Equity Awards at Fiscal Year-End - 2021 PSUs</w:t>
      </w:r>
      <w:r>
        <w:rPr>
          <w:rFonts w:ascii="Times New Roman" w:cs="Times New Roman" w:eastAsia="Times New Roman" w:hAnsi="Times New Roman"/>
          <w:sz w:val="14"/>
          <w:szCs w:val="14"/>
          <w:color w:val="auto"/>
        </w:rPr>
        <w:t>.”</w:t>
      </w:r>
    </w:p>
    <w:p>
      <w:pPr>
        <w:ind w:left="260" w:hanging="257"/>
        <w:spacing w:after="0" w:line="246"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(i) RSUs granted to Mr. Boll during 2021 with a fair value of $400,500 that vest over a three-year period and (ii) market-based vesting PSUs that vest at various TSR targets with a fair value of $2,234,925 – as described further under the subheading “</w:t>
      </w:r>
      <w:r>
        <w:rPr>
          <w:rFonts w:ascii="Times New Roman" w:cs="Times New Roman" w:eastAsia="Times New Roman" w:hAnsi="Times New Roman"/>
          <w:sz w:val="14"/>
          <w:szCs w:val="14"/>
          <w:i w:val="1"/>
          <w:iCs w:val="1"/>
          <w:color w:val="auto"/>
        </w:rPr>
        <w:t>Outstanding Equity Awards at Fiscal Year-End - 2021 PSUs</w:t>
      </w:r>
      <w:r>
        <w:rPr>
          <w:rFonts w:ascii="Times New Roman" w:cs="Times New Roman" w:eastAsia="Times New Roman" w:hAnsi="Times New Roman"/>
          <w:sz w:val="14"/>
          <w:szCs w:val="14"/>
          <w:color w:val="auto"/>
        </w:rPr>
        <w:t>.”</w:t>
      </w:r>
    </w:p>
    <w:p>
      <w:pPr>
        <w:ind w:left="260" w:hanging="257"/>
        <w:spacing w:after="0" w:line="252"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(i) RSUs granted to Mr. Saharek during 2021 with a fair value of $267,000 that vest over a three-year period and (ii) market-based vesting PSUs that vest at various TSR targets with a fair value of $1,787,940 – as described further under the subheading “</w:t>
      </w:r>
      <w:r>
        <w:rPr>
          <w:rFonts w:ascii="Times New Roman" w:cs="Times New Roman" w:eastAsia="Times New Roman" w:hAnsi="Times New Roman"/>
          <w:sz w:val="14"/>
          <w:szCs w:val="14"/>
          <w:i w:val="1"/>
          <w:iCs w:val="1"/>
          <w:color w:val="auto"/>
        </w:rPr>
        <w:t>Outstanding Equity Awards at Fiscal Year-End - 2021 PSUs</w:t>
      </w:r>
      <w:r>
        <w:rPr>
          <w:rFonts w:ascii="Times New Roman" w:cs="Times New Roman" w:eastAsia="Times New Roman" w:hAnsi="Times New Roman"/>
          <w:sz w:val="14"/>
          <w:szCs w:val="14"/>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ectPr>
          <w:pgSz w:w="11900" w:h="16838" w:orient="portrait"/>
          <w:cols w:equalWidth="0" w:num="1">
            <w:col w:w="11280"/>
          </w:cols>
          <w:pgMar w:left="300" w:top="536" w:right="31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10240" w:type="dxa"/>
            <w:vAlign w:val="bottom"/>
            <w:gridSpan w:val="17"/>
          </w:tcPr>
          <w:p>
            <w:pPr>
              <w:jc w:val="right"/>
              <w:ind w:right="520"/>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outstanding equity awards of the Company held by our named executive officers as of December 31, 2022.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 Awards (1)</w:t>
            </w:r>
          </w:p>
        </w:tc>
      </w:tr>
      <w:tr>
        <w:trPr>
          <w:trHeight w:val="149"/>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Awards:</w:t>
            </w: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Awards:</w:t>
            </w:r>
          </w:p>
        </w:tc>
        <w:tc>
          <w:tcPr>
            <w:tcW w:w="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Market Value</w:t>
            </w: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of Unearned</w:t>
            </w: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Shares or</w:t>
            </w:r>
          </w:p>
        </w:tc>
      </w:tr>
      <w:tr>
        <w:trPr>
          <w:trHeight w:val="165"/>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Underlying Unexercised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Units of Stock</w:t>
            </w:r>
          </w:p>
        </w:tc>
      </w:tr>
      <w:tr>
        <w:trPr>
          <w:trHeight w:val="193"/>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6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r>
      <w:tr>
        <w:trPr>
          <w:trHeight w:val="176"/>
        </w:trPr>
        <w:tc>
          <w:tcPr>
            <w:tcW w:w="374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Vested (2)</w:t>
            </w:r>
          </w:p>
        </w:tc>
      </w:tr>
      <w:tr>
        <w:trPr>
          <w:trHeight w:val="165"/>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w:t>
            </w: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5/2/2013</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5/2/2023</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2/10/2014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15,400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7.71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4/1/2016</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2/1/2017</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1/1/2018</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1/2/2028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2/19/2019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2/19/2029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199,375</w:t>
            </w: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18,125(3)</w:t>
            </w: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1/2/2030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7/30/2015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200,000(4)</w:t>
            </w: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7/31/2025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762,300(5)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11,251,548</w:t>
            </w: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150,000(6)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88,000(6)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1,298,880</w:t>
            </w:r>
          </w:p>
        </w:tc>
        <w:tc>
          <w:tcPr>
            <w:tcW w:w="100" w:type="dxa"/>
            <w:vAlign w:val="bottom"/>
            <w:shd w:val="clear" w:color="auto" w:fill="CCEEFF"/>
          </w:tcPr>
          <w:p>
            <w:pPr>
              <w:spacing w:after="0"/>
              <w:rPr>
                <w:sz w:val="14"/>
                <w:szCs w:val="14"/>
                <w:color w:val="auto"/>
              </w:rPr>
            </w:pPr>
          </w:p>
        </w:tc>
      </w:tr>
      <w:tr>
        <w:trPr>
          <w:trHeight w:val="153"/>
        </w:trPr>
        <w:tc>
          <w:tcPr>
            <w:tcW w:w="3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Andrew R. Boll</w:t>
            </w:r>
          </w:p>
        </w:tc>
        <w:tc>
          <w:tcPr>
            <w:tcW w:w="22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4/1/2013</w:t>
            </w:r>
          </w:p>
        </w:tc>
        <w:tc>
          <w:tcPr>
            <w:tcW w:w="10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80" w:type="dxa"/>
            <w:vAlign w:val="bottom"/>
            <w:gridSpan w:val="2"/>
          </w:tcPr>
          <w:p>
            <w:pPr>
              <w:jc w:val="right"/>
              <w:ind w:right="3"/>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4/1/2023</w:t>
            </w: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2/10/2014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2/10/2024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4/1/2016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4/1/2026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2/1/2017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2/1/2027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1/2/2018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1/2/2028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2/19/2019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2/19/2029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1/2/2020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52,250</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4,750(7)</w:t>
            </w: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1/2/2030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7/23/2021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346,500(5)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5,114,340</w:t>
            </w:r>
          </w:p>
        </w:tc>
        <w:tc>
          <w:tcPr>
            <w:tcW w:w="10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2/19/2021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45,000(6)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664,200</w:t>
            </w:r>
          </w:p>
        </w:tc>
        <w:tc>
          <w:tcPr>
            <w:tcW w:w="100" w:type="dxa"/>
            <w:vAlign w:val="bottom"/>
          </w:tcPr>
          <w:p>
            <w:pPr>
              <w:spacing w:after="0"/>
              <w:rPr>
                <w:sz w:val="14"/>
                <w:szCs w:val="14"/>
                <w:color w:val="auto"/>
              </w:rPr>
            </w:pPr>
          </w:p>
        </w:tc>
      </w:tr>
      <w:tr>
        <w:trPr>
          <w:trHeight w:val="178"/>
        </w:trPr>
        <w:tc>
          <w:tcPr>
            <w:tcW w:w="374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1/2/2020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23,000(6)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339,480</w:t>
            </w:r>
          </w:p>
        </w:tc>
        <w:tc>
          <w:tcPr>
            <w:tcW w:w="100" w:type="dxa"/>
            <w:vAlign w:val="bottom"/>
          </w:tcPr>
          <w:p>
            <w:pPr>
              <w:spacing w:after="0"/>
              <w:rPr>
                <w:sz w:val="15"/>
                <w:szCs w:val="15"/>
                <w:color w:val="auto"/>
              </w:rPr>
            </w:pPr>
          </w:p>
        </w:tc>
      </w:tr>
      <w:tr>
        <w:trPr>
          <w:trHeight w:val="16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 Saharek</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11/12/2013</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11/12/2023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3/3/2014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2/1/2015</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4/1/2016</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2/1/2017</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2/1/2027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1/2/2018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1/2/2028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2/19/2019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2/19/2029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8/3/2020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14,063(8)</w:t>
            </w: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8/3/2030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277,200(5)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4,091,472</w:t>
            </w:r>
          </w:p>
        </w:tc>
        <w:tc>
          <w:tcPr>
            <w:tcW w:w="100" w:type="dxa"/>
            <w:vAlign w:val="bottom"/>
            <w:shd w:val="clear" w:color="auto" w:fill="CCEEFF"/>
          </w:tcPr>
          <w:p>
            <w:pPr>
              <w:spacing w:after="0"/>
              <w:rPr>
                <w:sz w:val="14"/>
                <w:szCs w:val="14"/>
                <w:color w:val="auto"/>
              </w:rPr>
            </w:pPr>
          </w:p>
        </w:tc>
      </w:tr>
      <w:tr>
        <w:trPr>
          <w:trHeight w:val="165"/>
        </w:trPr>
        <w:tc>
          <w:tcPr>
            <w:tcW w:w="3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30,000(6)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442,800</w:t>
            </w:r>
          </w:p>
        </w:tc>
        <w:tc>
          <w:tcPr>
            <w:tcW w:w="10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1335" cy="13335"/>
                    </a:xfrm>
                    <a:prstGeom prst="rect">
                      <a:avLst/>
                    </a:prstGeom>
                    <a:noFill/>
                  </pic:spPr>
                </pic:pic>
              </a:graphicData>
            </a:graphic>
          </wp:anchor>
        </w:drawing>
      </w:r>
    </w:p>
    <w:p>
      <w:pPr>
        <w:spacing w:after="0" w:line="164" w:lineRule="exact"/>
        <w:rPr>
          <w:sz w:val="20"/>
          <w:szCs w:val="20"/>
          <w:color w:val="auto"/>
        </w:rPr>
      </w:pPr>
    </w:p>
    <w:p>
      <w:pPr>
        <w:ind w:left="260" w:hanging="257"/>
        <w:spacing w:after="0"/>
        <w:tabs>
          <w:tab w:leader="none" w:pos="2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reflect stock options and RSUs granted under both the 2007 Incentive Stock and Awards Plan (the “2007 Plan”) and the 2017 Incentive Stock and Awards Plan (the “2017 Plan”).</w:t>
      </w:r>
    </w:p>
    <w:p>
      <w:pPr>
        <w:spacing w:after="0" w:line="29"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multiplying the number of unvested shares by $14.76, the closing price per share of our common stock on The Nasdaq Global Market on December 31, 2022.</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in 12 equal quarterly installments of 18,125 shares over three years commencing on the three-month anniversary of the date of grant.</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upon achieving certain stock price targets ranging from $9 to $15 per share over a five-year period following its amendment on June 4, 2020.</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PSUs vest upon achieving and maintaining certain TSR targets ranging from 50% to 175% over a five-year period and requires a minimum of a two-year service period. See subheading “</w:t>
      </w:r>
      <w:r>
        <w:rPr>
          <w:rFonts w:ascii="Times New Roman" w:cs="Times New Roman" w:eastAsia="Times New Roman" w:hAnsi="Times New Roman"/>
          <w:sz w:val="14"/>
          <w:szCs w:val="14"/>
          <w:i w:val="1"/>
          <w:iCs w:val="1"/>
          <w:color w:val="auto"/>
        </w:rPr>
        <w:t>2021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PSUs” </w:t>
      </w:r>
      <w:r>
        <w:rPr>
          <w:rFonts w:ascii="Times New Roman" w:cs="Times New Roman" w:eastAsia="Times New Roman" w:hAnsi="Times New Roman"/>
          <w:sz w:val="14"/>
          <w:szCs w:val="14"/>
          <w:color w:val="auto"/>
        </w:rPr>
        <w:t>for more information.</w:t>
      </w:r>
    </w:p>
    <w:p>
      <w:pPr>
        <w:ind w:left="260" w:hanging="257"/>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in full on the third anniversary of the grant date.</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in 12 equal quarterly installments of 4,750 shares over three years commencing on the three-month anniversary of the date of grant.</w:t>
      </w:r>
    </w:p>
    <w:p>
      <w:pPr>
        <w:spacing w:after="0" w:line="4" w:lineRule="exact"/>
        <w:rPr>
          <w:rFonts w:ascii="Times New Roman" w:cs="Times New Roman" w:eastAsia="Times New Roman" w:hAnsi="Times New Roman"/>
          <w:sz w:val="14"/>
          <w:szCs w:val="14"/>
          <w:color w:val="auto"/>
        </w:rPr>
      </w:pPr>
    </w:p>
    <w:p>
      <w:pPr>
        <w:ind w:left="260" w:hanging="257"/>
        <w:spacing w:after="0" w:line="252"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ectPr>
          <w:pgSz w:w="11900" w:h="16838" w:orient="portrait"/>
          <w:cols w:equalWidth="0" w:num="1">
            <w:col w:w="11280"/>
          </w:cols>
          <w:pgMar w:left="300" w:top="53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2021 PSUs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July 23, 2021, we granted PSUs to various members of our senior management including Mark Baum, Andrew Boll, and John Saharek, which are subject to the satisfaction of certain market-based and continued service conditions (the “2021 PSUs”). The 2021 PSUs are separated into four tranches and require that the Company achieve and maintain certain levels of TSR ranging from 50% to 175% per share during the five-year period following the grant date. TSR is based on the aggregate of: (i) the percent increase of the closing price of the Company’s common stock from July 22, 2021 (the last closing price of the Company’s common stock prior to the date of grant); and (ii) any dividends or similar stockholder distributions as specified in the table below. With certain limited exceptions, in addition to reaching the TSR targets, the employee must be employed with the Company on the second anniversary of the grant date in order for the 2021 PSUs to vest. The Compensation Committee considered the 2021 PSUs as multi-year awards, and as a result did not issue equity awards to members of its senior management team during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Vesting amounts for Mr. Baum’s 2021 PSUs are as follows:</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34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4"/>
              </w:rPr>
              <w:t>Tranche</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TSR</w:t>
            </w:r>
          </w:p>
        </w:tc>
        <w:tc>
          <w:tcPr>
            <w:tcW w:w="420" w:type="dxa"/>
            <w:vAlign w:val="bottom"/>
          </w:tcPr>
          <w:p>
            <w:pPr>
              <w:spacing w:after="0"/>
              <w:rPr>
                <w:sz w:val="24"/>
                <w:szCs w:val="24"/>
                <w:color w:val="auto"/>
              </w:rPr>
            </w:pP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Target Share Price*</w:t>
            </w:r>
          </w:p>
        </w:tc>
      </w:tr>
      <w:tr>
        <w:trPr>
          <w:trHeight w:val="165"/>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Tranche 1</w:t>
            </w: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rPr>
              <w:t>108,900</w:t>
            </w:r>
          </w:p>
        </w:tc>
        <w:tc>
          <w:tcPr>
            <w:tcW w:w="2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50% or greater</w:t>
            </w: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34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color w:val="auto"/>
                <w:w w:val="99"/>
              </w:rPr>
              <w:t>Tranche 2</w:t>
            </w:r>
          </w:p>
        </w:tc>
        <w:tc>
          <w:tcPr>
            <w:tcW w:w="2080" w:type="dxa"/>
            <w:vAlign w:val="bottom"/>
          </w:tcPr>
          <w:p>
            <w:pPr>
              <w:jc w:val="right"/>
              <w:ind w:right="1011"/>
              <w:spacing w:after="0"/>
              <w:rPr>
                <w:sz w:val="20"/>
                <w:szCs w:val="20"/>
                <w:color w:val="auto"/>
              </w:rPr>
            </w:pPr>
            <w:r>
              <w:rPr>
                <w:rFonts w:ascii="Times New Roman" w:cs="Times New Roman" w:eastAsia="Times New Roman" w:hAnsi="Times New Roman"/>
                <w:sz w:val="14"/>
                <w:szCs w:val="14"/>
                <w:color w:val="auto"/>
              </w:rPr>
              <w:t>163,350</w:t>
            </w:r>
          </w:p>
        </w:tc>
        <w:tc>
          <w:tcPr>
            <w:tcW w:w="220" w:type="dxa"/>
            <w:vAlign w:val="bottom"/>
          </w:tcPr>
          <w:p>
            <w:pPr>
              <w:spacing w:after="0"/>
              <w:rPr>
                <w:sz w:val="14"/>
                <w:szCs w:val="14"/>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100%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4"/>
                <w:szCs w:val="14"/>
                <w:color w:val="auto"/>
              </w:rPr>
            </w:pPr>
          </w:p>
        </w:tc>
      </w:tr>
      <w:tr>
        <w:trPr>
          <w:trHeight w:val="165"/>
        </w:trPr>
        <w:tc>
          <w:tcPr>
            <w:tcW w:w="3480" w:type="dxa"/>
            <w:vAlign w:val="bottom"/>
            <w:gridSpan w:val="3"/>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w w:val="99"/>
              </w:rPr>
              <w:t>Tranche 3</w:t>
            </w:r>
          </w:p>
        </w:tc>
        <w:tc>
          <w:tcPr>
            <w:tcW w:w="2080" w:type="dxa"/>
            <w:vAlign w:val="bottom"/>
            <w:shd w:val="clear" w:color="auto" w:fill="CCEEFF"/>
          </w:tcPr>
          <w:p>
            <w:pPr>
              <w:jc w:val="right"/>
              <w:ind w:right="1011"/>
              <w:spacing w:after="0"/>
              <w:rPr>
                <w:sz w:val="20"/>
                <w:szCs w:val="20"/>
                <w:color w:val="auto"/>
              </w:rPr>
            </w:pPr>
            <w:r>
              <w:rPr>
                <w:rFonts w:ascii="Times New Roman" w:cs="Times New Roman" w:eastAsia="Times New Roman" w:hAnsi="Times New Roman"/>
                <w:sz w:val="14"/>
                <w:szCs w:val="14"/>
                <w:color w:val="auto"/>
              </w:rPr>
              <w:t>217,800</w:t>
            </w:r>
          </w:p>
        </w:tc>
        <w:tc>
          <w:tcPr>
            <w:tcW w:w="2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150% or greater</w:t>
            </w: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4"/>
                <w:szCs w:val="14"/>
                <w:color w:val="auto"/>
              </w:rPr>
            </w:pPr>
          </w:p>
        </w:tc>
      </w:tr>
      <w:tr>
        <w:trPr>
          <w:trHeight w:val="179"/>
        </w:trPr>
        <w:tc>
          <w:tcPr>
            <w:tcW w:w="34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color w:val="auto"/>
                <w:w w:val="99"/>
              </w:rPr>
              <w:t>Tranche 4</w:t>
            </w:r>
          </w:p>
        </w:tc>
        <w:tc>
          <w:tcPr>
            <w:tcW w:w="2080" w:type="dxa"/>
            <w:vAlign w:val="bottom"/>
          </w:tcPr>
          <w:p>
            <w:pPr>
              <w:jc w:val="right"/>
              <w:ind w:right="1011"/>
              <w:spacing w:after="0"/>
              <w:rPr>
                <w:sz w:val="20"/>
                <w:szCs w:val="20"/>
                <w:color w:val="auto"/>
              </w:rPr>
            </w:pPr>
            <w:r>
              <w:rPr>
                <w:rFonts w:ascii="Times New Roman" w:cs="Times New Roman" w:eastAsia="Times New Roman" w:hAnsi="Times New Roman"/>
                <w:sz w:val="14"/>
                <w:szCs w:val="14"/>
                <w:color w:val="auto"/>
              </w:rPr>
              <w:t>272,250</w:t>
            </w:r>
          </w:p>
        </w:tc>
        <w:tc>
          <w:tcPr>
            <w:tcW w:w="220" w:type="dxa"/>
            <w:vAlign w:val="bottom"/>
          </w:tcPr>
          <w:p>
            <w:pPr>
              <w:spacing w:after="0"/>
              <w:rPr>
                <w:sz w:val="15"/>
                <w:szCs w:val="15"/>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175%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15"/>
                <w:szCs w:val="15"/>
                <w:color w:val="auto"/>
              </w:rPr>
            </w:pPr>
          </w:p>
        </w:tc>
      </w:tr>
      <w:tr>
        <w:trPr>
          <w:trHeight w:val="318"/>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Vesting amounts for Mr. Boll’s 2021 PSUs are as follows: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4"/>
              </w:rPr>
              <w:t>Tranche</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TSR</w:t>
            </w:r>
          </w:p>
        </w:tc>
        <w:tc>
          <w:tcPr>
            <w:tcW w:w="420" w:type="dxa"/>
            <w:vAlign w:val="bottom"/>
          </w:tcPr>
          <w:p>
            <w:pPr>
              <w:spacing w:after="0"/>
              <w:rPr>
                <w:sz w:val="15"/>
                <w:szCs w:val="15"/>
                <w:color w:val="auto"/>
              </w:rPr>
            </w:pP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Target Share Price*</w:t>
            </w:r>
          </w:p>
        </w:tc>
      </w:tr>
      <w:tr>
        <w:trPr>
          <w:trHeight w:val="165"/>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Tranche 1</w:t>
            </w:r>
          </w:p>
        </w:tc>
        <w:tc>
          <w:tcPr>
            <w:tcW w:w="2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center"/>
              <w:ind w:right="511"/>
              <w:spacing w:after="0"/>
              <w:rPr>
                <w:sz w:val="20"/>
                <w:szCs w:val="20"/>
                <w:color w:val="auto"/>
              </w:rPr>
            </w:pPr>
            <w:r>
              <w:rPr>
                <w:rFonts w:ascii="Times New Roman" w:cs="Times New Roman" w:eastAsia="Times New Roman" w:hAnsi="Times New Roman"/>
                <w:sz w:val="14"/>
                <w:szCs w:val="14"/>
                <w:color w:val="auto"/>
                <w:w w:val="98"/>
              </w:rPr>
              <w:t>49,500</w:t>
            </w:r>
          </w:p>
        </w:tc>
        <w:tc>
          <w:tcPr>
            <w:tcW w:w="2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50% or greater</w:t>
            </w: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35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w w:val="99"/>
              </w:rPr>
              <w:t>Tranche 2</w:t>
            </w:r>
          </w:p>
        </w:tc>
        <w:tc>
          <w:tcPr>
            <w:tcW w:w="20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8"/>
              </w:rPr>
              <w:t>74,250</w:t>
            </w:r>
          </w:p>
        </w:tc>
        <w:tc>
          <w:tcPr>
            <w:tcW w:w="220" w:type="dxa"/>
            <w:vAlign w:val="bottom"/>
          </w:tcPr>
          <w:p>
            <w:pPr>
              <w:spacing w:after="0"/>
              <w:rPr>
                <w:sz w:val="14"/>
                <w:szCs w:val="14"/>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100%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4"/>
                <w:szCs w:val="14"/>
                <w:color w:val="auto"/>
              </w:rPr>
            </w:pPr>
          </w:p>
        </w:tc>
      </w:tr>
      <w:tr>
        <w:trPr>
          <w:trHeight w:val="165"/>
        </w:trPr>
        <w:tc>
          <w:tcPr>
            <w:tcW w:w="352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4"/>
                <w:szCs w:val="14"/>
                <w:color w:val="auto"/>
                <w:w w:val="99"/>
              </w:rPr>
              <w:t>Tranche 3</w:t>
            </w:r>
          </w:p>
        </w:tc>
        <w:tc>
          <w:tcPr>
            <w:tcW w:w="2040" w:type="dxa"/>
            <w:vAlign w:val="bottom"/>
            <w:shd w:val="clear" w:color="auto" w:fill="CCEEFF"/>
          </w:tcPr>
          <w:p>
            <w:pPr>
              <w:jc w:val="center"/>
              <w:ind w:right="511"/>
              <w:spacing w:after="0"/>
              <w:rPr>
                <w:sz w:val="20"/>
                <w:szCs w:val="20"/>
                <w:color w:val="auto"/>
              </w:rPr>
            </w:pPr>
            <w:r>
              <w:rPr>
                <w:rFonts w:ascii="Times New Roman" w:cs="Times New Roman" w:eastAsia="Times New Roman" w:hAnsi="Times New Roman"/>
                <w:sz w:val="14"/>
                <w:szCs w:val="14"/>
                <w:color w:val="auto"/>
                <w:w w:val="98"/>
              </w:rPr>
              <w:t>99,000</w:t>
            </w:r>
          </w:p>
        </w:tc>
        <w:tc>
          <w:tcPr>
            <w:tcW w:w="2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150% or greater</w:t>
            </w: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4"/>
                <w:szCs w:val="14"/>
                <w:color w:val="auto"/>
              </w:rPr>
            </w:pPr>
          </w:p>
        </w:tc>
      </w:tr>
      <w:tr>
        <w:trPr>
          <w:trHeight w:val="179"/>
        </w:trPr>
        <w:tc>
          <w:tcPr>
            <w:tcW w:w="35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w w:val="99"/>
              </w:rPr>
              <w:t>Tranche 4</w:t>
            </w:r>
          </w:p>
        </w:tc>
        <w:tc>
          <w:tcPr>
            <w:tcW w:w="20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rPr>
              <w:t>123,750</w:t>
            </w:r>
          </w:p>
        </w:tc>
        <w:tc>
          <w:tcPr>
            <w:tcW w:w="220" w:type="dxa"/>
            <w:vAlign w:val="bottom"/>
          </w:tcPr>
          <w:p>
            <w:pPr>
              <w:spacing w:after="0"/>
              <w:rPr>
                <w:sz w:val="15"/>
                <w:szCs w:val="15"/>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175%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15"/>
                <w:szCs w:val="15"/>
                <w:color w:val="auto"/>
              </w:rPr>
            </w:pPr>
          </w:p>
        </w:tc>
      </w:tr>
      <w:tr>
        <w:trPr>
          <w:trHeight w:val="318"/>
        </w:trPr>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Vesting amounts for Mr. Saharek’s 2021 PSUs are as follows:</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Tranche</w:t>
            </w:r>
          </w:p>
        </w:tc>
        <w:tc>
          <w:tcPr>
            <w:tcW w:w="29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TSR</w:t>
            </w:r>
          </w:p>
        </w:tc>
        <w:tc>
          <w:tcPr>
            <w:tcW w:w="420" w:type="dxa"/>
            <w:vAlign w:val="bottom"/>
          </w:tcPr>
          <w:p>
            <w:pPr>
              <w:spacing w:after="0"/>
              <w:rPr>
                <w:sz w:val="15"/>
                <w:szCs w:val="15"/>
                <w:color w:val="auto"/>
              </w:rPr>
            </w:pP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Target Share Price*</w:t>
            </w:r>
          </w:p>
        </w:tc>
      </w:tr>
      <w:tr>
        <w:trPr>
          <w:trHeight w:val="165"/>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Tranche 1</w:t>
            </w:r>
          </w:p>
        </w:tc>
        <w:tc>
          <w:tcPr>
            <w:tcW w:w="240" w:type="dxa"/>
            <w:vAlign w:val="bottom"/>
            <w:tcBorders>
              <w:top w:val="single" w:sz="8" w:color="CCEEFF"/>
            </w:tcBorders>
            <w:shd w:val="clear" w:color="auto" w:fill="CCEEFF"/>
          </w:tcPr>
          <w:p>
            <w:pPr>
              <w:spacing w:after="0"/>
              <w:rPr>
                <w:sz w:val="14"/>
                <w:szCs w:val="14"/>
                <w:color w:val="auto"/>
              </w:rPr>
            </w:pPr>
          </w:p>
        </w:tc>
        <w:tc>
          <w:tcPr>
            <w:tcW w:w="2720" w:type="dxa"/>
            <w:vAlign w:val="bottom"/>
            <w:tcBorders>
              <w:top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rPr>
              <w:t>39,600</w:t>
            </w:r>
          </w:p>
        </w:tc>
        <w:tc>
          <w:tcPr>
            <w:tcW w:w="22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50% or greater</w:t>
            </w: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5"/>
        </w:trPr>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Tranche 2</w:t>
            </w:r>
          </w:p>
        </w:tc>
        <w:tc>
          <w:tcPr>
            <w:tcW w:w="272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59,400</w:t>
            </w:r>
          </w:p>
        </w:tc>
        <w:tc>
          <w:tcPr>
            <w:tcW w:w="220" w:type="dxa"/>
            <w:vAlign w:val="bottom"/>
          </w:tcPr>
          <w:p>
            <w:pPr>
              <w:spacing w:after="0"/>
              <w:rPr>
                <w:sz w:val="14"/>
                <w:szCs w:val="14"/>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100%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4"/>
                <w:szCs w:val="14"/>
                <w:color w:val="auto"/>
              </w:rPr>
            </w:pPr>
          </w:p>
        </w:tc>
      </w:tr>
      <w:tr>
        <w:trPr>
          <w:trHeight w:val="165"/>
        </w:trPr>
        <w:tc>
          <w:tcPr>
            <w:tcW w:w="2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Tranche 3</w:t>
            </w:r>
          </w:p>
        </w:tc>
        <w:tc>
          <w:tcPr>
            <w:tcW w:w="272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rPr>
              <w:t>79,200</w:t>
            </w:r>
          </w:p>
        </w:tc>
        <w:tc>
          <w:tcPr>
            <w:tcW w:w="2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150% or greater</w:t>
            </w: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4"/>
                <w:szCs w:val="14"/>
                <w:color w:val="auto"/>
              </w:rPr>
            </w:pPr>
          </w:p>
        </w:tc>
      </w:tr>
      <w:tr>
        <w:trPr>
          <w:trHeight w:val="179"/>
        </w:trPr>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Tranche 4</w:t>
            </w:r>
          </w:p>
        </w:tc>
        <w:tc>
          <w:tcPr>
            <w:tcW w:w="2720" w:type="dxa"/>
            <w:vAlign w:val="bottom"/>
          </w:tcPr>
          <w:p>
            <w:pPr>
              <w:jc w:val="right"/>
              <w:ind w:right="1051"/>
              <w:spacing w:after="0"/>
              <w:rPr>
                <w:sz w:val="20"/>
                <w:szCs w:val="20"/>
                <w:color w:val="auto"/>
              </w:rPr>
            </w:pPr>
            <w:r>
              <w:rPr>
                <w:rFonts w:ascii="Times New Roman" w:cs="Times New Roman" w:eastAsia="Times New Roman" w:hAnsi="Times New Roman"/>
                <w:sz w:val="14"/>
                <w:szCs w:val="14"/>
                <w:color w:val="auto"/>
              </w:rPr>
              <w:t>99,000</w:t>
            </w:r>
          </w:p>
        </w:tc>
        <w:tc>
          <w:tcPr>
            <w:tcW w:w="220" w:type="dxa"/>
            <w:vAlign w:val="bottom"/>
          </w:tcPr>
          <w:p>
            <w:pPr>
              <w:spacing w:after="0"/>
              <w:rPr>
                <w:sz w:val="15"/>
                <w:szCs w:val="15"/>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175% or greater</w:t>
            </w: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15"/>
                <w:szCs w:val="15"/>
                <w:color w:val="auto"/>
              </w:rPr>
            </w:pPr>
          </w:p>
        </w:tc>
      </w:tr>
    </w:tbl>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*Target Share Price assumes that no dividends or similar distributions are made to stockholders of the Company. If such distributions are made, the Target Share Price would decrease accordingly, to the benefit of the employee, to account for the dividend/distribution as a part of TSR.</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the date of this Proxy Statement, the TSR metrics for all four tranches of the 2021 PSUs had been met and assuming the executives reach the required two-year service period, the Company expects the 2021 PSUs to vest in their entirety on or around July 23, 2023.</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April 2023, the Compensation Committee awarded our named executive officers new PSUs granted under the Plan (the “2023 PSUs”). The 2023 PSUs have similar attributes as the 2021 PSUs with higher market-based vesting criteria and with each PSU representing a contingent right to receive one share of common stock of the Company upon vesting. The vesting of the 2023 PSUs require (i) a minimum of a two-year service period, and (ii) the achievement and maintenance of Harrow common stock price targets ranging between $25 to $50.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Arrangements with Mark L. Baum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Agreements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and a target annual bonus incentive under the Company’s Management Incentive Plan of 60% of his base salary. Pursuant to the Baum Agreement, Mr. Baum received 1,050,000 restricted stock units vesting on the fifth anniversary of the date of grant subject to performance-based accelerated vesting. All shares under this equity award vested during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11280"/>
          </w:cols>
          <w:pgMar w:left="300" w:top="53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Involuntary Termination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Control Arrangements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the event of an Involuntary Termination of Mr. Baum’s employment within one month prior to, or 12 months following, a Change in Control (as defined in the 2007 Plan), any unvested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Equity Incentive Grants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Mr. Baum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Arrangements with Andrew R. Boll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Agreements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and a target annual incentive bonus of 50% of his annual base salary. Pursuant to the Boll Agreement, Mr. Boll received an amended 157,500 restricted stock units vesting on the fifth anniversary of the date of grant subject to performance-based accelerated vesting. All shares under this equity award vested during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Involuntary Termination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ectPr>
          <w:pgSz w:w="11900" w:h="16838" w:orient="portrait"/>
          <w:cols w:equalWidth="0" w:num="1">
            <w:col w:w="11280"/>
          </w:cols>
          <w:pgMar w:left="300" w:top="53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color w:val="auto"/>
        </w:rPr>
        <w:t>Change in Control Arrangements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Should an Involuntary Termination of Mr. Boll’s employment occur within one month prior to, or 12 months following, a Change in Control (as defined in the 2017 Plan),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options shall be deemed fully vested as of the date of such Involuntary Termination.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Equity Incentive Grants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Mr. Boll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Arrangements with John P. Saharek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Agreements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options to purchase 60,000 shares of our common stock (the “Saharek Options”).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Involuntary Termination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Control Arrangements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Should an Involuntary Termination of Mr. Saharek’s employment occur within one month prior to, or 12 months following, a Change in Control (as defined in the 2017 Plan),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Equity Incentive Grants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Mr. Saharek has received other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bl>
    <w:p>
      <w:pPr>
        <w:sectPr>
          <w:pgSz w:w="11900" w:h="16838" w:orient="portrait"/>
          <w:cols w:equalWidth="0" w:num="1">
            <w:col w:w="11280"/>
          </w:cols>
          <w:pgMar w:left="300" w:top="53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following tables and related disclosures provide information about (i) the “total compensation” of our principal executive officer (the “PEO”) and our other named executive officers (the “Other NEOs”) as presented in the “Summary Compensation Table”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“Executive Compensation.”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Average Summary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 PEO</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Non-PEO Named</w:t>
            </w:r>
          </w:p>
        </w:tc>
        <w:tc>
          <w:tcPr>
            <w:tcW w:w="31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Value of Initial Fixed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 Investment Based 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Peer Group 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Named Executive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Total Shareholder</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Shareholder Return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for PEO (1)</w:t>
            </w:r>
          </w:p>
        </w:tc>
        <w:tc>
          <w:tcPr>
            <w:tcW w:w="34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 to PEO (1)(2)</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Officers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Officers (1)(2)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Return (3)</w:t>
            </w:r>
          </w:p>
        </w:tc>
        <w:tc>
          <w:tcPr>
            <w:tcW w:w="100" w:type="dxa"/>
            <w:vAlign w:val="bottom"/>
          </w:tcPr>
          <w:p>
            <w:pPr>
              <w:spacing w:after="0"/>
              <w:rPr>
                <w:sz w:val="14"/>
                <w:szCs w:val="14"/>
                <w:color w:val="auto"/>
              </w:rPr>
            </w:pPr>
          </w:p>
        </w:tc>
        <w:tc>
          <w:tcPr>
            <w:tcW w:w="11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Net Loss (5)</w:t>
            </w:r>
          </w:p>
        </w:tc>
      </w:tr>
      <w:tr>
        <w:trPr>
          <w:trHeight w:val="183"/>
        </w:trPr>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5"/>
                <w:szCs w:val="15"/>
                <w:color w:val="auto"/>
              </w:rPr>
            </w:pPr>
          </w:p>
        </w:tc>
        <w:tc>
          <w:tcPr>
            <w:tcW w:w="10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10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(h)</w:t>
            </w:r>
          </w:p>
        </w:tc>
      </w:tr>
      <w:tr>
        <w:trPr>
          <w:trHeight w:val="165"/>
        </w:trPr>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1,195,141</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9,511,499</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710,637</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3,053,124</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7,321,467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8,694,375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3,014,506</w:t>
            </w:r>
          </w:p>
        </w:tc>
        <w:tc>
          <w:tcPr>
            <w:tcW w:w="160" w:type="dxa"/>
            <w:vAlign w:val="bottom"/>
          </w:tcPr>
          <w:p>
            <w:pPr>
              <w:spacing w:after="0"/>
              <w:rPr>
                <w:sz w:val="15"/>
                <w:szCs w:val="15"/>
                <w:color w:val="auto"/>
              </w:rPr>
            </w:pP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3,538,147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18,007,000</w:t>
            </w:r>
          </w:p>
        </w:tc>
      </w:tr>
    </w:tbl>
    <w:p>
      <w:pPr>
        <w:spacing w:after="0" w:line="139" w:lineRule="exact"/>
        <w:rPr>
          <w:sz w:val="20"/>
          <w:szCs w:val="20"/>
          <w:color w:val="auto"/>
        </w:rPr>
      </w:pPr>
    </w:p>
    <w:p>
      <w:pPr>
        <w:ind w:left="260" w:hanging="257"/>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Baum was our PEO for each year presented. Andrew Boll and John Saharek are the individuals comprising the Non-PEOs for each year presented.</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adjustments made during each year presented to arrive at the CAP Amounts for our PEO and Non-PEOs during each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0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PEO</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100" w:type="dxa"/>
            <w:vAlign w:val="bottom"/>
          </w:tcPr>
          <w:p>
            <w:pPr>
              <w:spacing w:after="0"/>
              <w:rPr>
                <w:sz w:val="15"/>
                <w:szCs w:val="15"/>
                <w:color w:val="auto"/>
              </w:rPr>
            </w:pPr>
          </w:p>
        </w:tc>
      </w:tr>
      <w:tr>
        <w:trPr>
          <w:trHeight w:val="165"/>
        </w:trPr>
        <w:tc>
          <w:tcPr>
            <w:tcW w:w="4980" w:type="dxa"/>
            <w:vAlign w:val="bottom"/>
            <w:tcBorders>
              <w:top w:val="single" w:sz="8" w:color="auto"/>
            </w:tcBorders>
            <w:shd w:val="clear" w:color="auto" w:fill="CCEEFF"/>
          </w:tcPr>
          <w:p>
            <w:pPr>
              <w:ind w:left="2100"/>
              <w:spacing w:after="0"/>
              <w:rPr>
                <w:sz w:val="20"/>
                <w:szCs w:val="20"/>
                <w:color w:val="auto"/>
              </w:rPr>
            </w:pPr>
            <w:r>
              <w:rPr>
                <w:rFonts w:ascii="Times New Roman" w:cs="Times New Roman" w:eastAsia="Times New Roman" w:hAnsi="Times New Roman"/>
                <w:sz w:val="14"/>
                <w:szCs w:val="14"/>
                <w:color w:val="auto"/>
              </w:rPr>
              <w:t>SCT Amounts</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1,195,141</w:t>
            </w: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710,637</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7,321,467</w:t>
            </w: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3,014,506</w:t>
            </w:r>
          </w:p>
        </w:tc>
        <w:tc>
          <w:tcPr>
            <w:tcW w:w="100" w:type="dxa"/>
            <w:vAlign w:val="bottom"/>
            <w:tcBorders>
              <w:top w:val="single" w:sz="8" w:color="CCEEFF"/>
            </w:tcBorders>
            <w:shd w:val="clear" w:color="auto" w:fill="CCEEFF"/>
          </w:tcPr>
          <w:p>
            <w:pPr>
              <w:spacing w:after="0"/>
              <w:rPr>
                <w:sz w:val="14"/>
                <w:szCs w:val="14"/>
                <w:color w:val="auto"/>
              </w:rPr>
            </w:pPr>
          </w:p>
        </w:tc>
      </w:tr>
      <w:tr>
        <w:trPr>
          <w:trHeight w:val="153"/>
        </w:trPr>
        <w:tc>
          <w:tcPr>
            <w:tcW w:w="52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Subtract: Aggregate value for stock awards and option awards included in SCT amounts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covered fiscal year</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(6,251,841)</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(2,345,183)</w:t>
            </w:r>
          </w:p>
        </w:tc>
      </w:tr>
      <w:tr>
        <w:trPr>
          <w:trHeight w:val="153"/>
        </w:trPr>
        <w:tc>
          <w:tcPr>
            <w:tcW w:w="52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Add: Fair value at year end of awards granted during the covered fiscal year that were</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and unvested at the covered fiscal year end</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6,962,777</w:t>
            </w:r>
          </w:p>
        </w:tc>
        <w:tc>
          <w:tcPr>
            <w:tcW w:w="3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2,642,227</w:t>
            </w:r>
          </w:p>
        </w:tc>
        <w:tc>
          <w:tcPr>
            <w:tcW w:w="100" w:type="dxa"/>
            <w:vAlign w:val="bottom"/>
            <w:shd w:val="clear" w:color="auto" w:fill="CCEEFF"/>
          </w:tcPr>
          <w:p>
            <w:pPr>
              <w:spacing w:after="0"/>
              <w:rPr>
                <w:sz w:val="15"/>
                <w:szCs w:val="15"/>
                <w:color w:val="auto"/>
              </w:rPr>
            </w:pPr>
          </w:p>
        </w:tc>
      </w:tr>
      <w:tr>
        <w:trPr>
          <w:trHeight w:val="153"/>
        </w:trPr>
        <w:tc>
          <w:tcPr>
            <w:tcW w:w="52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Add (Subtract): Year-over-year change in fair value at covered fiscal year end of awards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 in any prior fiscal year that were outstanding and unvested at the covered fiscal</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7,390,670</w:t>
            </w:r>
          </w:p>
        </w:tc>
        <w:tc>
          <w:tcPr>
            <w:tcW w:w="50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1,948,868</w:t>
            </w:r>
          </w:p>
        </w:tc>
        <w:tc>
          <w:tcPr>
            <w:tcW w:w="180" w:type="dxa"/>
            <w:vAlign w:val="bottom"/>
          </w:tcPr>
          <w:p>
            <w:pPr>
              <w:spacing w:after="0"/>
              <w:rPr>
                <w:sz w:val="15"/>
                <w:szCs w:val="15"/>
                <w:color w:val="auto"/>
              </w:rPr>
            </w:pP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(1,491,366)</w:t>
            </w: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46,479</w:t>
            </w:r>
          </w:p>
        </w:tc>
      </w:tr>
      <w:tr>
        <w:trPr>
          <w:trHeight w:val="165"/>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Vesting date fair value of awards granted and vested during the covered fiscal year</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53"/>
        </w:trPr>
        <w:tc>
          <w:tcPr>
            <w:tcW w:w="52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Add: Change as of the vesting date (from the end of the prior fiscal year) in fair value of</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awards granted in any prior fiscal year for which vesting conditions were satisfied during</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covered fiscal year</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925,688</w:t>
            </w:r>
          </w:p>
        </w:tc>
        <w:tc>
          <w:tcPr>
            <w:tcW w:w="50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393,619</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2,153,339</w:t>
            </w:r>
          </w:p>
        </w:tc>
        <w:tc>
          <w:tcPr>
            <w:tcW w:w="300" w:type="dxa"/>
            <w:vAlign w:val="bottom"/>
          </w:tcPr>
          <w:p>
            <w:pPr>
              <w:spacing w:after="0"/>
              <w:rPr>
                <w:sz w:val="15"/>
                <w:szCs w:val="15"/>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180,117</w:t>
            </w:r>
          </w:p>
        </w:tc>
      </w:tr>
      <w:tr>
        <w:trPr>
          <w:trHeight w:val="153"/>
        </w:trPr>
        <w:tc>
          <w:tcPr>
            <w:tcW w:w="52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Add: Fair value at end of prior fiscal year of awards granted in any prior fiscal year that</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failed to meet the applicable vesting conditions during the covered fiscal year</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53"/>
        </w:trPr>
        <w:tc>
          <w:tcPr>
            <w:tcW w:w="52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Add: Dividends or other earnings paid on stock or option awards in the covered fiscal</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prior to vesting if not otherwise included in the total compensation for the covered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year</w:t>
            </w:r>
          </w:p>
        </w:tc>
        <w:tc>
          <w:tcPr>
            <w:tcW w:w="2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N/A</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 Amounts (as calculated)</w:t>
            </w: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9,511,499</w:t>
            </w: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3,053,124</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8,694,375</w:t>
            </w: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3,538,147</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153" w:lineRule="exact"/>
        <w:rPr>
          <w:sz w:val="20"/>
          <w:szCs w:val="20"/>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represents the cumulative growth of a hypothetical $100 investment in the Company made as of December 31, 2020, reflected as of the end of each respective year.</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Peer group TSR represents the cumulative growth of a hypothetical $100 investment made as of December 31, 2020 in the Nasdaq Biotechnology Index, reflected as of the end of each respective year.</w:t>
      </w:r>
    </w:p>
    <w:p>
      <w:pPr>
        <w:spacing w:after="0" w:line="15"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net loss reflected in our consolidated financial statements for each covered fiscal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ectPr>
          <w:pgSz w:w="11900" w:h="16838" w:orient="portrait"/>
          <w:cols w:equalWidth="0" w:num="1">
            <w:col w:w="11280"/>
          </w:cols>
          <w:pgMar w:left="300" w:top="53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color w:val="auto"/>
        </w:rPr>
        <w:t>Relationship Between Compensation Actually Paid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118110</wp:posOffset>
            </wp:positionV>
            <wp:extent cx="4396105" cy="1935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96105" cy="193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9500" w:type="dxa"/>
            <w:vAlign w:val="bottom"/>
            <w:gridSpan w:val="7"/>
          </w:tcPr>
          <w:p>
            <w:pPr>
              <w:ind w:left="500"/>
              <w:spacing w:after="0"/>
              <w:rPr>
                <w:sz w:val="20"/>
                <w:szCs w:val="20"/>
                <w:color w:val="auto"/>
              </w:rPr>
            </w:pPr>
            <w:r>
              <w:rPr>
                <w:rFonts w:ascii="Times New Roman" w:cs="Times New Roman" w:eastAsia="Times New Roman" w:hAnsi="Times New Roman"/>
                <w:sz w:val="14"/>
                <w:szCs w:val="14"/>
                <w:color w:val="auto"/>
              </w:rPr>
              <w:t>The following table summarizes our equity compensation plans under which our equity securities are authorized for issuance as of December 31, 2022.</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3700" w:type="dxa"/>
            <w:vAlign w:val="bottom"/>
          </w:tcPr>
          <w:p>
            <w:pPr>
              <w:spacing w:after="0"/>
              <w:rPr>
                <w:sz w:val="24"/>
                <w:szCs w:val="24"/>
                <w:color w:val="auto"/>
              </w:rPr>
            </w:pPr>
          </w:p>
        </w:tc>
        <w:tc>
          <w:tcPr>
            <w:tcW w:w="37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3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r>
      <w:tr>
        <w:trPr>
          <w:trHeight w:val="165"/>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Number of Shares to be</w:t>
            </w:r>
          </w:p>
        </w:tc>
        <w:tc>
          <w:tcPr>
            <w:tcW w:w="2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 Available for</w:t>
            </w:r>
          </w:p>
        </w:tc>
      </w:tr>
      <w:tr>
        <w:trPr>
          <w:trHeight w:val="165"/>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10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Price of 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r>
      <w:tr>
        <w:trPr>
          <w:trHeight w:val="165"/>
        </w:trPr>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0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Options, Warrants and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r>
      <w:tr>
        <w:trPr>
          <w:trHeight w:val="183"/>
        </w:trPr>
        <w:tc>
          <w:tcPr>
            <w:tcW w:w="370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3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(1)</w:t>
            </w:r>
          </w:p>
        </w:tc>
        <w:tc>
          <w:tcPr>
            <w:tcW w:w="100" w:type="dxa"/>
            <w:vAlign w:val="bottom"/>
            <w:tcBorders>
              <w:bottom w:val="single" w:sz="8" w:color="CCEEFF"/>
            </w:tcBorders>
          </w:tcPr>
          <w:p>
            <w:pPr>
              <w:spacing w:after="0"/>
              <w:rPr>
                <w:sz w:val="15"/>
                <w:szCs w:val="15"/>
                <w:color w:val="auto"/>
              </w:rPr>
            </w:pPr>
          </w:p>
        </w:tc>
      </w:tr>
      <w:tr>
        <w:trPr>
          <w:trHeight w:val="16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7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5,409,279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2,057,155</w:t>
            </w:r>
          </w:p>
        </w:tc>
        <w:tc>
          <w:tcPr>
            <w:tcW w:w="100" w:type="dxa"/>
            <w:vAlign w:val="bottom"/>
            <w:shd w:val="clear" w:color="auto" w:fill="CCEEFF"/>
          </w:tcPr>
          <w:p>
            <w:pPr>
              <w:spacing w:after="0"/>
              <w:rPr>
                <w:sz w:val="14"/>
                <w:szCs w:val="14"/>
                <w:color w:val="auto"/>
              </w:rPr>
            </w:pPr>
          </w:p>
        </w:tc>
      </w:tr>
      <w:tr>
        <w:trPr>
          <w:trHeight w:val="176"/>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37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5,409,279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5.90(2)</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2,057,155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1335" cy="13335"/>
                    </a:xfrm>
                    <a:prstGeom prst="rect">
                      <a:avLst/>
                    </a:prstGeom>
                    <a:noFill/>
                  </pic:spPr>
                </pic:pic>
              </a:graphicData>
            </a:graphic>
          </wp:anchor>
        </w:drawing>
      </w:r>
    </w:p>
    <w:p>
      <w:pPr>
        <w:spacing w:after="0" w:line="164" w:lineRule="exact"/>
        <w:rPr>
          <w:sz w:val="20"/>
          <w:szCs w:val="20"/>
          <w:color w:val="auto"/>
        </w:rPr>
      </w:pPr>
    </w:p>
    <w:p>
      <w:pPr>
        <w:jc w:val="both"/>
        <w:ind w:left="260" w:hanging="257"/>
        <w:spacing w:after="0" w:line="253" w:lineRule="auto"/>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reserved under the 2017 Plan. See Note 15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canceled/forfeited. On June 13, 2017, the Company’s Board of Directors and stockholders adopted the 2017 Plan, which was subsequently amended on June 3, 2021.</w:t>
      </w:r>
    </w:p>
    <w:p>
      <w:pPr>
        <w:ind w:left="260" w:hanging="257"/>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outstanding RSUs, which have no associated exercise price.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ectPr>
          <w:pgSz w:w="11900" w:h="16838" w:orient="portrait"/>
          <w:cols w:equalWidth="0" w:num="1">
            <w:col w:w="11280"/>
          </w:cols>
          <w:pgMar w:left="300" w:top="536"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RELATED STOCKHOLDER MATTERS</w:t>
      </w:r>
    </w:p>
    <w:p>
      <w:pPr>
        <w:spacing w:after="0" w:line="15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24, 2023. Unless otherwise indicated in the footnotes to the following table, each person named in the table has sole voting and investment power with respect to shares of common stock, and the address for such person is c/o Harrow Health, Inc., 102 Woodmont Blvd., Suite 610, Nashville, TN 37205.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3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and Nature of Beneficial Ownership</w:t>
            </w:r>
          </w:p>
        </w:tc>
        <w:tc>
          <w:tcPr>
            <w:tcW w:w="2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Percentage (1)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4"/>
              </w:rPr>
              <w:t>5% + Stockholders</w:t>
            </w:r>
          </w:p>
        </w:tc>
        <w:tc>
          <w:tcPr>
            <w:tcW w:w="526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14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1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Opaleye L.P. (2)</w:t>
            </w: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3,775,000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654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Directors and Officers</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L. Baum (3)</w:t>
            </w:r>
          </w:p>
        </w:tc>
        <w:tc>
          <w:tcPr>
            <w:tcW w:w="5320" w:type="dxa"/>
            <w:vAlign w:val="bottom"/>
            <w:gridSpan w:val="2"/>
            <w:shd w:val="clear" w:color="auto" w:fill="CCEEFF"/>
          </w:tcPr>
          <w:p>
            <w:pPr>
              <w:spacing w:after="0"/>
              <w:rPr>
                <w:sz w:val="15"/>
                <w:szCs w:val="15"/>
                <w:color w:val="auto"/>
              </w:rPr>
            </w:pPr>
          </w:p>
        </w:tc>
        <w:tc>
          <w:tcPr>
            <w:tcW w:w="2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3,020,229</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Andrew R. Boll (4)</w:t>
            </w: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603,419</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P. Saharek (5)</w:t>
            </w:r>
          </w:p>
        </w:tc>
        <w:tc>
          <w:tcPr>
            <w:tcW w:w="2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398,140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 Lawrence Van Horn (6)</w:t>
            </w: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37,127</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L. Lindstrom (7)</w:t>
            </w:r>
          </w:p>
        </w:tc>
        <w:tc>
          <w:tcPr>
            <w:tcW w:w="2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248,841</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Martin A. Makary (8)</w:t>
            </w: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38,123</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Teresa F. Sparks (9)</w:t>
            </w:r>
          </w:p>
        </w:tc>
        <w:tc>
          <w:tcPr>
            <w:tcW w:w="2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49,773</w:t>
            </w:r>
          </w:p>
        </w:tc>
        <w:tc>
          <w:tcPr>
            <w:tcW w:w="2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Perry J. Sternberg (10)</w:t>
            </w:r>
          </w:p>
        </w:tc>
        <w:tc>
          <w:tcPr>
            <w:tcW w:w="2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13,123</w:t>
            </w: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executives and directors as a group (8 persons)</w:t>
            </w:r>
          </w:p>
        </w:tc>
        <w:tc>
          <w:tcPr>
            <w:tcW w:w="21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gridSpan w:val="4"/>
            <w:vMerge w:val="continue"/>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4,408,775</w:t>
            </w:r>
          </w:p>
        </w:tc>
        <w:tc>
          <w:tcPr>
            <w:tcW w:w="340" w:type="dxa"/>
            <w:vAlign w:val="bottom"/>
            <w:vMerge w:val="continue"/>
            <w:shd w:val="clear" w:color="auto" w:fill="CCEEFF"/>
          </w:tcPr>
          <w:p>
            <w:pPr>
              <w:spacing w:after="0"/>
              <w:rPr>
                <w:sz w:val="14"/>
                <w:szCs w:val="14"/>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8" w:lineRule="exact"/>
        <w:rPr>
          <w:sz w:val="20"/>
          <w:szCs w:val="20"/>
          <w:color w:val="auto"/>
        </w:rPr>
      </w:pPr>
    </w:p>
    <w:p>
      <w:pPr>
        <w:jc w:val="both"/>
        <w:ind w:left="300" w:hanging="297"/>
        <w:spacing w:after="0" w:line="246" w:lineRule="auto"/>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percentages are based on 30,121,997 shares of our common stock outstanding as of April 24, 2023. Shares of common stock subject to options or warrants that are currently exercisable or exercisable within 60 days after April 24, 2023, are deemed outstanding for the purpose of computing the percentage ownership of the person holding such options or warrants, but are not deemed outstanding for the purpose of computing the percentage ownership of any other person.</w:t>
      </w:r>
    </w:p>
    <w:p>
      <w:pPr>
        <w:ind w:left="300" w:hanging="297"/>
        <w:spacing w:after="0" w:line="210" w:lineRule="auto"/>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13G/A filed on January 20, 2023, by Opaleye L.P., Opaleye Management, Inc. and James Silverman (collectively, “Opaleye”). Opaleye reported that it possessed shared voting power and shared dispositive power with respect to all of the shares. The address for Opaleye is One Boston Place,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Boston MA 02108.</w:t>
      </w: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1,472,900 shares of common stock issuable upon the exercise of stock options exercisable within 60 days after April 24, 2023.</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279,400 shares of common stock issuable upon the exercise of stock options exercisable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344,063 shares of common stock issuable upon the exercise of stock options exercisable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35,267 shares of common stock issuable upon Mr. Van Horn’s discontinuation of service as a director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122,741 shares of common stock issuable upon Dr. Lindstrom’s discontinuation of service as a director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13,123 shares of common stock issuable upon Dr. Makary’s discontinuation of service as a director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49,773 shares of common stock issuable upon Ms. Sparks’ discontinuation of service as a director within 60 days after April 24, 2023.</w:t>
      </w:r>
    </w:p>
    <w:p>
      <w:pPr>
        <w:spacing w:after="0" w:line="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13,123 shares of common stock issuable upon Mr. Sternberg’s discontinuation of service as a director within 60 days after April 24,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bl>
    <w:p>
      <w:pPr>
        <w:sectPr>
          <w:pgSz w:w="11900" w:h="16838" w:orient="portrait"/>
          <w:cols w:equalWidth="0" w:num="1">
            <w:col w:w="11280"/>
          </w:cols>
          <w:pgMar w:left="300" w:top="536"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Investors section of the Company’s website, </w:t>
      </w:r>
      <w:r>
        <w:rPr>
          <w:rFonts w:ascii="Times New Roman" w:cs="Times New Roman" w:eastAsia="Times New Roman" w:hAnsi="Times New Roman"/>
          <w:sz w:val="14"/>
          <w:szCs w:val="14"/>
          <w:u w:val="single" w:color="auto"/>
          <w:color w:val="auto"/>
        </w:rPr>
        <w:t>www.harrow.com</w:t>
      </w:r>
      <w:r>
        <w:rPr>
          <w:rFonts w:ascii="Times New Roman" w:cs="Times New Roman" w:eastAsia="Times New Roman" w:hAnsi="Times New Roman"/>
          <w:sz w:val="14"/>
          <w:szCs w:val="14"/>
          <w:color w:val="auto"/>
        </w:rPr>
        <w:t>, under Corporate Governance.</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reliance on the reviews and discussions referred to above, the Audit Committee recommended to the Board of Directors that the Company’s audited financial statements for the fiscal year ended December 31, 2022, should be included in the Annual Report.</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Submitted by the Audit Committee of the Board of Directors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Teresa F. Sparks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Martin A. Makary</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 Lawrence Van Horn</w:t>
      </w:r>
    </w:p>
    <w:p>
      <w:pPr>
        <w:spacing w:after="0" w:line="15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ectPr>
          <w:pgSz w:w="11900" w:h="16838" w:orient="portrait"/>
          <w:cols w:equalWidth="0" w:num="1">
            <w:col w:w="11280"/>
          </w:cols>
          <w:pgMar w:left="300" w:top="536"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HOUSEHOLDING OF PROXY MATERIALS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spacing w:after="0" w:line="140"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Health, Inc., c/o Corporate Secretary, 102 Woodmont Blvd., Suite 610, Nashville, TN 37205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Proposals for 2024 Annual Meeting</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Pursuant to Rule 14a-8 under the Exchange Act, stockholders may present proper proposals for inclusion in our proxy statement and for consideration at our next annual meeting of stockholders. To be eligible for inclusion in our proxy statement for our 2024 annual meeting of stockholders, a stockholder’s proposal must be received by our Corporate Secretary at our principal executive offices no later than December 30, 2023, unless the date of our 2024 annual meeting of stockholders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Advance Notice Requirements for the 2024 Annual Meeting</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Our Bylaws require advance notice of business to be brought before a stockholders’ meeting, including nominations of persons for election as directors. To be timely, in the case of a stockholder seeking to have a proposal included in the Company’s proxy statement, notice of business must be received by our Corporate Secretary at our principal executive offices not less than 120 days nor more than 180 days prior to the anniversary date of the mailing of the proxy materials for the preceding year’s annual meeting, or between October 31, 2023, and December 30, 2023, for our 2024 annual meeting of stockholders, except if we did not hold an annual meeting the previous year, or if the date of the applicable annual meeting of stockholders has been changed by more than 30 days from the date of the previous year’s annual meeting, then the deadline is a reasonable time before we begin to print and mail our proxy materials to stockholders, and not later than the close of business on the later of (i) the 90th day prior to the scheduled annual meeting or (ii) the 15th day following the day on which public announcement of the date of the annual meeting was first made. If a stockholder is not seeking inclusion of the proposal in the Company’s proxy statement, timely notice of business to be brought before our 2024 annual meeting of stockholders must be received by our Corporate Secretary at our principal executive offices not less than 90 days prior to the date of the annual meeting. Any notice of a stockholder proposal must contain specified information concerning the matters to be brought before such meeting and concerning the stockholder proposing such matters.</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In addition to satisfying the foregoing advance notice requirements under our Bylaws, to comply with the universal proxy rules for the 2024 annual meeting, stockholders who intend to solicit proxies in support of director nominees other than the Company’s nominees must provide notice that sets forth the information required by Rule 14a-19 under the Exchange Act no later than April 22, 2024, except if we did not hold an annual meeting the previous year, or if the date of the applicable annual meeting of stockholders has been changed by more than 30 days from the date of the previous year’s annual meeting, then the notice must be provided by the later of 60 days prior to the date of the annual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following the day on which public announcement of the date of the annual meeting was first made.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ectPr>
          <w:pgSz w:w="11900" w:h="16838" w:orient="portrait"/>
          <w:cols w:equalWidth="0" w:num="1">
            <w:col w:w="11280"/>
          </w:cols>
          <w:pgMar w:left="300" w:top="536" w:right="319" w:bottom="1440" w:gutter="0" w:footer="0" w:header="0"/>
        </w:sectPr>
      </w:pPr>
    </w:p>
    <w:bookmarkStart w:id="35" w:name="page36"/>
    <w:bookmarkEnd w:id="35"/>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 copy of our Bylaws may be obtained by written request to the Corporate Secretary at Harrow Health, Inc., c/o Corporate Secretary, 102 Woodmont Blvd., Suite 610, Nashville, TN 37205.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REPORT</w:t>
      </w:r>
    </w:p>
    <w:p>
      <w:pPr>
        <w:spacing w:after="0" w:line="174"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 xml:space="preserve">As indicated in the Notice of Internet Availability of Proxy Materials, a copy of this Proxy Statement and the Annual Report has been posted on the website </w:t>
      </w:r>
      <w:r>
        <w:rPr>
          <w:rFonts w:ascii="Times New Roman" w:cs="Times New Roman" w:eastAsia="Times New Roman" w:hAnsi="Times New Roman"/>
          <w:sz w:val="13"/>
          <w:szCs w:val="13"/>
          <w:u w:val="single" w:color="auto"/>
          <w:color w:val="auto"/>
        </w:rPr>
        <w:t>www.proxyvote.com</w:t>
      </w:r>
      <w:r>
        <w:rPr>
          <w:rFonts w:ascii="Times New Roman" w:cs="Times New Roman" w:eastAsia="Times New Roman" w:hAnsi="Times New Roman"/>
          <w:sz w:val="13"/>
          <w:szCs w:val="13"/>
          <w:color w:val="auto"/>
        </w:rPr>
        <w:t>. Upon the written request of any stockholder entitled to vote at the Annual Meeting, we will provide, without charge, additional copies of the Annual Report upon the receipt of a written or oral request by any stockholder.</w:t>
      </w:r>
    </w:p>
    <w:p>
      <w:pPr>
        <w:spacing w:after="0" w:line="10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Times New Roman" w:cs="Times New Roman" w:eastAsia="Times New Roman" w:hAnsi="Times New Roman"/>
          <w:sz w:val="14"/>
          <w:szCs w:val="14"/>
          <w:u w:val="single" w:color="auto"/>
          <w:color w:val="auto"/>
        </w:rPr>
        <w:t>www.proxyvote.com</w:t>
      </w:r>
      <w:r>
        <w:rPr>
          <w:rFonts w:ascii="Times New Roman" w:cs="Times New Roman" w:eastAsia="Times New Roman" w:hAnsi="Times New Roman"/>
          <w:sz w:val="14"/>
          <w:szCs w:val="14"/>
          <w:color w:val="auto"/>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Mark L. Baum</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 of the Board of Directors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Harrow Health 2023 Proxy Statement</w:t>
            </w:r>
          </w:p>
        </w:tc>
        <w:tc>
          <w:tcPr>
            <w:tcW w:w="4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bl>
    <w:p>
      <w:pPr>
        <w:sectPr>
          <w:pgSz w:w="11900" w:h="16838" w:orient="portrait"/>
          <w:cols w:equalWidth="0" w:num="1">
            <w:col w:w="11280"/>
          </w:cols>
          <w:pgMar w:left="300" w:top="540" w:right="319" w:bottom="1440"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9572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72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2023-04-28T07:32:54Z</dcterms:created>
  <dcterms:modified xsi:type="dcterms:W3CDTF">2023-04-28T07:32:54Z</dcterms:modified>
</cp:coreProperties>
</file>