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January 23, 2017</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210185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6080" w:type="dxa"/>
            <w:vAlign w:val="bottom"/>
            <w:gridSpan w:val="3"/>
          </w:tcPr>
          <w:p>
            <w:pPr>
              <w:ind w:left="2140"/>
              <w:spacing w:after="0"/>
              <w:rPr>
                <w:sz w:val="20"/>
                <w:szCs w:val="20"/>
                <w:color w:val="auto"/>
              </w:rPr>
            </w:pPr>
            <w:r>
              <w:rPr>
                <w:rFonts w:ascii="Arial" w:cs="Arial" w:eastAsia="Arial" w:hAnsi="Arial"/>
                <w:sz w:val="18"/>
                <w:szCs w:val="18"/>
                <w:i w:val="1"/>
                <w:iCs w:val="1"/>
                <w:color w:val="auto"/>
                <w:w w:val="95"/>
              </w:rPr>
              <w:t>(Exact name of registrant as specified in its charter)</w:t>
            </w:r>
          </w:p>
        </w:tc>
        <w:tc>
          <w:tcPr>
            <w:tcW w:w="1500" w:type="dxa"/>
            <w:vAlign w:val="bottom"/>
          </w:tcPr>
          <w:p>
            <w:pPr>
              <w:spacing w:after="0"/>
              <w:rPr>
                <w:sz w:val="20"/>
                <w:szCs w:val="20"/>
                <w:color w:val="auto"/>
              </w:rPr>
            </w:pPr>
          </w:p>
        </w:tc>
      </w:tr>
      <w:tr>
        <w:trPr>
          <w:trHeight w:val="207"/>
        </w:trPr>
        <w:tc>
          <w:tcPr>
            <w:tcW w:w="258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31"/>
        </w:trPr>
        <w:tc>
          <w:tcPr>
            <w:tcW w:w="608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080" w:type="dxa"/>
            <w:vAlign w:val="bottom"/>
            <w:gridSpan w:val="3"/>
          </w:tcPr>
          <w:p>
            <w:pPr>
              <w:jc w:val="center"/>
              <w:ind w:right="3860"/>
              <w:spacing w:after="0"/>
              <w:rPr>
                <w:sz w:val="20"/>
                <w:szCs w:val="20"/>
                <w:color w:val="auto"/>
              </w:rPr>
            </w:pPr>
            <w:r>
              <w:rPr>
                <w:rFonts w:ascii="Arial" w:cs="Arial" w:eastAsia="Arial" w:hAnsi="Arial"/>
                <w:sz w:val="18"/>
                <w:szCs w:val="18"/>
                <w:i w:val="1"/>
                <w:iCs w:val="1"/>
                <w:color w:val="auto"/>
                <w:w w:val="93"/>
              </w:rPr>
              <w:t>(State of other jurisdiction of</w:t>
            </w:r>
          </w:p>
        </w:tc>
        <w:tc>
          <w:tcPr>
            <w:tcW w:w="150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080" w:type="dxa"/>
            <w:vAlign w:val="bottom"/>
            <w:gridSpan w:val="3"/>
          </w:tcPr>
          <w:p>
            <w:pPr>
              <w:jc w:val="center"/>
              <w:ind w:right="3860"/>
              <w:spacing w:after="0"/>
              <w:rPr>
                <w:sz w:val="20"/>
                <w:szCs w:val="20"/>
                <w:color w:val="auto"/>
              </w:rPr>
            </w:pPr>
            <w:r>
              <w:rPr>
                <w:rFonts w:ascii="Arial" w:cs="Arial" w:eastAsia="Arial" w:hAnsi="Arial"/>
                <w:sz w:val="18"/>
                <w:szCs w:val="18"/>
                <w:i w:val="1"/>
                <w:iCs w:val="1"/>
                <w:color w:val="auto"/>
                <w:w w:val="94"/>
              </w:rPr>
              <w:t>incorporation or organization)</w:t>
            </w:r>
          </w:p>
        </w:tc>
        <w:tc>
          <w:tcPr>
            <w:tcW w:w="1500" w:type="dxa"/>
            <w:vAlign w:val="bottom"/>
          </w:tcPr>
          <w:p>
            <w:pPr>
              <w:jc w:val="center"/>
              <w:ind w:left="9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Copy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D. Hudders,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Golenbock Eiseman Assor Bell &amp; Peskoe,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711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907-7300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FROM TIME TO TIME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0"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88" w:orient="portrait"/>
          <w:cols w:equalWidth="0" w:num="1">
            <w:col w:w="11420"/>
          </w:cols>
          <w:pgMar w:left="240" w:top="449"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ind w:left="660"/>
              <w:spacing w:after="0"/>
              <w:rPr>
                <w:sz w:val="20"/>
                <w:szCs w:val="20"/>
                <w:color w:val="auto"/>
              </w:rPr>
            </w:pPr>
            <w:r>
              <w:rPr>
                <w:rFonts w:ascii="Arial" w:cs="Arial" w:eastAsia="Arial" w:hAnsi="Arial"/>
                <w:sz w:val="18"/>
                <w:szCs w:val="18"/>
                <w:color w:val="auto"/>
                <w:w w:val="90"/>
              </w:rPr>
              <w:t>Large accelerated filer [</w:t>
            </w:r>
          </w:p>
        </w:tc>
        <w:tc>
          <w:tcPr>
            <w:tcW w:w="212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2"/>
              </w:rPr>
              <w:t>Accelerated filer [</w:t>
            </w:r>
          </w:p>
        </w:tc>
        <w:tc>
          <w:tcPr>
            <w:tcW w:w="100" w:type="dxa"/>
            <w:vAlign w:val="bottom"/>
          </w:tcPr>
          <w:p>
            <w:pPr>
              <w:spacing w:after="0"/>
              <w:rPr>
                <w:sz w:val="18"/>
                <w:szCs w:val="18"/>
                <w:color w:val="auto"/>
              </w:rPr>
            </w:pPr>
          </w:p>
        </w:tc>
        <w:tc>
          <w:tcPr>
            <w:tcW w:w="1840" w:type="dxa"/>
            <w:vAlign w:val="bottom"/>
          </w:tcPr>
          <w:p>
            <w:pPr>
              <w:jc w:val="right"/>
              <w:ind w:right="1717"/>
              <w:spacing w:after="0"/>
              <w:rPr>
                <w:sz w:val="20"/>
                <w:szCs w:val="20"/>
                <w:color w:val="auto"/>
              </w:rPr>
            </w:pPr>
            <w:r>
              <w:rPr>
                <w:rFonts w:ascii="Arial" w:cs="Arial" w:eastAsia="Arial" w:hAnsi="Arial"/>
                <w:sz w:val="10"/>
                <w:szCs w:val="10"/>
                <w:color w:val="auto"/>
                <w:w w:val="70"/>
              </w:rPr>
              <w:t>]</w:t>
            </w:r>
          </w:p>
        </w:tc>
        <w:tc>
          <w:tcPr>
            <w:tcW w:w="100" w:type="dxa"/>
            <w:vAlign w:val="bottom"/>
          </w:tcPr>
          <w:p>
            <w:pPr>
              <w:spacing w:after="0"/>
              <w:rPr>
                <w:sz w:val="18"/>
                <w:szCs w:val="18"/>
                <w:color w:val="auto"/>
              </w:rPr>
            </w:pPr>
          </w:p>
        </w:tc>
      </w:tr>
      <w:tr>
        <w:trPr>
          <w:trHeight w:val="230"/>
        </w:trPr>
        <w:tc>
          <w:tcPr>
            <w:tcW w:w="2380" w:type="dxa"/>
            <w:vAlign w:val="bottom"/>
            <w:gridSpan w:val="2"/>
          </w:tcPr>
          <w:p>
            <w:pPr>
              <w:ind w:left="660"/>
              <w:spacing w:after="0"/>
              <w:rPr>
                <w:sz w:val="20"/>
                <w:szCs w:val="20"/>
                <w:color w:val="auto"/>
              </w:rPr>
            </w:pPr>
            <w:r>
              <w:rPr>
                <w:rFonts w:ascii="Arial" w:cs="Arial" w:eastAsia="Arial" w:hAnsi="Arial"/>
                <w:sz w:val="18"/>
                <w:szCs w:val="18"/>
                <w:color w:val="auto"/>
                <w:w w:val="96"/>
              </w:rPr>
              <w:t>Non-accelerated filer [</w:t>
            </w:r>
          </w:p>
        </w:tc>
        <w:tc>
          <w:tcPr>
            <w:tcW w:w="4520" w:type="dxa"/>
            <w:vAlign w:val="bottom"/>
            <w:gridSpan w:val="6"/>
          </w:tcPr>
          <w:p>
            <w:pPr>
              <w:spacing w:after="0"/>
              <w:rPr>
                <w:sz w:val="20"/>
                <w:szCs w:val="20"/>
                <w:color w:val="auto"/>
              </w:rPr>
            </w:pPr>
            <w:r>
              <w:rPr>
                <w:rFonts w:ascii="Arial" w:cs="Arial" w:eastAsia="Arial" w:hAnsi="Arial"/>
                <w:sz w:val="18"/>
                <w:szCs w:val="18"/>
                <w:color w:val="auto"/>
              </w:rPr>
              <w:t>] (Do not check if smaller reporting company)</w:t>
            </w:r>
          </w:p>
        </w:tc>
        <w:tc>
          <w:tcPr>
            <w:tcW w:w="180" w:type="dxa"/>
            <w:vAlign w:val="bottom"/>
          </w:tcPr>
          <w:p>
            <w:pPr>
              <w:spacing w:after="0"/>
              <w:rPr>
                <w:sz w:val="20"/>
                <w:szCs w:val="20"/>
                <w:color w:val="auto"/>
              </w:rPr>
            </w:pPr>
          </w:p>
        </w:tc>
        <w:tc>
          <w:tcPr>
            <w:tcW w:w="4340" w:type="dxa"/>
            <w:vAlign w:val="bottom"/>
            <w:gridSpan w:val="5"/>
          </w:tcPr>
          <w:p>
            <w:pPr>
              <w:ind w:left="1000"/>
              <w:spacing w:after="0"/>
              <w:rPr>
                <w:sz w:val="20"/>
                <w:szCs w:val="20"/>
                <w:color w:val="auto"/>
              </w:rPr>
            </w:pPr>
            <w:r>
              <w:rPr>
                <w:rFonts w:ascii="Arial" w:cs="Arial" w:eastAsia="Arial" w:hAnsi="Arial"/>
                <w:sz w:val="18"/>
                <w:szCs w:val="18"/>
                <w:color w:val="auto"/>
              </w:rPr>
              <w:t>Smaller reporting company [X]</w:t>
            </w:r>
          </w:p>
        </w:tc>
      </w:tr>
      <w:tr>
        <w:trPr>
          <w:trHeight w:val="432"/>
        </w:trPr>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60" w:type="dxa"/>
            <w:vAlign w:val="bottom"/>
            <w:gridSpan w:val="8"/>
          </w:tcPr>
          <w:p>
            <w:pPr>
              <w:ind w:left="1560"/>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Proposed</w:t>
            </w:r>
          </w:p>
        </w:tc>
        <w:tc>
          <w:tcPr>
            <w:tcW w:w="180" w:type="dxa"/>
            <w:vAlign w:val="bottom"/>
          </w:tcPr>
          <w:p>
            <w:pPr>
              <w:spacing w:after="0"/>
              <w:rPr>
                <w:sz w:val="24"/>
                <w:szCs w:val="24"/>
                <w:color w:val="auto"/>
              </w:rPr>
            </w:pPr>
          </w:p>
        </w:tc>
        <w:tc>
          <w:tcPr>
            <w:tcW w:w="2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 of</w:t>
            </w:r>
          </w:p>
        </w:tc>
        <w:tc>
          <w:tcPr>
            <w:tcW w:w="40" w:type="dxa"/>
            <w:vAlign w:val="bottom"/>
          </w:tcPr>
          <w:p>
            <w:pPr>
              <w:spacing w:after="0"/>
              <w:rPr>
                <w:sz w:val="19"/>
                <w:szCs w:val="19"/>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Amount to be</w:t>
            </w:r>
          </w:p>
        </w:tc>
        <w:tc>
          <w:tcPr>
            <w:tcW w:w="140" w:type="dxa"/>
            <w:vAlign w:val="bottom"/>
          </w:tcPr>
          <w:p>
            <w:pPr>
              <w:spacing w:after="0"/>
              <w:rPr>
                <w:sz w:val="19"/>
                <w:szCs w:val="19"/>
                <w:color w:val="auto"/>
              </w:rPr>
            </w:pPr>
          </w:p>
        </w:tc>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maximum offering</w:t>
            </w:r>
          </w:p>
        </w:tc>
        <w:tc>
          <w:tcPr>
            <w:tcW w:w="180" w:type="dxa"/>
            <w:vAlign w:val="bottom"/>
          </w:tcPr>
          <w:p>
            <w:pPr>
              <w:spacing w:after="0"/>
              <w:rPr>
                <w:sz w:val="19"/>
                <w:szCs w:val="19"/>
                <w:color w:val="auto"/>
              </w:rPr>
            </w:pPr>
          </w:p>
        </w:tc>
        <w:tc>
          <w:tcPr>
            <w:tcW w:w="2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maximum aggregate</w:t>
            </w: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of</w:t>
            </w:r>
          </w:p>
        </w:tc>
      </w:tr>
      <w:tr>
        <w:trPr>
          <w:trHeight w:val="277"/>
        </w:trPr>
        <w:tc>
          <w:tcPr>
            <w:tcW w:w="238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w w:val="93"/>
              </w:rPr>
              <w:t xml:space="preserve">securities to be registered </w:t>
            </w:r>
            <w:r>
              <w:rPr>
                <w:rFonts w:ascii="Arial" w:cs="Arial" w:eastAsia="Arial" w:hAnsi="Arial"/>
                <w:sz w:val="30"/>
                <w:szCs w:val="30"/>
                <w:b w:val="1"/>
                <w:bCs w:val="1"/>
                <w:color w:val="auto"/>
                <w:w w:val="93"/>
                <w:vertAlign w:val="superscript"/>
              </w:rPr>
              <w:t>(1)</w:t>
            </w:r>
          </w:p>
        </w:tc>
        <w:tc>
          <w:tcPr>
            <w:tcW w:w="40" w:type="dxa"/>
            <w:vAlign w:val="bottom"/>
          </w:tcPr>
          <w:p>
            <w:pPr>
              <w:spacing w:after="0"/>
              <w:rPr>
                <w:sz w:val="24"/>
                <w:szCs w:val="24"/>
                <w:color w:val="auto"/>
              </w:rPr>
            </w:pPr>
          </w:p>
        </w:tc>
        <w:tc>
          <w:tcPr>
            <w:tcW w:w="2200" w:type="dxa"/>
            <w:vAlign w:val="bottom"/>
            <w:gridSpan w:val="2"/>
          </w:tcPr>
          <w:p>
            <w:pPr>
              <w:jc w:val="center"/>
              <w:ind w:right="120"/>
              <w:spacing w:after="0" w:line="269" w:lineRule="exact"/>
              <w:rPr>
                <w:sz w:val="20"/>
                <w:szCs w:val="20"/>
                <w:color w:val="auto"/>
              </w:rPr>
            </w:pPr>
            <w:r>
              <w:rPr>
                <w:rFonts w:ascii="Arial" w:cs="Arial" w:eastAsia="Arial" w:hAnsi="Arial"/>
                <w:sz w:val="18"/>
                <w:szCs w:val="18"/>
                <w:b w:val="1"/>
                <w:bCs w:val="1"/>
                <w:color w:val="auto"/>
                <w:w w:val="81"/>
              </w:rPr>
              <w:t xml:space="preserve">Registered </w:t>
            </w:r>
            <w:r>
              <w:rPr>
                <w:rFonts w:ascii="Arial" w:cs="Arial" w:eastAsia="Arial" w:hAnsi="Arial"/>
                <w:sz w:val="30"/>
                <w:szCs w:val="30"/>
                <w:b w:val="1"/>
                <w:bCs w:val="1"/>
                <w:color w:val="auto"/>
                <w:w w:val="81"/>
                <w:vertAlign w:val="superscript"/>
              </w:rPr>
              <w:t>(2)(3)</w:t>
            </w:r>
          </w:p>
        </w:tc>
        <w:tc>
          <w:tcPr>
            <w:tcW w:w="140" w:type="dxa"/>
            <w:vAlign w:val="bottom"/>
          </w:tcPr>
          <w:p>
            <w:pPr>
              <w:spacing w:after="0"/>
              <w:rPr>
                <w:sz w:val="24"/>
                <w:szCs w:val="24"/>
                <w:color w:val="auto"/>
              </w:rPr>
            </w:pPr>
          </w:p>
        </w:tc>
        <w:tc>
          <w:tcPr>
            <w:tcW w:w="2140" w:type="dxa"/>
            <w:vAlign w:val="bottom"/>
            <w:gridSpan w:val="2"/>
          </w:tcPr>
          <w:p>
            <w:pPr>
              <w:jc w:val="center"/>
              <w:ind w:right="480"/>
              <w:spacing w:after="0" w:line="269" w:lineRule="exact"/>
              <w:rPr>
                <w:sz w:val="20"/>
                <w:szCs w:val="20"/>
                <w:color w:val="auto"/>
              </w:rPr>
            </w:pPr>
            <w:r>
              <w:rPr>
                <w:rFonts w:ascii="Arial" w:cs="Arial" w:eastAsia="Arial" w:hAnsi="Arial"/>
                <w:sz w:val="18"/>
                <w:szCs w:val="18"/>
                <w:b w:val="1"/>
                <w:bCs w:val="1"/>
                <w:color w:val="auto"/>
                <w:w w:val="87"/>
              </w:rPr>
              <w:t xml:space="preserve">price per security </w:t>
            </w:r>
            <w:r>
              <w:rPr>
                <w:rFonts w:ascii="Arial" w:cs="Arial" w:eastAsia="Arial" w:hAnsi="Arial"/>
                <w:sz w:val="30"/>
                <w:szCs w:val="30"/>
                <w:b w:val="1"/>
                <w:bCs w:val="1"/>
                <w:color w:val="auto"/>
                <w:w w:val="87"/>
                <w:vertAlign w:val="superscript"/>
              </w:rPr>
              <w:t>(3)</w:t>
            </w:r>
          </w:p>
        </w:tc>
        <w:tc>
          <w:tcPr>
            <w:tcW w:w="180" w:type="dxa"/>
            <w:vAlign w:val="bottom"/>
          </w:tcPr>
          <w:p>
            <w:pPr>
              <w:spacing w:after="0"/>
              <w:rPr>
                <w:sz w:val="24"/>
                <w:szCs w:val="24"/>
                <w:color w:val="auto"/>
              </w:rPr>
            </w:pPr>
          </w:p>
        </w:tc>
        <w:tc>
          <w:tcPr>
            <w:tcW w:w="2300" w:type="dxa"/>
            <w:vAlign w:val="bottom"/>
            <w:gridSpan w:val="2"/>
          </w:tcPr>
          <w:p>
            <w:pPr>
              <w:jc w:val="center"/>
              <w:ind w:right="520"/>
              <w:spacing w:after="0" w:line="269" w:lineRule="exact"/>
              <w:rPr>
                <w:sz w:val="20"/>
                <w:szCs w:val="20"/>
                <w:color w:val="auto"/>
              </w:rPr>
            </w:pPr>
            <w:r>
              <w:rPr>
                <w:rFonts w:ascii="Arial" w:cs="Arial" w:eastAsia="Arial" w:hAnsi="Arial"/>
                <w:sz w:val="18"/>
                <w:szCs w:val="18"/>
                <w:b w:val="1"/>
                <w:bCs w:val="1"/>
                <w:color w:val="auto"/>
                <w:w w:val="87"/>
              </w:rPr>
              <w:t xml:space="preserve">offering price </w:t>
            </w:r>
            <w:r>
              <w:rPr>
                <w:rFonts w:ascii="Arial" w:cs="Arial" w:eastAsia="Arial" w:hAnsi="Arial"/>
                <w:sz w:val="30"/>
                <w:szCs w:val="30"/>
                <w:b w:val="1"/>
                <w:bCs w:val="1"/>
                <w:color w:val="auto"/>
                <w:w w:val="87"/>
                <w:vertAlign w:val="superscript"/>
              </w:rPr>
              <w:t>(3)</w:t>
            </w:r>
          </w:p>
        </w:tc>
        <w:tc>
          <w:tcPr>
            <w:tcW w:w="100" w:type="dxa"/>
            <w:vAlign w:val="bottom"/>
          </w:tcPr>
          <w:p>
            <w:pPr>
              <w:spacing w:after="0"/>
              <w:rPr>
                <w:sz w:val="24"/>
                <w:szCs w:val="2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registration fee</w:t>
            </w:r>
          </w:p>
        </w:tc>
      </w:tr>
      <w:tr>
        <w:trPr>
          <w:trHeight w:val="202"/>
        </w:trPr>
        <w:tc>
          <w:tcPr>
            <w:tcW w:w="23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$0.001 per share</w:t>
            </w:r>
          </w:p>
        </w:tc>
        <w:tc>
          <w:tcPr>
            <w:tcW w:w="4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5,257,828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14,406,449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1,669.71</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par value</w:t>
            </w: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$0.001 per share, underlying</w:t>
            </w:r>
          </w:p>
        </w:tc>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40" w:type="dxa"/>
            <w:vAlign w:val="bottom"/>
          </w:tcPr>
          <w:p>
            <w:pPr>
              <w:spacing w:after="0"/>
              <w:rPr>
                <w:sz w:val="20"/>
                <w:szCs w:val="20"/>
                <w:color w:val="auto"/>
              </w:rPr>
            </w:pPr>
          </w:p>
        </w:tc>
        <w:tc>
          <w:tcPr>
            <w:tcW w:w="2200" w:type="dxa"/>
            <w:vAlign w:val="bottom"/>
            <w:gridSpan w:val="2"/>
          </w:tcPr>
          <w:p>
            <w:pPr>
              <w:jc w:val="right"/>
              <w:ind w:right="120"/>
              <w:spacing w:after="0"/>
              <w:rPr>
                <w:sz w:val="20"/>
                <w:szCs w:val="20"/>
                <w:color w:val="auto"/>
              </w:rPr>
            </w:pPr>
            <w:r>
              <w:rPr>
                <w:rFonts w:ascii="Arial" w:cs="Arial" w:eastAsia="Arial" w:hAnsi="Arial"/>
                <w:sz w:val="18"/>
                <w:szCs w:val="18"/>
                <w:color w:val="auto"/>
              </w:rPr>
              <w:t>5,468,141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2.74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300" w:type="dxa"/>
            <w:vAlign w:val="bottom"/>
            <w:gridSpan w:val="2"/>
          </w:tcPr>
          <w:p>
            <w:pPr>
              <w:jc w:val="right"/>
              <w:ind w:right="320"/>
              <w:spacing w:after="0"/>
              <w:rPr>
                <w:sz w:val="20"/>
                <w:szCs w:val="20"/>
                <w:color w:val="auto"/>
              </w:rPr>
            </w:pPr>
            <w:r>
              <w:rPr>
                <w:rFonts w:ascii="Arial" w:cs="Arial" w:eastAsia="Arial" w:hAnsi="Arial"/>
                <w:sz w:val="18"/>
                <w:szCs w:val="18"/>
                <w:color w:val="auto"/>
              </w:rPr>
              <w:t>14,982,706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1,736.50</w:t>
            </w:r>
          </w:p>
        </w:tc>
      </w:tr>
      <w:tr>
        <w:trPr>
          <w:trHeight w:val="216"/>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10,725,969 shares</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3,406.21</w:t>
            </w: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shares being registered hereunder consist of 5,257,828 shares of common stock and 5,468,141 shares of common stock that may be acquired upon exercise of warrants, in each case which shares of common stock may be sold from time to time by the selling stockholders.</w:t>
      </w:r>
    </w:p>
    <w:p>
      <w:pPr>
        <w:spacing w:after="0" w:line="170"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shares being registered hereunder include such indeterminate number of shares of common stock as may be issuable with respect to the shares being registered hereunder as a result of stock splits, stock dividends or similar transactions.</w:t>
      </w:r>
    </w:p>
    <w:p>
      <w:pPr>
        <w:spacing w:after="0" w:line="123" w:lineRule="exact"/>
        <w:rPr>
          <w:rFonts w:ascii="Arial" w:cs="Arial" w:eastAsia="Arial" w:hAnsi="Arial"/>
          <w:sz w:val="16"/>
          <w:szCs w:val="16"/>
          <w:color w:val="auto"/>
        </w:rPr>
      </w:pPr>
    </w:p>
    <w:p>
      <w:pPr>
        <w:ind w:left="34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purposes of calculating the registration fee pursuant to Rule 457(c) under the Securities Act of 1933, as amended, based on the average of the high and low per share prices of the registrant’s common stock as report on The Nasdaq Capital Market on January 20, 2017.</w:t>
      </w:r>
    </w:p>
    <w:p>
      <w:pPr>
        <w:spacing w:after="0" w:line="120"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(the “Securities Act”) or until this Registration Statement shall become effective on such date as the Securities and Exchange Commission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both"/>
        <w:ind w:left="20" w:right="20"/>
        <w:spacing w:after="0" w:line="264" w:lineRule="auto"/>
        <w:rPr>
          <w:sz w:val="20"/>
          <w:szCs w:val="20"/>
          <w:color w:val="auto"/>
        </w:rPr>
      </w:pPr>
      <w:r>
        <w:rPr>
          <w:rFonts w:ascii="Arial" w:cs="Arial" w:eastAsia="Arial" w:hAnsi="Arial"/>
          <w:sz w:val="18"/>
          <w:szCs w:val="18"/>
          <w:color w:val="E8112D"/>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441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41325"/>
                    </a:xfrm>
                    <a:prstGeom prst="rect">
                      <a:avLst/>
                    </a:prstGeom>
                    <a:noFill/>
                  </pic:spPr>
                </pic:pic>
              </a:graphicData>
            </a:graphic>
          </wp:anchor>
        </w:drawing>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JANUARY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17145</wp:posOffset>
            </wp:positionV>
            <wp:extent cx="2143760"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76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10,725,969 Shares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This prospectus relates solely to the offer and sale from time to time of up to an aggregate of 10,725,969 shares of our common stock by the selling stockholders identified in this prospectus or a supplement hereto. These shares consist of shares of our common stock, and shares of our common stock underlying warrants, that we issued to the selling stockholders pursuant to a private placement of units, with each unit consisting of one share of common stock and one warrant to purchase one share of common stock.</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This prospectus describes the general manner in which the shares of common stock may be offered and sold by the selling stockholders. If necessary, the specific manner in which shares of common stock may be offered and sold will be described in a supplement to this prospectus.</w:t>
      </w:r>
    </w:p>
    <w:p>
      <w:pPr>
        <w:spacing w:after="0" w:line="14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are not offering any shares of common stock for sale under this prospectus, and we will not receive any of the proceeds from the sale or other disposition of the shares of common stock offered hereby.</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“IMMY.” On January 20, 2017, the last reported sale price of our common stock on The Nasdaq Capital Market was $2.76.</w:t>
      </w:r>
    </w:p>
    <w:p>
      <w:pPr>
        <w:spacing w:after="0" w:line="17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b w:val="1"/>
          <w:bCs w:val="1"/>
          <w:i w:val="1"/>
          <w:iCs w:val="1"/>
          <w:color w:val="auto"/>
        </w:rPr>
        <w:t>Investing in our common stock involves risks. You should carefully consider the risks described under “Risk Factors” in Item 1A of our most recent Annual Report on Form 10-K and Item 1A of any subsequently filed Quarterly Reports on Form 10-Q (which documents are incorporated by reference herein), as well as the other information contained or incorporated by reference in this prospectus or in any prospectus supplement hereto before making a decision to invest in our common stock. See “Where You Can Find More Information” below.</w:t>
      </w:r>
    </w:p>
    <w:p>
      <w:pPr>
        <w:spacing w:after="0" w:line="167" w:lineRule="exact"/>
        <w:rPr>
          <w:sz w:val="20"/>
          <w:szCs w:val="20"/>
          <w:color w:val="auto"/>
        </w:rPr>
      </w:pPr>
    </w:p>
    <w:p>
      <w:pPr>
        <w:jc w:val="both"/>
        <w:ind w:right="20" w:firstLine="441"/>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ind w:left="4300"/>
        <w:spacing w:after="0"/>
        <w:tabs>
          <w:tab w:leader="none" w:pos="706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40" w:type="dxa"/>
            <w:vAlign w:val="bottom"/>
            <w:gridSpan w:val="3"/>
          </w:tcPr>
          <w:p>
            <w:pPr>
              <w:ind w:left="4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828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IMPRIMIS PHARMACEUTICALS, INC.</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RISK FACTORS</w:t>
              </w:r>
            </w:hyperlink>
          </w:p>
        </w:tc>
        <w:tc>
          <w:tcPr>
            <w:tcW w:w="926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SELLING STOCKHOLDERS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PLAN OF DISTRIBUTION</w:t>
              </w:r>
            </w:hyperlink>
          </w:p>
        </w:tc>
        <w:tc>
          <w:tcPr>
            <w:tcW w:w="846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EXPERTS</w:t>
              </w:r>
            </w:hyperlink>
          </w:p>
        </w:tc>
        <w:tc>
          <w:tcPr>
            <w:tcW w:w="974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4"/>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INCORPORATION OF CERTAIN INFORMATION BY REFERENCE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900" w:type="dxa"/>
            <w:vAlign w:val="bottom"/>
            <w:tcBorders>
              <w:top w:val="single" w:sz="8" w:color="0000EE"/>
              <w:bottom w:val="single" w:sz="8" w:color="auto"/>
            </w:tcBorders>
          </w:tcPr>
          <w:p>
            <w:pPr>
              <w:spacing w:after="0"/>
              <w:rPr>
                <w:sz w:val="19"/>
                <w:szCs w:val="19"/>
                <w:color w:val="auto"/>
              </w:rPr>
            </w:pPr>
          </w:p>
        </w:tc>
        <w:tc>
          <w:tcPr>
            <w:tcW w:w="1960" w:type="dxa"/>
            <w:vAlign w:val="bottom"/>
            <w:tcBorders>
              <w:top w:val="single" w:sz="8" w:color="CCEEFF"/>
              <w:bottom w:val="single" w:sz="8" w:color="auto"/>
            </w:tcBorders>
          </w:tcPr>
          <w:p>
            <w:pPr>
              <w:spacing w:after="0"/>
              <w:rPr>
                <w:sz w:val="19"/>
                <w:szCs w:val="19"/>
                <w:color w:val="auto"/>
              </w:rPr>
            </w:pPr>
          </w:p>
        </w:tc>
        <w:tc>
          <w:tcPr>
            <w:tcW w:w="33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You should rely only on the information that we have provided or incorporated by reference in this prospectus, any applicable prospectus supplement and any related free writing prospectus that we may authorize to be provided to you.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that we may authorize to be provided to you. You must not rely on any unauthorized information or representation. This prospectus is an offer to sell only the securities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Under that registration statement, the selling stockholders may offer from time to time up to an aggregate of 10,725,969 shares of common stock in one or more offerings.</w:t>
      </w:r>
    </w:p>
    <w:p>
      <w:pPr>
        <w:spacing w:after="0" w:line="124"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registration statement of which this prospectus is a part is being filed in accordance with the registration rights agreement, dated as of December 27, 2016, by and among Imprimis Pharmaceuticals, Inc. and the selling stockholders party thereto. Pursuant to the registration rights agreement, we have agreed to indemnify and hold harmless, to the extent permitted by law, each of the selling stockholders party to the registration rights agreement and each of such selling stockholder’s officers, directors, members, managers, employees and agents, successors and assigns, and each other person, if any, who controls such selling stockholder within the meaning of the Securities Act of 1933, as amended (the “Securities Act”), from and against certain losses, claims, damages and liabilities, including certain liabilities under the Securities Act.</w:t>
      </w:r>
    </w:p>
    <w:p>
      <w:pPr>
        <w:spacing w:after="0" w:line="178"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71"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6"/>
          <w:szCs w:val="16"/>
          <w:color w:val="auto"/>
        </w:rPr>
        <w:t>We have registered trademarks, copyrights and/or pending trademark and copyright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w:t>
      </w:r>
      <w:r>
        <w:rPr>
          <w:rFonts w:ascii="Arial" w:cs="Arial" w:eastAsia="Arial" w:hAnsi="Arial"/>
          <w:sz w:val="26"/>
          <w:szCs w:val="26"/>
          <w:color w:val="auto"/>
          <w:vertAlign w:val="superscript"/>
        </w:rPr>
        <w:t>®</w:t>
      </w:r>
      <w:r>
        <w:rPr>
          <w:rFonts w:ascii="Arial" w:cs="Arial" w:eastAsia="Arial" w:hAnsi="Arial"/>
          <w:sz w:val="16"/>
          <w:szCs w:val="16"/>
          <w:color w:val="auto"/>
        </w:rPr>
        <w:t>, Imprimis Cares!</w:t>
      </w:r>
      <w:r>
        <w:rPr>
          <w:rFonts w:ascii="Arial" w:cs="Arial" w:eastAsia="Arial" w:hAnsi="Arial"/>
          <w:sz w:val="26"/>
          <w:szCs w:val="26"/>
          <w:color w:val="auto"/>
          <w:vertAlign w:val="superscript"/>
        </w:rPr>
        <w:t>®</w:t>
      </w:r>
      <w:r>
        <w:rPr>
          <w:rFonts w:ascii="Arial" w:cs="Arial" w:eastAsia="Arial" w:hAnsi="Arial"/>
          <w:sz w:val="16"/>
          <w:szCs w:val="16"/>
          <w:color w:val="auto"/>
        </w:rPr>
        <w:t>, SSP Technology</w:t>
      </w:r>
      <w:r>
        <w:rPr>
          <w:rFonts w:ascii="Arial" w:cs="Arial" w:eastAsia="Arial" w:hAnsi="Arial"/>
          <w:sz w:val="26"/>
          <w:szCs w:val="26"/>
          <w:color w:val="auto"/>
          <w:vertAlign w:val="superscript"/>
        </w:rPr>
        <w:t>®</w:t>
      </w:r>
      <w:r>
        <w:rPr>
          <w:rFonts w:ascii="Arial" w:cs="Arial" w:eastAsia="Arial" w:hAnsi="Arial"/>
          <w:sz w:val="16"/>
          <w:szCs w:val="16"/>
          <w:color w:val="auto"/>
        </w:rPr>
        <w:t>, Go 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Dropless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Therapy</w:t>
      </w:r>
      <w:r>
        <w:rPr>
          <w:rFonts w:ascii="Arial" w:cs="Arial" w:eastAsia="Arial" w:hAnsi="Arial"/>
          <w:sz w:val="28"/>
          <w:szCs w:val="28"/>
          <w:color w:val="auto"/>
          <w:vertAlign w:val="superscript"/>
        </w:rPr>
        <w:t>®</w:t>
      </w:r>
      <w:r>
        <w:rPr>
          <w:rFonts w:ascii="Arial" w:cs="Arial" w:eastAsia="Arial" w:hAnsi="Arial"/>
          <w:sz w:val="17"/>
          <w:szCs w:val="17"/>
          <w:color w:val="auto"/>
        </w:rPr>
        <w:t>, Trimoxi</w:t>
      </w:r>
      <w:r>
        <w:rPr>
          <w:rFonts w:ascii="Arial" w:cs="Arial" w:eastAsia="Arial" w:hAnsi="Arial"/>
          <w:sz w:val="28"/>
          <w:szCs w:val="28"/>
          <w:color w:val="auto"/>
          <w:vertAlign w:val="superscript"/>
        </w:rPr>
        <w:t>®</w:t>
      </w:r>
      <w:r>
        <w:rPr>
          <w:rFonts w:ascii="Arial" w:cs="Arial" w:eastAsia="Arial" w:hAnsi="Arial"/>
          <w:sz w:val="17"/>
          <w:szCs w:val="17"/>
          <w:color w:val="auto"/>
        </w:rPr>
        <w:t>, Pred-Moxi</w:t>
      </w:r>
      <w:r>
        <w:rPr>
          <w:rFonts w:ascii="Arial" w:cs="Arial" w:eastAsia="Arial" w:hAnsi="Arial"/>
          <w:sz w:val="28"/>
          <w:szCs w:val="28"/>
          <w:color w:val="auto"/>
          <w:vertAlign w:val="superscript"/>
        </w:rPr>
        <w:t>®</w:t>
      </w:r>
      <w:r>
        <w:rPr>
          <w:rFonts w:ascii="Arial" w:cs="Arial" w:eastAsia="Arial" w:hAnsi="Arial"/>
          <w:sz w:val="17"/>
          <w:szCs w:val="17"/>
          <w:color w:val="auto"/>
        </w:rPr>
        <w:t xml:space="preserve"> , HLA</w:t>
      </w:r>
      <w:r>
        <w:rPr>
          <w:rFonts w:ascii="Arial" w:cs="Arial" w:eastAsia="Arial" w:hAnsi="Arial"/>
          <w:sz w:val="28"/>
          <w:szCs w:val="28"/>
          <w:color w:val="auto"/>
          <w:vertAlign w:val="superscript"/>
        </w:rPr>
        <w:t>®</w:t>
      </w:r>
      <w:r>
        <w:rPr>
          <w:rFonts w:ascii="Arial" w:cs="Arial" w:eastAsia="Arial" w:hAnsi="Arial"/>
          <w:sz w:val="17"/>
          <w:szCs w:val="17"/>
          <w:color w:val="auto"/>
        </w:rPr>
        <w:t>, Triple Drop</w:t>
      </w:r>
      <w:r>
        <w:rPr>
          <w:rFonts w:ascii="Arial" w:cs="Arial" w:eastAsia="Arial" w:hAnsi="Arial"/>
          <w:sz w:val="28"/>
          <w:szCs w:val="28"/>
          <w:color w:val="auto"/>
          <w:vertAlign w:val="superscript"/>
        </w:rPr>
        <w:t>®</w:t>
      </w:r>
      <w:r>
        <w:rPr>
          <w:rFonts w:ascii="Arial" w:cs="Arial" w:eastAsia="Arial" w:hAnsi="Arial"/>
          <w:sz w:val="17"/>
          <w:szCs w:val="17"/>
          <w:color w:val="auto"/>
        </w:rPr>
        <w:t>, ED Free</w:t>
      </w:r>
      <w:r>
        <w:rPr>
          <w:rFonts w:ascii="Arial" w:cs="Arial" w:eastAsia="Arial" w:hAnsi="Arial"/>
          <w:sz w:val="28"/>
          <w:szCs w:val="28"/>
          <w:color w:val="auto"/>
          <w:vertAlign w:val="superscript"/>
        </w:rPr>
        <w:t>®</w:t>
      </w:r>
      <w:r>
        <w:rPr>
          <w:rFonts w:ascii="Arial" w:cs="Arial" w:eastAsia="Arial" w:hAnsi="Arial"/>
          <w:sz w:val="17"/>
          <w:szCs w:val="17"/>
          <w:color w:val="auto"/>
        </w:rPr>
        <w:t>, Defeat IC</w:t>
      </w:r>
      <w:r>
        <w:rPr>
          <w:rFonts w:ascii="Arial" w:cs="Arial" w:eastAsia="Arial" w:hAnsi="Arial"/>
          <w:sz w:val="28"/>
          <w:szCs w:val="28"/>
          <w:color w:val="auto"/>
          <w:vertAlign w:val="superscript"/>
        </w:rPr>
        <w:t>©®</w:t>
      </w:r>
      <w:r>
        <w:rPr>
          <w:rFonts w:ascii="Arial" w:cs="Arial" w:eastAsia="Arial" w:hAnsi="Arial"/>
          <w:sz w:val="17"/>
          <w:szCs w:val="17"/>
          <w:color w:val="auto"/>
        </w:rPr>
        <w:t>, Say Goodbye</w:t>
      </w:r>
      <w:r>
        <w:rPr>
          <w:rFonts w:ascii="Arial" w:cs="Arial" w:eastAsia="Arial" w:hAnsi="Arial"/>
          <w:sz w:val="28"/>
          <w:szCs w:val="28"/>
          <w:color w:val="auto"/>
          <w:vertAlign w:val="superscript"/>
        </w:rPr>
        <w:t>©</w:t>
      </w:r>
      <w:r>
        <w:rPr>
          <w:rFonts w:ascii="Arial" w:cs="Arial" w:eastAsia="Arial" w:hAnsi="Arial"/>
          <w:sz w:val="17"/>
          <w:szCs w:val="17"/>
          <w:color w:val="auto"/>
        </w:rPr>
        <w:t>, Dropless™, PPS-DR™, Stericheck™, Pred-Moxi-Ketor™, Pred-Moxi-Brom™, Pred-Ketor™, Dex-Moxi™, Combination Drop Therapy™, Compounded Alternative™, Compounded Choice™, Custom</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Compounding Choice</w:t>
      </w:r>
      <w:r>
        <w:rPr>
          <w:rFonts w:ascii="Arial" w:cs="Arial" w:eastAsia="Arial" w:hAnsi="Arial"/>
          <w:sz w:val="28"/>
          <w:szCs w:val="28"/>
          <w:color w:val="auto"/>
          <w:vertAlign w:val="superscript"/>
        </w:rPr>
        <w:t>TM</w:t>
      </w:r>
      <w:r>
        <w:rPr>
          <w:rFonts w:ascii="Arial" w:cs="Arial" w:eastAsia="Arial" w:hAnsi="Arial"/>
          <w:sz w:val="17"/>
          <w:szCs w:val="17"/>
          <w:color w:val="auto"/>
        </w:rPr>
        <w:t>, Pred-Gati™, Pred-Gati-Nepaf™, Pred-Nepaf™, Correct Compound™, Making Drugs Affordable Again™, Superbundle™, People Focused™, MKO Melt™ and IV Free™. All other trademarks, service marks and trade names included or incorporated by reference into this prospectus, any applicable prospectus supplement or any related free writing prospectuses are the property of their respective owners.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otherwise requires, the terms “we,” “our,” “us,” “our company,” and “Imprimis” refer to Imprimis Pharmaceuticals, Inc. and its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7"/>
          <w:szCs w:val="17"/>
          <w:color w:val="auto"/>
        </w:rPr>
        <w:t>Imprimis Pharmaceuticals, Inc. is a national leader in the development, production and dispensing of innovative proprietary compounded pharmaceuticals that we make available to physicians and patients at affordable prices. Under our Imprimis Cares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program, we own, market and dispense a portfolio of lower-cost compounded alternatives to higher-priced FDA-approved drugs in several therapeutic areas, including ophthalmology, urology, dermatology and infectious diseases. We believe our proprietary formulations may offer competitive advantages and serve unmet needs in the marketplace. We plan to expand our Imprimis Cares program by introducing additional customizable compounded drug formulations in order to provide patients with access to alternatives to increasingly expensive FDA-approved medications. Our Imprimis Cares program aligns with our corporate mission, vision and values of providing physicians and their patients with high-quality individualized compounded medications at accessible prices.</w:t>
      </w:r>
    </w:p>
    <w:p>
      <w:pPr>
        <w:spacing w:after="0" w:line="19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Outside of the Imprimis Cares program, we also make and dispense a portfolio of non-proprietary compounded drugs in therapeutic areas that may be overlooked by commercial pharmaceutical companies. We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8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Our ImprimisRx compounding facilities, based in New Jersey, California, and Pennsylvania, are through which we make, dispense and sell our proprietary compounded formulations and other non-proprietary products. All of our customized formulations are made in the United States.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We are incorporated in the State of Delaware. Our executive offices are located at 12264 El Camino Real, Suite 350, San Diego, California 92130 and our telephone number is (858) 704-4040. Our website address is imprimispharma.com. The information contained on, or that can be accessed through, our website is not a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Investing in our common stock involves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as revised or supplemented by our most recent quarterly report on Form 10-Q, each of which is on file with the SEC and is incorporated herein by reference, and which may be amended, supplemented or superseded from time to time by other reports we file with the SEC in the future including any applicable prospectus supplement.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below titled “Forward-Looking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Risks Relating to the Offering by the Selling 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Issuance of shares of our common stock upon the exercise of warrants will dilute the ownership interest of our existing stockholders and could adversely affect the market price of our common stock</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exercise of the warrants issued in the private placement will reduce a stockholder’s percentage voting and ownership interest. The exercise, or potential exercise, of these warrants could adversely affect the market price of our common.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obligated to pay liquidated damages if we fail to file, obtain effectiveness and maintain effectiveness of a registration statement under a registration rights agreement we entered into with the selling stockholders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granted to the selling stockholders resale registration rights pursuant to the terms of a registration rights agreement. In addition to the registration rights, the selling stockholders are entitled to receive liquidated damages upon the occurrence of a number of events relating to filing, becoming effective and maintaining an effective registration statement covering the securities being registered. The liquidated damages will be payable upon the occurrence of each of those events and each monthly anniversary thereof until cured. The amount of liquidated damages payable per monthly period is equal to 1.0% of the aggregate purchase price paid by each selling stockholder, provided, however, the maximum aggregate liquidated damages payable to a selling stockholder is 10% of the aggregate subscription amount paid by a selling stockholder pursuant to the private placement.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This prospectus and the documents incorporated by reference contain forward-looking statements within the meaning of Section 27A of the Securities Act of 1933, or Securities Act, and Section 21E of the Securities Exchange Act of 1934, or Exchange Act. These statements involve known and unknown risks, uncertainties and other important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“will”, “would” as well as similar expressions. Forward-looking statements reflect our current views with respect to future events, are based on assumptions and are subject to risks, uncertainties and other important factors. We discuss many of these risks, uncertainties and other important factors in greater detail under the heading “Risk Factors” contained in our most recent annual report on Form 10-K and in our most recent quarterly report on Form 10-Q, as well as any amendments thereto reflected in subsequent filings with the SEC. Given these risks, uncertainties and other important factors, you should not place undue reliance on these forward-looking statements. Also, these forward-looking statements represent our estimates and assumptions only as of the date such forward-looking statements are made. Except as required by law, we assume no obligation to update any forward-looking statements publicly, or to reflect facts and circumstances after the date of this prospectus. Before deciding to purchase our securities, you should carefully read both this prospectus, any applicable prospectus supplement and any related free writing prospectus, together with the information incorporated herein by reference as described under the heading “Incorporation of Certain Information by Reference,” completely and with the understanding that our actual future results may be materially different from what we expect.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will not receive any proceeds from the sale of shares of common stock by the selling stockholders. We, however, will receive the exercise price of any of the warrants sold in the private placement; if all those warrants are exercised for cash, we would receive gross proceeds of approximately $9.4 million. Any proceeds received on the exercise of the warrants would be used for general working capital purposes.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Private Placement Financing</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On December 19, 2016, we entered into a securities purchase agreement with certain accredited investors that provided for the sale of 5,257,828 units, with each unit consisting of one share of common stock and one warrant to purchase one share of common stock, at a price of $1.915 per unit, for aggregate gross proceeds of approximately $10.1 million. The investors include four executive officers, employees and/or directors of our company, each of whom agreed to purchase the units on the same terms and conditions as the other investors. We closed the offering on December 27, 2016.</w:t>
      </w:r>
    </w:p>
    <w:p>
      <w:pPr>
        <w:spacing w:after="0" w:line="171"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In connection with the private placement, we entered into a registration rights agreement, dated December 27, 2016, with the investors, pursuant to which we agreed to register for resale by the investors the shares of common stock, and the shares of common stock underlying the warrants, purchased by the investors pursuant to the securities purchase agreement. We committed to file the registration statement no later than January 26, 2017 and to cause the registration statement to become effective no later than April 26, 2017. The registration rights agreement provides for liquidated damages upon the occurrence of certain events, including our failure to file the registration statement on or before January 26, 2017 or cause it to become effective on or before April 26, 2017. The amount of liquidated damages payable to an investor would be 1.0% of the aggregate amount invested by an investor for each 30-day period, or pro rata portion thereof, during which the default continues, up to a maximum amount of 10% of the aggregate amount invested by the investor. We filed the registration statement of which this prospectus is a part with the SEC pursuant to the registration rights agreement.</w:t>
      </w:r>
    </w:p>
    <w:p>
      <w:pPr>
        <w:spacing w:after="0" w:line="166"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National Securities Corporation acted as placement agent in the financing. For its services as placement agent, we agreed to pay to National Securities Corporation a cash commission equal to 7.5% of the gross proceeds from the sale of the units and issue it a three-year warrant to purchase that number of shares of common stock equal to 4% of the number of shares of common stock issued to the investors in the private placement (excluding the shares of common stock underlying the warrants). Pursuant to this agreement, at the closing of the financing, we issued to National Securities Corporation a three-year warrant to purchase up to 210,313 shares of common stock. National Securities Corporation is a selling stockholder.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Stockholder Table</w:t>
      </w:r>
    </w:p>
    <w:p>
      <w:pPr>
        <w:spacing w:after="0" w:line="22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following table sets forth for each selling stockholder, the name, the number and percentage of shares of common stock beneficially owned as of January 20, 2017, the maximum number of shares of common stock that may be offered pursuant to this prospectus and the number and percentage of shares of common stock that would be beneficially owned after the sale of the maximum number of shares of common stock, and is based upon information provided to us by each selling stockholder for use in this prospectus. The information presented in the table is based on 18,627,915 shares of our common stock outstanding on January 20, 2017.</w:t>
      </w:r>
    </w:p>
    <w:p>
      <w:pPr>
        <w:spacing w:after="0" w:line="188"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warrants held by the selling stockholders are not exercisable until June 27, 2017. For purposes of the table below, shares of common stock and percentage ownership listed in the following table assume that the warrants are currently exercisable and thus the shares of common stock underlying their warrants are deemed to be outstanding and to be beneficially owned by the selling stockholder holding the warrants, but are not treated as outstanding for the purpose of computing the percentage ownership of any other selling stockholder.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firstLine="401"/>
        <w:spacing w:after="0" w:line="277" w:lineRule="auto"/>
        <w:rPr>
          <w:sz w:val="20"/>
          <w:szCs w:val="20"/>
          <w:color w:val="auto"/>
        </w:rPr>
      </w:pPr>
      <w:r>
        <w:rPr>
          <w:rFonts w:ascii="Arial" w:cs="Arial" w:eastAsia="Arial" w:hAnsi="Arial"/>
          <w:sz w:val="18"/>
          <w:szCs w:val="18"/>
          <w:color w:val="auto"/>
        </w:rPr>
        <w:t>Unless otherwise indicated below, to our knowledge, the persons named in the table have sole voting and investment power with respect to all shares beneficially owned, subject to community property laws where applicable.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Shares Beneficially Owned After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4"/>
              </w:rPr>
              <w:t>Maximum Number</w:t>
            </w:r>
          </w:p>
        </w:tc>
        <w:tc>
          <w:tcPr>
            <w:tcW w:w="2760" w:type="dxa"/>
            <w:vAlign w:val="bottom"/>
            <w:gridSpan w:val="4"/>
          </w:tcPr>
          <w:p>
            <w:pPr>
              <w:jc w:val="center"/>
              <w:ind w:right="160"/>
              <w:spacing w:after="0" w:line="202" w:lineRule="exact"/>
              <w:rPr>
                <w:sz w:val="20"/>
                <w:szCs w:val="20"/>
                <w:color w:val="auto"/>
              </w:rPr>
            </w:pPr>
            <w:r>
              <w:rPr>
                <w:rFonts w:ascii="Arial" w:cs="Arial" w:eastAsia="Arial" w:hAnsi="Arial"/>
                <w:sz w:val="18"/>
                <w:szCs w:val="18"/>
                <w:b w:val="1"/>
                <w:bCs w:val="1"/>
                <w:color w:val="auto"/>
                <w:w w:val="87"/>
              </w:rPr>
              <w:t>the Sale of the</w:t>
            </w: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Shares Beneficially Owned</w:t>
            </w:r>
          </w:p>
        </w:tc>
        <w:tc>
          <w:tcPr>
            <w:tcW w:w="260" w:type="dxa"/>
            <w:vAlign w:val="bottom"/>
          </w:tcPr>
          <w:p>
            <w:pPr>
              <w:spacing w:after="0"/>
              <w:rPr>
                <w:sz w:val="19"/>
                <w:szCs w:val="19"/>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of Shares to be</w:t>
            </w: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Maximum Number of Shares</w:t>
            </w:r>
          </w:p>
        </w:tc>
        <w:tc>
          <w:tcPr>
            <w:tcW w:w="160" w:type="dxa"/>
            <w:vAlign w:val="bottom"/>
          </w:tcPr>
          <w:p>
            <w:pPr>
              <w:spacing w:after="0"/>
              <w:rPr>
                <w:sz w:val="19"/>
                <w:szCs w:val="19"/>
                <w:color w:val="auto"/>
              </w:rPr>
            </w:pPr>
          </w:p>
        </w:tc>
      </w:tr>
      <w:tr>
        <w:trPr>
          <w:trHeight w:val="26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STOCK HOLDER</w:t>
            </w:r>
          </w:p>
        </w:tc>
        <w:tc>
          <w:tcPr>
            <w:tcW w:w="1580" w:type="dxa"/>
            <w:vAlign w:val="bottom"/>
            <w:gridSpan w:val="2"/>
          </w:tcPr>
          <w:p>
            <w:pPr>
              <w:jc w:val="right"/>
              <w:ind w:right="600"/>
              <w:spacing w:after="0" w:line="256" w:lineRule="exact"/>
              <w:rPr>
                <w:sz w:val="20"/>
                <w:szCs w:val="20"/>
                <w:color w:val="auto"/>
              </w:rPr>
            </w:pPr>
            <w:r>
              <w:rPr>
                <w:rFonts w:ascii="Arial" w:cs="Arial" w:eastAsia="Arial" w:hAnsi="Arial"/>
                <w:sz w:val="18"/>
                <w:szCs w:val="18"/>
                <w:b w:val="1"/>
                <w:bCs w:val="1"/>
                <w:color w:val="auto"/>
              </w:rPr>
              <w:t>Number</w:t>
            </w:r>
            <w:r>
              <w:rPr>
                <w:rFonts w:ascii="Arial" w:cs="Arial" w:eastAsia="Arial" w:hAnsi="Arial"/>
                <w:sz w:val="29"/>
                <w:szCs w:val="29"/>
                <w:b w:val="1"/>
                <w:bCs w:val="1"/>
                <w:color w:val="auto"/>
                <w:vertAlign w:val="superscript"/>
              </w:rPr>
              <w:t>(1)</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Percentage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Percentage</w:t>
            </w:r>
          </w:p>
        </w:tc>
      </w:tr>
      <w:tr>
        <w:trPr>
          <w:trHeight w:val="216"/>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EMPLOYEES AND DIRECTORS:</w:t>
            </w: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BEADORE TRUST DATED MARCH 20, 2015</w:t>
            </w:r>
          </w:p>
        </w:tc>
        <w:tc>
          <w:tcPr>
            <w:tcW w:w="1580" w:type="dxa"/>
            <w:vAlign w:val="bottom"/>
            <w:gridSpan w:val="2"/>
          </w:tcPr>
          <w:p>
            <w:pPr>
              <w:jc w:val="right"/>
              <w:ind w:right="280"/>
              <w:spacing w:after="0" w:line="216" w:lineRule="exact"/>
              <w:rPr>
                <w:sz w:val="20"/>
                <w:szCs w:val="20"/>
                <w:color w:val="auto"/>
              </w:rPr>
            </w:pPr>
            <w:r>
              <w:rPr>
                <w:rFonts w:ascii="Arial" w:cs="Arial" w:eastAsia="Arial" w:hAnsi="Arial"/>
                <w:sz w:val="16"/>
                <w:szCs w:val="16"/>
                <w:color w:val="auto"/>
              </w:rPr>
              <w:t>1,088,076</w:t>
            </w:r>
            <w:r>
              <w:rPr>
                <w:rFonts w:ascii="Arial" w:cs="Arial" w:eastAsia="Arial" w:hAnsi="Arial"/>
                <w:sz w:val="25"/>
                <w:szCs w:val="25"/>
                <w:color w:val="auto"/>
                <w:vertAlign w:val="superscript"/>
              </w:rPr>
              <w:t>(2)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580" w:type="dxa"/>
            <w:vAlign w:val="bottom"/>
          </w:tcPr>
          <w:p>
            <w:pPr>
              <w:jc w:val="right"/>
              <w:spacing w:after="0"/>
              <w:rPr>
                <w:sz w:val="20"/>
                <w:szCs w:val="20"/>
                <w:color w:val="auto"/>
              </w:rPr>
            </w:pPr>
            <w:r>
              <w:rPr>
                <w:rFonts w:ascii="Arial" w:cs="Arial" w:eastAsia="Arial" w:hAnsi="Arial"/>
                <w:sz w:val="18"/>
                <w:szCs w:val="18"/>
                <w:color w:val="auto"/>
              </w:rPr>
              <w:t>312,000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776,076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&amp; BRITTANY BOLL</w:t>
            </w:r>
          </w:p>
        </w:tc>
        <w:tc>
          <w:tcPr>
            <w:tcW w:w="1580" w:type="dxa"/>
            <w:vAlign w:val="bottom"/>
            <w:gridSpan w:val="2"/>
            <w:shd w:val="clear" w:color="auto" w:fill="CCEEFF"/>
          </w:tcPr>
          <w:p>
            <w:pPr>
              <w:jc w:val="right"/>
              <w:ind w:right="280"/>
              <w:spacing w:after="0" w:line="216" w:lineRule="exact"/>
              <w:rPr>
                <w:sz w:val="20"/>
                <w:szCs w:val="20"/>
                <w:color w:val="auto"/>
              </w:rPr>
            </w:pPr>
            <w:r>
              <w:rPr>
                <w:rFonts w:ascii="Arial" w:cs="Arial" w:eastAsia="Arial" w:hAnsi="Arial"/>
                <w:sz w:val="16"/>
                <w:szCs w:val="16"/>
                <w:color w:val="auto"/>
              </w:rPr>
              <w:t>205,400</w:t>
            </w:r>
            <w:r>
              <w:rPr>
                <w:rFonts w:ascii="Arial" w:cs="Arial" w:eastAsia="Arial" w:hAnsi="Arial"/>
                <w:sz w:val="25"/>
                <w:szCs w:val="25"/>
                <w:color w:val="auto"/>
                <w:vertAlign w:val="superscript"/>
              </w:rPr>
              <w:t>(3)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RICHARD L. LINDSTROM</w:t>
            </w:r>
          </w:p>
        </w:tc>
        <w:tc>
          <w:tcPr>
            <w:tcW w:w="1580" w:type="dxa"/>
            <w:vAlign w:val="bottom"/>
            <w:gridSpan w:val="2"/>
          </w:tcPr>
          <w:p>
            <w:pPr>
              <w:jc w:val="right"/>
              <w:ind w:right="280"/>
              <w:spacing w:after="0" w:line="216" w:lineRule="exact"/>
              <w:rPr>
                <w:sz w:val="20"/>
                <w:szCs w:val="20"/>
                <w:color w:val="auto"/>
              </w:rPr>
            </w:pPr>
            <w:r>
              <w:rPr>
                <w:rFonts w:ascii="Arial" w:cs="Arial" w:eastAsia="Arial" w:hAnsi="Arial"/>
                <w:sz w:val="16"/>
                <w:szCs w:val="16"/>
                <w:color w:val="auto"/>
              </w:rPr>
              <w:t>217,094</w:t>
            </w:r>
            <w:r>
              <w:rPr>
                <w:rFonts w:ascii="Arial" w:cs="Arial" w:eastAsia="Arial" w:hAnsi="Arial"/>
                <w:sz w:val="25"/>
                <w:szCs w:val="25"/>
                <w:color w:val="auto"/>
                <w:vertAlign w:val="superscript"/>
              </w:rPr>
              <w:t>(4)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58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17,094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E. SAADEH</w:t>
            </w:r>
          </w:p>
        </w:tc>
        <w:tc>
          <w:tcPr>
            <w:tcW w:w="1580" w:type="dxa"/>
            <w:vAlign w:val="bottom"/>
            <w:gridSpan w:val="2"/>
            <w:shd w:val="clear" w:color="auto" w:fill="CCEEFF"/>
          </w:tcPr>
          <w:p>
            <w:pPr>
              <w:jc w:val="right"/>
              <w:ind w:right="280"/>
              <w:spacing w:after="0" w:line="216" w:lineRule="exact"/>
              <w:rPr>
                <w:sz w:val="20"/>
                <w:szCs w:val="20"/>
                <w:color w:val="auto"/>
              </w:rPr>
            </w:pPr>
            <w:r>
              <w:rPr>
                <w:rFonts w:ascii="Arial" w:cs="Arial" w:eastAsia="Arial" w:hAnsi="Arial"/>
                <w:sz w:val="16"/>
                <w:szCs w:val="16"/>
                <w:color w:val="auto"/>
              </w:rPr>
              <w:t>193,019</w:t>
            </w:r>
            <w:r>
              <w:rPr>
                <w:rFonts w:ascii="Arial" w:cs="Arial" w:eastAsia="Arial" w:hAnsi="Arial"/>
                <w:sz w:val="25"/>
                <w:szCs w:val="25"/>
                <w:color w:val="auto"/>
                <w:vertAlign w:val="superscript"/>
              </w:rPr>
              <w:t>(5)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93,019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SELLING STOCKHOLDERS:</w:t>
            </w: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SCHWARTZBERG</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456,000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456,000</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KEITH ARCHER IRA</w:t>
            </w:r>
            <w:r>
              <w:rPr>
                <w:rFonts w:ascii="Arial" w:cs="Arial" w:eastAsia="Arial" w:hAnsi="Arial"/>
                <w:sz w:val="29"/>
                <w:szCs w:val="29"/>
                <w:color w:val="auto"/>
                <w:vertAlign w:val="superscript"/>
              </w:rPr>
              <w:t>(6)</w:t>
            </w:r>
          </w:p>
        </w:tc>
        <w:tc>
          <w:tcPr>
            <w:tcW w:w="1580" w:type="dxa"/>
            <w:vAlign w:val="bottom"/>
            <w:gridSpan w:val="2"/>
          </w:tcPr>
          <w:p>
            <w:pPr>
              <w:jc w:val="right"/>
              <w:ind w:right="280"/>
              <w:spacing w:after="0" w:line="256" w:lineRule="exact"/>
              <w:rPr>
                <w:sz w:val="20"/>
                <w:szCs w:val="20"/>
                <w:color w:val="auto"/>
              </w:rPr>
            </w:pPr>
            <w:r>
              <w:rPr>
                <w:rFonts w:ascii="Arial" w:cs="Arial" w:eastAsia="Arial" w:hAnsi="Arial"/>
                <w:sz w:val="18"/>
                <w:szCs w:val="18"/>
                <w:color w:val="auto"/>
              </w:rPr>
              <w:t>35,000</w:t>
            </w:r>
            <w:r>
              <w:rPr>
                <w:rFonts w:ascii="Arial" w:cs="Arial" w:eastAsia="Arial" w:hAnsi="Arial"/>
                <w:sz w:val="29"/>
                <w:szCs w:val="29"/>
                <w:color w:val="auto"/>
                <w:vertAlign w:val="superscript"/>
              </w:rPr>
              <w:t>(7)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 &amp; D INVESTMENTS LLC</w:t>
            </w:r>
            <w:r>
              <w:rPr>
                <w:rFonts w:ascii="Arial" w:cs="Arial" w:eastAsia="Arial" w:hAnsi="Arial"/>
                <w:sz w:val="29"/>
                <w:szCs w:val="29"/>
                <w:color w:val="auto"/>
                <w:vertAlign w:val="superscript"/>
              </w:rPr>
              <w:t>(8)</w:t>
            </w:r>
          </w:p>
        </w:tc>
        <w:tc>
          <w:tcPr>
            <w:tcW w:w="1580" w:type="dxa"/>
            <w:vAlign w:val="bottom"/>
            <w:gridSpan w:val="2"/>
            <w:shd w:val="clear" w:color="auto" w:fill="CCEEFF"/>
          </w:tcPr>
          <w:p>
            <w:pPr>
              <w:jc w:val="right"/>
              <w:ind w:right="280"/>
              <w:spacing w:after="0" w:line="256" w:lineRule="exact"/>
              <w:rPr>
                <w:sz w:val="20"/>
                <w:szCs w:val="20"/>
                <w:color w:val="auto"/>
              </w:rPr>
            </w:pPr>
            <w:r>
              <w:rPr>
                <w:rFonts w:ascii="Arial" w:cs="Arial" w:eastAsia="Arial" w:hAnsi="Arial"/>
                <w:sz w:val="18"/>
                <w:szCs w:val="18"/>
                <w:color w:val="auto"/>
              </w:rPr>
              <w:t>256,635</w:t>
            </w:r>
            <w:r>
              <w:rPr>
                <w:rFonts w:ascii="Arial" w:cs="Arial" w:eastAsia="Arial" w:hAnsi="Arial"/>
                <w:sz w:val="29"/>
                <w:szCs w:val="29"/>
                <w:color w:val="auto"/>
                <w:vertAlign w:val="superscript"/>
              </w:rPr>
              <w:t>(9)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152,635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BIBICOFF FAMILY TRUST</w:t>
            </w:r>
            <w:r>
              <w:rPr>
                <w:rFonts w:ascii="Arial" w:cs="Arial" w:eastAsia="Arial" w:hAnsi="Arial"/>
                <w:sz w:val="29"/>
                <w:szCs w:val="29"/>
                <w:color w:val="auto"/>
                <w:vertAlign w:val="superscript"/>
              </w:rPr>
              <w:t>(10)</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52,000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88"/>
        </w:trPr>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ANTHONY J. BRENT AND ALEXANDRA H.</w:t>
            </w: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7"/>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w:t>
            </w:r>
          </w:p>
        </w:tc>
        <w:tc>
          <w:tcPr>
            <w:tcW w:w="1580" w:type="dxa"/>
            <w:vAlign w:val="bottom"/>
            <w:gridSpan w:val="2"/>
            <w:shd w:val="clear" w:color="auto" w:fill="CCEEFF"/>
          </w:tcPr>
          <w:p>
            <w:pPr>
              <w:jc w:val="right"/>
              <w:ind w:right="200"/>
              <w:spacing w:after="0" w:line="217" w:lineRule="exact"/>
              <w:rPr>
                <w:sz w:val="20"/>
                <w:szCs w:val="20"/>
                <w:color w:val="auto"/>
              </w:rPr>
            </w:pPr>
            <w:r>
              <w:rPr>
                <w:rFonts w:ascii="Arial" w:cs="Arial" w:eastAsia="Arial" w:hAnsi="Arial"/>
                <w:sz w:val="16"/>
                <w:szCs w:val="16"/>
                <w:color w:val="auto"/>
              </w:rPr>
              <w:t>57,000</w:t>
            </w:r>
            <w:r>
              <w:rPr>
                <w:rFonts w:ascii="Arial" w:cs="Arial" w:eastAsia="Arial" w:hAnsi="Arial"/>
                <w:sz w:val="25"/>
                <w:szCs w:val="25"/>
                <w:color w:val="auto"/>
                <w:vertAlign w:val="superscript"/>
              </w:rPr>
              <w:t>(11)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MICHAEL SEAN BROWNING</w:t>
            </w:r>
          </w:p>
        </w:tc>
        <w:tc>
          <w:tcPr>
            <w:tcW w:w="1580" w:type="dxa"/>
            <w:vAlign w:val="bottom"/>
            <w:gridSpan w:val="2"/>
          </w:tcPr>
          <w:p>
            <w:pPr>
              <w:jc w:val="right"/>
              <w:ind w:right="200"/>
              <w:spacing w:after="0" w:line="216" w:lineRule="exact"/>
              <w:rPr>
                <w:sz w:val="20"/>
                <w:szCs w:val="20"/>
                <w:color w:val="auto"/>
              </w:rPr>
            </w:pPr>
            <w:r>
              <w:rPr>
                <w:rFonts w:ascii="Arial" w:cs="Arial" w:eastAsia="Arial" w:hAnsi="Arial"/>
                <w:sz w:val="16"/>
                <w:szCs w:val="16"/>
                <w:color w:val="auto"/>
              </w:rPr>
              <w:t>48,000</w:t>
            </w:r>
            <w:r>
              <w:rPr>
                <w:rFonts w:ascii="Arial" w:cs="Arial" w:eastAsia="Arial" w:hAnsi="Arial"/>
                <w:sz w:val="25"/>
                <w:szCs w:val="25"/>
                <w:color w:val="auto"/>
                <w:vertAlign w:val="superscript"/>
              </w:rPr>
              <w:t>(12)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88"/>
        </w:trPr>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SIVAN PADNOS CASPI AND TAL A. CASPI</w:t>
            </w: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7"/>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JTWROS</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JASON ROBERT CAVALIER</w:t>
            </w:r>
          </w:p>
        </w:tc>
        <w:tc>
          <w:tcPr>
            <w:tcW w:w="1580" w:type="dxa"/>
            <w:vAlign w:val="bottom"/>
            <w:gridSpan w:val="2"/>
          </w:tcPr>
          <w:p>
            <w:pPr>
              <w:jc w:val="right"/>
              <w:ind w:right="200"/>
              <w:spacing w:after="0" w:line="216" w:lineRule="exact"/>
              <w:rPr>
                <w:sz w:val="20"/>
                <w:szCs w:val="20"/>
                <w:color w:val="auto"/>
              </w:rPr>
            </w:pPr>
            <w:r>
              <w:rPr>
                <w:rFonts w:ascii="Arial" w:cs="Arial" w:eastAsia="Arial" w:hAnsi="Arial"/>
                <w:sz w:val="16"/>
                <w:szCs w:val="16"/>
                <w:color w:val="auto"/>
              </w:rPr>
              <w:t>289,134</w:t>
            </w:r>
            <w:r>
              <w:rPr>
                <w:rFonts w:ascii="Arial" w:cs="Arial" w:eastAsia="Arial" w:hAnsi="Arial"/>
                <w:sz w:val="25"/>
                <w:szCs w:val="25"/>
                <w:color w:val="auto"/>
                <w:vertAlign w:val="superscript"/>
              </w:rPr>
              <w:t>(13)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580" w:type="dxa"/>
            <w:vAlign w:val="bottom"/>
          </w:tcPr>
          <w:p>
            <w:pPr>
              <w:jc w:val="right"/>
              <w:spacing w:after="0"/>
              <w:rPr>
                <w:sz w:val="20"/>
                <w:szCs w:val="20"/>
                <w:color w:val="auto"/>
              </w:rPr>
            </w:pPr>
            <w:r>
              <w:rPr>
                <w:rFonts w:ascii="Arial" w:cs="Arial" w:eastAsia="Arial" w:hAnsi="Arial"/>
                <w:sz w:val="18"/>
                <w:szCs w:val="18"/>
                <w:color w:val="auto"/>
              </w:rPr>
              <w:t>208,000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81,134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CAVALIER, JR.</w:t>
            </w:r>
          </w:p>
        </w:tc>
        <w:tc>
          <w:tcPr>
            <w:tcW w:w="158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6"/>
                <w:szCs w:val="16"/>
                <w:color w:val="auto"/>
              </w:rPr>
              <w:t>147,925</w:t>
            </w:r>
            <w:r>
              <w:rPr>
                <w:rFonts w:ascii="Arial" w:cs="Arial" w:eastAsia="Arial" w:hAnsi="Arial"/>
                <w:sz w:val="25"/>
                <w:szCs w:val="25"/>
                <w:color w:val="auto"/>
                <w:vertAlign w:val="superscript"/>
              </w:rPr>
              <w:t>(14)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43,925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R &amp; A CHADE FAMILY TRUST</w:t>
            </w:r>
            <w:r>
              <w:rPr>
                <w:rFonts w:ascii="Arial" w:cs="Arial" w:eastAsia="Arial" w:hAnsi="Arial"/>
                <w:sz w:val="29"/>
                <w:szCs w:val="29"/>
                <w:color w:val="auto"/>
                <w:vertAlign w:val="superscript"/>
              </w:rPr>
              <w:t>(15)</w:t>
            </w:r>
          </w:p>
        </w:tc>
        <w:tc>
          <w:tcPr>
            <w:tcW w:w="15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64,000</w:t>
            </w:r>
            <w:r>
              <w:rPr>
                <w:rFonts w:ascii="Arial" w:cs="Arial" w:eastAsia="Arial" w:hAnsi="Arial"/>
                <w:sz w:val="29"/>
                <w:szCs w:val="29"/>
                <w:color w:val="auto"/>
                <w:vertAlign w:val="superscript"/>
              </w:rPr>
              <w:t>(16)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5"/>
        </w:trPr>
        <w:tc>
          <w:tcPr>
            <w:tcW w:w="37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THE STEVEN AND KRISTIN CHAPIN</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4"/>
        </w:trPr>
        <w:tc>
          <w:tcPr>
            <w:tcW w:w="37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FAMILY TRUST</w:t>
            </w:r>
            <w:r>
              <w:rPr>
                <w:rFonts w:ascii="Arial" w:cs="Arial" w:eastAsia="Arial" w:hAnsi="Arial"/>
                <w:sz w:val="29"/>
                <w:szCs w:val="29"/>
                <w:color w:val="auto"/>
                <w:vertAlign w:val="superscript"/>
              </w:rPr>
              <w:t>(17)</w:t>
            </w:r>
          </w:p>
        </w:tc>
        <w:tc>
          <w:tcPr>
            <w:tcW w:w="1580" w:type="dxa"/>
            <w:vAlign w:val="bottom"/>
            <w:gridSpan w:val="2"/>
            <w:shd w:val="clear" w:color="auto" w:fill="CCEEFF"/>
          </w:tcPr>
          <w:p>
            <w:pPr>
              <w:jc w:val="right"/>
              <w:ind w:right="200"/>
              <w:spacing w:after="0" w:line="253" w:lineRule="exact"/>
              <w:rPr>
                <w:sz w:val="20"/>
                <w:szCs w:val="20"/>
                <w:color w:val="auto"/>
              </w:rPr>
            </w:pPr>
            <w:r>
              <w:rPr>
                <w:rFonts w:ascii="Arial" w:cs="Arial" w:eastAsia="Arial" w:hAnsi="Arial"/>
                <w:sz w:val="18"/>
                <w:szCs w:val="18"/>
                <w:color w:val="auto"/>
              </w:rPr>
              <w:t>103,000</w:t>
            </w:r>
            <w:r>
              <w:rPr>
                <w:rFonts w:ascii="Arial" w:cs="Arial" w:eastAsia="Arial" w:hAnsi="Arial"/>
                <w:sz w:val="29"/>
                <w:szCs w:val="29"/>
                <w:color w:val="auto"/>
                <w:vertAlign w:val="superscript"/>
              </w:rPr>
              <w:t>(18)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5"/>
        </w:trPr>
        <w:tc>
          <w:tcPr>
            <w:tcW w:w="3780" w:type="dxa"/>
            <w:vAlign w:val="bottom"/>
            <w:gridSpan w:val="2"/>
          </w:tcPr>
          <w:p>
            <w:pPr>
              <w:spacing w:after="0" w:line="206" w:lineRule="exact"/>
              <w:rPr>
                <w:sz w:val="20"/>
                <w:szCs w:val="20"/>
                <w:color w:val="auto"/>
              </w:rPr>
            </w:pPr>
            <w:r>
              <w:rPr>
                <w:rFonts w:ascii="Arial" w:cs="Arial" w:eastAsia="Arial" w:hAnsi="Arial"/>
                <w:sz w:val="18"/>
                <w:szCs w:val="18"/>
                <w:color w:val="auto"/>
              </w:rPr>
              <w:t>CLIFFORD FAMILY TRUST DATED</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4"/>
        </w:trPr>
        <w:tc>
          <w:tcPr>
            <w:tcW w:w="3780" w:type="dxa"/>
            <w:vAlign w:val="bottom"/>
            <w:gridSpan w:val="2"/>
          </w:tcPr>
          <w:p>
            <w:pPr>
              <w:spacing w:after="0" w:line="253" w:lineRule="exact"/>
              <w:rPr>
                <w:sz w:val="20"/>
                <w:szCs w:val="20"/>
                <w:color w:val="auto"/>
              </w:rPr>
            </w:pPr>
            <w:r>
              <w:rPr>
                <w:rFonts w:ascii="Arial" w:cs="Arial" w:eastAsia="Arial" w:hAnsi="Arial"/>
                <w:sz w:val="18"/>
                <w:szCs w:val="18"/>
                <w:color w:val="auto"/>
              </w:rPr>
              <w:t>DECEMBER 22, 1999</w:t>
            </w:r>
            <w:r>
              <w:rPr>
                <w:rFonts w:ascii="Arial" w:cs="Arial" w:eastAsia="Arial" w:hAnsi="Arial"/>
                <w:sz w:val="29"/>
                <w:szCs w:val="29"/>
                <w:color w:val="auto"/>
                <w:vertAlign w:val="superscript"/>
              </w:rPr>
              <w:t>(19)</w:t>
            </w:r>
          </w:p>
        </w:tc>
        <w:tc>
          <w:tcPr>
            <w:tcW w:w="1580" w:type="dxa"/>
            <w:vAlign w:val="bottom"/>
            <w:gridSpan w:val="2"/>
          </w:tcPr>
          <w:p>
            <w:pPr>
              <w:jc w:val="right"/>
              <w:ind w:right="200"/>
              <w:spacing w:after="0" w:line="253" w:lineRule="exact"/>
              <w:rPr>
                <w:sz w:val="20"/>
                <w:szCs w:val="20"/>
                <w:color w:val="auto"/>
              </w:rPr>
            </w:pPr>
            <w:r>
              <w:rPr>
                <w:rFonts w:ascii="Arial" w:cs="Arial" w:eastAsia="Arial" w:hAnsi="Arial"/>
                <w:sz w:val="18"/>
                <w:szCs w:val="18"/>
                <w:color w:val="auto"/>
              </w:rPr>
              <w:t>125,000</w:t>
            </w:r>
            <w:r>
              <w:rPr>
                <w:rFonts w:ascii="Arial" w:cs="Arial" w:eastAsia="Arial" w:hAnsi="Arial"/>
                <w:sz w:val="29"/>
                <w:szCs w:val="29"/>
                <w:color w:val="auto"/>
                <w:vertAlign w:val="superscript"/>
              </w:rPr>
              <w:t>(20)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5"/>
        </w:trPr>
        <w:tc>
          <w:tcPr>
            <w:tcW w:w="37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NFS/FTMC ROLLOVER IRA FBO ROBERT C.</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4"/>
        </w:trPr>
        <w:tc>
          <w:tcPr>
            <w:tcW w:w="37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CLIFFORD</w:t>
            </w:r>
            <w:r>
              <w:rPr>
                <w:rFonts w:ascii="Arial" w:cs="Arial" w:eastAsia="Arial" w:hAnsi="Arial"/>
                <w:sz w:val="29"/>
                <w:szCs w:val="29"/>
                <w:color w:val="auto"/>
                <w:vertAlign w:val="superscript"/>
              </w:rPr>
              <w:t>(21)</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5"/>
        </w:trPr>
        <w:tc>
          <w:tcPr>
            <w:tcW w:w="3780" w:type="dxa"/>
            <w:vAlign w:val="bottom"/>
            <w:gridSpan w:val="2"/>
          </w:tcPr>
          <w:p>
            <w:pPr>
              <w:spacing w:after="0" w:line="206" w:lineRule="exact"/>
              <w:rPr>
                <w:sz w:val="20"/>
                <w:szCs w:val="20"/>
                <w:color w:val="auto"/>
              </w:rPr>
            </w:pPr>
            <w:r>
              <w:rPr>
                <w:rFonts w:ascii="Arial" w:cs="Arial" w:eastAsia="Arial" w:hAnsi="Arial"/>
                <w:sz w:val="18"/>
                <w:szCs w:val="18"/>
                <w:color w:val="auto"/>
              </w:rPr>
              <w:t>CONRAD GROUP INC. DEFINED BENEFIT</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4"/>
        </w:trPr>
        <w:tc>
          <w:tcPr>
            <w:tcW w:w="3780" w:type="dxa"/>
            <w:vAlign w:val="bottom"/>
            <w:gridSpan w:val="2"/>
          </w:tcPr>
          <w:p>
            <w:pPr>
              <w:spacing w:after="0" w:line="253" w:lineRule="exact"/>
              <w:rPr>
                <w:sz w:val="20"/>
                <w:szCs w:val="20"/>
                <w:color w:val="auto"/>
              </w:rPr>
            </w:pPr>
            <w:r>
              <w:rPr>
                <w:rFonts w:ascii="Arial" w:cs="Arial" w:eastAsia="Arial" w:hAnsi="Arial"/>
                <w:sz w:val="18"/>
                <w:szCs w:val="18"/>
                <w:color w:val="auto"/>
              </w:rPr>
              <w:t>PLAN</w:t>
            </w:r>
            <w:r>
              <w:rPr>
                <w:rFonts w:ascii="Arial" w:cs="Arial" w:eastAsia="Arial" w:hAnsi="Arial"/>
                <w:sz w:val="29"/>
                <w:szCs w:val="29"/>
                <w:color w:val="auto"/>
                <w:vertAlign w:val="superscript"/>
              </w:rPr>
              <w:t>(22)</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104,000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DENELSKY</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5"/>
        </w:trPr>
        <w:tc>
          <w:tcPr>
            <w:tcW w:w="3780" w:type="dxa"/>
            <w:vAlign w:val="bottom"/>
            <w:gridSpan w:val="2"/>
          </w:tcPr>
          <w:p>
            <w:pPr>
              <w:spacing w:after="0" w:line="206" w:lineRule="exact"/>
              <w:rPr>
                <w:sz w:val="20"/>
                <w:szCs w:val="20"/>
                <w:color w:val="auto"/>
              </w:rPr>
            </w:pPr>
            <w:r>
              <w:rPr>
                <w:rFonts w:ascii="Arial" w:cs="Arial" w:eastAsia="Arial" w:hAnsi="Arial"/>
                <w:sz w:val="18"/>
                <w:szCs w:val="18"/>
                <w:color w:val="auto"/>
              </w:rPr>
              <w:t>NFS/FTMC SEP IRA FBO ANKUR V.</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4"/>
        </w:trPr>
        <w:tc>
          <w:tcPr>
            <w:tcW w:w="3780" w:type="dxa"/>
            <w:vAlign w:val="bottom"/>
            <w:gridSpan w:val="2"/>
          </w:tcPr>
          <w:p>
            <w:pPr>
              <w:spacing w:after="0" w:line="253" w:lineRule="exact"/>
              <w:rPr>
                <w:sz w:val="20"/>
                <w:szCs w:val="20"/>
                <w:color w:val="auto"/>
              </w:rPr>
            </w:pPr>
            <w:r>
              <w:rPr>
                <w:rFonts w:ascii="Arial" w:cs="Arial" w:eastAsia="Arial" w:hAnsi="Arial"/>
                <w:sz w:val="18"/>
                <w:szCs w:val="18"/>
                <w:color w:val="auto"/>
              </w:rPr>
              <w:t>DESAI</w:t>
            </w:r>
            <w:r>
              <w:rPr>
                <w:rFonts w:ascii="Arial" w:cs="Arial" w:eastAsia="Arial" w:hAnsi="Arial"/>
                <w:sz w:val="29"/>
                <w:szCs w:val="29"/>
                <w:color w:val="auto"/>
                <w:vertAlign w:val="superscript"/>
              </w:rPr>
              <w:t>(23)</w:t>
            </w:r>
          </w:p>
        </w:tc>
        <w:tc>
          <w:tcPr>
            <w:tcW w:w="1580" w:type="dxa"/>
            <w:vAlign w:val="bottom"/>
            <w:gridSpan w:val="2"/>
          </w:tcPr>
          <w:p>
            <w:pPr>
              <w:jc w:val="right"/>
              <w:ind w:right="200"/>
              <w:spacing w:after="0" w:line="253" w:lineRule="exact"/>
              <w:rPr>
                <w:sz w:val="20"/>
                <w:szCs w:val="20"/>
                <w:color w:val="auto"/>
              </w:rPr>
            </w:pPr>
            <w:r>
              <w:rPr>
                <w:rFonts w:ascii="Arial" w:cs="Arial" w:eastAsia="Arial" w:hAnsi="Arial"/>
                <w:sz w:val="18"/>
                <w:szCs w:val="18"/>
                <w:color w:val="auto"/>
              </w:rPr>
              <w:t>54,000</w:t>
            </w:r>
            <w:r>
              <w:rPr>
                <w:rFonts w:ascii="Arial" w:cs="Arial" w:eastAsia="Arial" w:hAnsi="Arial"/>
                <w:sz w:val="29"/>
                <w:szCs w:val="29"/>
                <w:color w:val="auto"/>
                <w:vertAlign w:val="superscript"/>
              </w:rPr>
              <w:t>(24)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C. GERLACH</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GFLT 1999</w:t>
            </w:r>
            <w:r>
              <w:rPr>
                <w:rFonts w:ascii="Arial" w:cs="Arial" w:eastAsia="Arial" w:hAnsi="Arial"/>
                <w:sz w:val="29"/>
                <w:szCs w:val="29"/>
                <w:color w:val="auto"/>
                <w:vertAlign w:val="superscript"/>
              </w:rPr>
              <w:t>(25)</w:t>
            </w:r>
          </w:p>
        </w:tc>
        <w:tc>
          <w:tcPr>
            <w:tcW w:w="15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181,000</w:t>
            </w:r>
            <w:r>
              <w:rPr>
                <w:rFonts w:ascii="Arial" w:cs="Arial" w:eastAsia="Arial" w:hAnsi="Arial"/>
                <w:sz w:val="29"/>
                <w:szCs w:val="29"/>
                <w:color w:val="auto"/>
                <w:vertAlign w:val="superscript"/>
              </w:rPr>
              <w:t>(26)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156,000</w:t>
            </w: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SANFORD GREENBERG</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JOHN J. GRIMLEY JR.</w:t>
            </w:r>
          </w:p>
        </w:tc>
        <w:tc>
          <w:tcPr>
            <w:tcW w:w="1580" w:type="dxa"/>
            <w:vAlign w:val="bottom"/>
            <w:gridSpan w:val="2"/>
          </w:tcPr>
          <w:p>
            <w:pPr>
              <w:jc w:val="right"/>
              <w:ind w:right="200"/>
              <w:spacing w:after="0" w:line="216" w:lineRule="exact"/>
              <w:rPr>
                <w:sz w:val="20"/>
                <w:szCs w:val="20"/>
                <w:color w:val="auto"/>
              </w:rPr>
            </w:pPr>
            <w:r>
              <w:rPr>
                <w:rFonts w:ascii="Arial" w:cs="Arial" w:eastAsia="Arial" w:hAnsi="Arial"/>
                <w:sz w:val="16"/>
                <w:szCs w:val="16"/>
                <w:color w:val="auto"/>
              </w:rPr>
              <w:t>193,200</w:t>
            </w:r>
            <w:r>
              <w:rPr>
                <w:rFonts w:ascii="Arial" w:cs="Arial" w:eastAsia="Arial" w:hAnsi="Arial"/>
                <w:sz w:val="25"/>
                <w:szCs w:val="25"/>
                <w:color w:val="auto"/>
                <w:vertAlign w:val="superscript"/>
              </w:rPr>
              <w:t>(27)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58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89,200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THE HANDLER REVOCABLE TRUST</w:t>
            </w:r>
            <w:r>
              <w:rPr>
                <w:rFonts w:ascii="Arial" w:cs="Arial" w:eastAsia="Arial" w:hAnsi="Arial"/>
                <w:sz w:val="29"/>
                <w:szCs w:val="29"/>
                <w:color w:val="auto"/>
                <w:vertAlign w:val="superscript"/>
              </w:rPr>
              <w:t>(28)</w:t>
            </w:r>
          </w:p>
        </w:tc>
        <w:tc>
          <w:tcPr>
            <w:tcW w:w="158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24,000</w:t>
            </w:r>
            <w:r>
              <w:rPr>
                <w:rFonts w:ascii="Arial" w:cs="Arial" w:eastAsia="Arial" w:hAnsi="Arial"/>
                <w:sz w:val="29"/>
                <w:szCs w:val="29"/>
                <w:color w:val="auto"/>
                <w:vertAlign w:val="superscript"/>
              </w:rPr>
              <w:t>(29)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3"/>
        </w:trPr>
        <w:tc>
          <w:tcPr>
            <w:tcW w:w="3780" w:type="dxa"/>
            <w:vAlign w:val="bottom"/>
            <w:gridSpan w:val="2"/>
          </w:tcPr>
          <w:p>
            <w:pPr>
              <w:spacing w:after="0"/>
              <w:rPr>
                <w:sz w:val="20"/>
                <w:szCs w:val="20"/>
                <w:color w:val="auto"/>
              </w:rPr>
            </w:pPr>
            <w:r>
              <w:rPr>
                <w:rFonts w:ascii="Arial" w:cs="Arial" w:eastAsia="Arial" w:hAnsi="Arial"/>
                <w:sz w:val="18"/>
                <w:szCs w:val="18"/>
                <w:color w:val="auto"/>
                <w:w w:val="97"/>
              </w:rPr>
              <w:t>JAMES P. HUGGINS REVOCABLE TRUST</w:t>
            </w:r>
            <w:r>
              <w:rPr>
                <w:rFonts w:ascii="Arial" w:cs="Arial" w:eastAsia="Arial" w:hAnsi="Arial"/>
                <w:sz w:val="30"/>
                <w:szCs w:val="30"/>
                <w:color w:val="auto"/>
                <w:w w:val="97"/>
                <w:vertAlign w:val="superscript"/>
              </w:rPr>
              <w:t>(30)</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104,000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03"/>
        </w:trPr>
        <w:tc>
          <w:tcPr>
            <w:tcW w:w="3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Maximum Number</w:t>
            </w: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Shares Beneficially Owned 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the Sale of the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8"/>
                <w:szCs w:val="18"/>
                <w:b w:val="1"/>
                <w:bCs w:val="1"/>
                <w:color w:val="auto"/>
              </w:rPr>
              <w:t>Shares Beneficially Owned</w:t>
            </w:r>
          </w:p>
        </w:tc>
        <w:tc>
          <w:tcPr>
            <w:tcW w:w="260" w:type="dxa"/>
            <w:vAlign w:val="bottom"/>
          </w:tcPr>
          <w:p>
            <w:pPr>
              <w:spacing w:after="0"/>
              <w:rPr>
                <w:sz w:val="22"/>
                <w:szCs w:val="22"/>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Maximum Number of Shares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NAME OF SELLING STOCKHOLDER</w:t>
            </w:r>
          </w:p>
        </w:tc>
        <w:tc>
          <w:tcPr>
            <w:tcW w:w="1640" w:type="dxa"/>
            <w:vAlign w:val="bottom"/>
            <w:gridSpan w:val="2"/>
          </w:tcPr>
          <w:p>
            <w:pPr>
              <w:jc w:val="right"/>
              <w:ind w:right="640"/>
              <w:spacing w:after="0" w:line="256" w:lineRule="exact"/>
              <w:rPr>
                <w:sz w:val="20"/>
                <w:szCs w:val="20"/>
                <w:color w:val="auto"/>
              </w:rPr>
            </w:pPr>
            <w:r>
              <w:rPr>
                <w:rFonts w:ascii="Arial" w:cs="Arial" w:eastAsia="Arial" w:hAnsi="Arial"/>
                <w:sz w:val="18"/>
                <w:szCs w:val="18"/>
                <w:b w:val="1"/>
                <w:bCs w:val="1"/>
                <w:color w:val="auto"/>
              </w:rPr>
              <w:t>Number</w:t>
            </w:r>
            <w:r>
              <w:rPr>
                <w:rFonts w:ascii="Arial" w:cs="Arial" w:eastAsia="Arial" w:hAnsi="Arial"/>
                <w:sz w:val="29"/>
                <w:szCs w:val="29"/>
                <w:b w:val="1"/>
                <w:bCs w:val="1"/>
                <w:color w:val="auto"/>
                <w:vertAlign w:val="superscript"/>
              </w:rPr>
              <w:t>(1)</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Percentage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CARY MARK HURWITZ AND SARAH JANE</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BARNEY, AS CO-TRUSTEES OF THE CS</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FAMILY TRUST, DATED SEPTEMBER 13,</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64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2012</w:t>
            </w:r>
            <w:r>
              <w:rPr>
                <w:rFonts w:ascii="Arial" w:cs="Arial" w:eastAsia="Arial" w:hAnsi="Arial"/>
                <w:sz w:val="30"/>
                <w:szCs w:val="30"/>
                <w:color w:val="auto"/>
                <w:vertAlign w:val="superscript"/>
              </w:rPr>
              <w:t>(31)</w:t>
            </w:r>
          </w:p>
        </w:tc>
        <w:tc>
          <w:tcPr>
            <w:tcW w:w="2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3"/>
          </w:tcPr>
          <w:p>
            <w:pPr>
              <w:spacing w:after="0" w:line="201" w:lineRule="exact"/>
              <w:rPr>
                <w:sz w:val="20"/>
                <w:szCs w:val="20"/>
                <w:color w:val="auto"/>
              </w:rPr>
            </w:pPr>
            <w:r>
              <w:rPr>
                <w:rFonts w:ascii="Arial" w:cs="Arial" w:eastAsia="Arial" w:hAnsi="Arial"/>
                <w:sz w:val="18"/>
                <w:szCs w:val="18"/>
                <w:color w:val="auto"/>
              </w:rPr>
              <w:t>CHRISTOPHER D. AND KAREN W.</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JENNINGS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KEPMEN CAPITAL</w:t>
            </w:r>
            <w:r>
              <w:rPr>
                <w:rFonts w:ascii="Arial" w:cs="Arial" w:eastAsia="Arial" w:hAnsi="Arial"/>
                <w:sz w:val="29"/>
                <w:szCs w:val="29"/>
                <w:color w:val="auto"/>
                <w:vertAlign w:val="superscript"/>
              </w:rPr>
              <w:t>(32)</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8"/>
              </w:rPr>
              <w:t>DANIEL P. LANDRY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205,249</w:t>
            </w:r>
            <w:r>
              <w:rPr>
                <w:rFonts w:ascii="Arial" w:cs="Arial" w:eastAsia="Arial" w:hAnsi="Arial"/>
                <w:sz w:val="15"/>
                <w:szCs w:val="15"/>
                <w:color w:val="auto"/>
              </w:rPr>
              <w:t>(33)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580" w:type="dxa"/>
            <w:vAlign w:val="bottom"/>
          </w:tcPr>
          <w:p>
            <w:pPr>
              <w:jc w:val="right"/>
              <w:spacing w:after="0"/>
              <w:rPr>
                <w:sz w:val="20"/>
                <w:szCs w:val="20"/>
                <w:color w:val="auto"/>
              </w:rPr>
            </w:pPr>
            <w:r>
              <w:rPr>
                <w:rFonts w:ascii="Arial" w:cs="Arial" w:eastAsia="Arial" w:hAnsi="Arial"/>
                <w:sz w:val="18"/>
                <w:szCs w:val="18"/>
                <w:color w:val="auto"/>
              </w:rPr>
              <w:t>156,000</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49,249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BLUE EARTH FUND, LP</w:t>
            </w:r>
            <w:r>
              <w:rPr>
                <w:rFonts w:ascii="Arial" w:cs="Arial" w:eastAsia="Arial" w:hAnsi="Arial"/>
                <w:sz w:val="29"/>
                <w:szCs w:val="29"/>
                <w:color w:val="auto"/>
                <w:vertAlign w:val="superscript"/>
              </w:rPr>
              <w:t>(34)</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312,000</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
                <w:szCs w:val="1"/>
                <w:color w:val="auto"/>
              </w:rPr>
              <w:t>JEFFREY MAROZ</w:t>
            </w:r>
          </w:p>
        </w:tc>
        <w:tc>
          <w:tcPr>
            <w:tcW w:w="2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
                <w:szCs w:val="1"/>
                <w:color w:val="auto"/>
              </w:rPr>
              <w:t>67,575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
                <w:szCs w:val="1"/>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62,000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5,575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5"/>
                <w:szCs w:val="15"/>
                <w:color w:val="auto"/>
              </w:rPr>
              <w:t>(35)</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SHAWN “CAL” MCALLISTER, AMANDA</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MCALLISTER</w:t>
            </w: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gridSpan w:val="3"/>
          </w:tcPr>
          <w:p>
            <w:pPr>
              <w:spacing w:after="0" w:line="206" w:lineRule="exact"/>
              <w:rPr>
                <w:sz w:val="20"/>
                <w:szCs w:val="20"/>
                <w:color w:val="auto"/>
              </w:rPr>
            </w:pPr>
            <w:r>
              <w:rPr>
                <w:rFonts w:ascii="Arial" w:cs="Arial" w:eastAsia="Arial" w:hAnsi="Arial"/>
                <w:sz w:val="18"/>
                <w:szCs w:val="18"/>
                <w:color w:val="auto"/>
              </w:rPr>
              <w:t>DAVID S. NAGELBERG 2003 REVOCABLE</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660" w:type="dxa"/>
            <w:vAlign w:val="bottom"/>
            <w:gridSpan w:val="2"/>
          </w:tcPr>
          <w:p>
            <w:pPr>
              <w:spacing w:after="0" w:line="266" w:lineRule="exact"/>
              <w:rPr>
                <w:sz w:val="20"/>
                <w:szCs w:val="20"/>
                <w:color w:val="auto"/>
              </w:rPr>
            </w:pPr>
            <w:r>
              <w:rPr>
                <w:rFonts w:ascii="Arial" w:cs="Arial" w:eastAsia="Arial" w:hAnsi="Arial"/>
                <w:sz w:val="18"/>
                <w:szCs w:val="18"/>
                <w:color w:val="auto"/>
              </w:rPr>
              <w:t>TRUST</w:t>
            </w:r>
            <w:r>
              <w:rPr>
                <w:rFonts w:ascii="Arial" w:cs="Arial" w:eastAsia="Arial" w:hAnsi="Arial"/>
                <w:sz w:val="30"/>
                <w:szCs w:val="30"/>
                <w:color w:val="auto"/>
                <w:vertAlign w:val="superscript"/>
              </w:rPr>
              <w:t>(36)</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104,000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BENJAMIN L. PADNOS</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DANIEL P. PADNOS JTWROS</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JONATHAN PADNOS</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3"/>
          </w:tcPr>
          <w:p>
            <w:pPr>
              <w:spacing w:after="0" w:line="201" w:lineRule="exact"/>
              <w:rPr>
                <w:sz w:val="20"/>
                <w:szCs w:val="20"/>
                <w:color w:val="auto"/>
              </w:rPr>
            </w:pPr>
            <w:r>
              <w:rPr>
                <w:rFonts w:ascii="Arial" w:cs="Arial" w:eastAsia="Arial" w:hAnsi="Arial"/>
                <w:sz w:val="18"/>
                <w:szCs w:val="18"/>
                <w:color w:val="auto"/>
              </w:rPr>
              <w:t>JEFFREY S. PADNOS &amp; MARGARET M.</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PADNOS JTWROS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104,000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WILEY MARK PICKETT AND JOANE</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DRAKE HENNEBERGER PICKETT,</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TRUSTEES OF THE PICKETT</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HENNEBERGER FAMILY TRUST DTD 4-23-</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760" w:type="dxa"/>
            <w:vAlign w:val="bottom"/>
            <w:gridSpan w:val="3"/>
            <w:shd w:val="clear" w:color="auto" w:fill="CCEEFF"/>
          </w:tcPr>
          <w:p>
            <w:pPr>
              <w:spacing w:after="0" w:line="266" w:lineRule="exact"/>
              <w:rPr>
                <w:sz w:val="20"/>
                <w:szCs w:val="20"/>
                <w:color w:val="auto"/>
              </w:rPr>
            </w:pPr>
            <w:r>
              <w:rPr>
                <w:rFonts w:ascii="Arial" w:cs="Arial" w:eastAsia="Arial" w:hAnsi="Arial"/>
                <w:sz w:val="18"/>
                <w:szCs w:val="18"/>
                <w:color w:val="auto"/>
              </w:rPr>
              <w:t>13 AND ANY AMENDMENTS THERETO</w:t>
            </w:r>
            <w:r>
              <w:rPr>
                <w:rFonts w:ascii="Arial" w:cs="Arial" w:eastAsia="Arial" w:hAnsi="Arial"/>
                <w:sz w:val="30"/>
                <w:szCs w:val="30"/>
                <w:color w:val="auto"/>
                <w:vertAlign w:val="superscript"/>
              </w:rPr>
              <w:t>(37)</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gridSpan w:val="3"/>
          </w:tcPr>
          <w:p>
            <w:pPr>
              <w:spacing w:after="0" w:line="206" w:lineRule="exact"/>
              <w:rPr>
                <w:sz w:val="20"/>
                <w:szCs w:val="20"/>
                <w:color w:val="auto"/>
              </w:rPr>
            </w:pPr>
            <w:r>
              <w:rPr>
                <w:rFonts w:ascii="Arial" w:cs="Arial" w:eastAsia="Arial" w:hAnsi="Arial"/>
                <w:sz w:val="18"/>
                <w:szCs w:val="18"/>
                <w:color w:val="auto"/>
              </w:rPr>
              <w:t>NFS/FMTC SEP IRA FBO ERICK</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660" w:type="dxa"/>
            <w:vAlign w:val="bottom"/>
            <w:gridSpan w:val="2"/>
          </w:tcPr>
          <w:p>
            <w:pPr>
              <w:spacing w:after="0" w:line="266" w:lineRule="exact"/>
              <w:rPr>
                <w:sz w:val="20"/>
                <w:szCs w:val="20"/>
                <w:color w:val="auto"/>
              </w:rPr>
            </w:pPr>
            <w:r>
              <w:rPr>
                <w:rFonts w:ascii="Arial" w:cs="Arial" w:eastAsia="Arial" w:hAnsi="Arial"/>
                <w:sz w:val="18"/>
                <w:szCs w:val="18"/>
                <w:color w:val="auto"/>
              </w:rPr>
              <w:t>RICHARDSON</w:t>
            </w:r>
            <w:r>
              <w:rPr>
                <w:rFonts w:ascii="Arial" w:cs="Arial" w:eastAsia="Arial" w:hAnsi="Arial"/>
                <w:sz w:val="30"/>
                <w:szCs w:val="30"/>
                <w:color w:val="auto"/>
                <w:vertAlign w:val="superscript"/>
              </w:rPr>
              <w:t>(38)</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522,000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580" w:type="dxa"/>
            <w:vAlign w:val="bottom"/>
          </w:tcPr>
          <w:p>
            <w:pPr>
              <w:jc w:val="right"/>
              <w:spacing w:after="0"/>
              <w:rPr>
                <w:sz w:val="20"/>
                <w:szCs w:val="20"/>
                <w:color w:val="auto"/>
              </w:rPr>
            </w:pPr>
            <w:r>
              <w:rPr>
                <w:rFonts w:ascii="Arial" w:cs="Arial" w:eastAsia="Arial" w:hAnsi="Arial"/>
                <w:sz w:val="18"/>
                <w:szCs w:val="18"/>
                <w:color w:val="auto"/>
              </w:rPr>
              <w:t>522,000</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7"/>
              </w:rPr>
              <w:t>JAMES M. RUCKER</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PETER A. APPEL</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1,044,000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580" w:type="dxa"/>
            <w:vAlign w:val="bottom"/>
          </w:tcPr>
          <w:p>
            <w:pPr>
              <w:jc w:val="right"/>
              <w:spacing w:after="0"/>
              <w:rPr>
                <w:sz w:val="20"/>
                <w:szCs w:val="20"/>
                <w:color w:val="auto"/>
              </w:rPr>
            </w:pPr>
            <w:r>
              <w:rPr>
                <w:rFonts w:ascii="Arial" w:cs="Arial" w:eastAsia="Arial" w:hAnsi="Arial"/>
                <w:sz w:val="18"/>
                <w:szCs w:val="18"/>
                <w:color w:val="auto"/>
              </w:rPr>
              <w:t>1,044,000</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STEPHEN WALKER FAMILY TRUST</w:t>
            </w:r>
            <w:r>
              <w:rPr>
                <w:rFonts w:ascii="Arial" w:cs="Arial" w:eastAsia="Arial" w:hAnsi="Arial"/>
                <w:sz w:val="29"/>
                <w:szCs w:val="29"/>
                <w:color w:val="auto"/>
                <w:vertAlign w:val="superscript"/>
              </w:rPr>
              <w:t>(39)</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JAMES TIERNEY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VALLEY HIGH LIMITED PARTNERSHIP</w:t>
            </w:r>
            <w:r>
              <w:rPr>
                <w:rFonts w:ascii="Arial" w:cs="Arial" w:eastAsia="Arial" w:hAnsi="Arial"/>
                <w:sz w:val="29"/>
                <w:szCs w:val="29"/>
                <w:color w:val="auto"/>
                <w:vertAlign w:val="superscript"/>
              </w:rPr>
              <w:t>(40)</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BRIAN WEITMAN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
                <w:szCs w:val="1"/>
                <w:color w:val="auto"/>
              </w:rPr>
              <w:t>JAY WIVIOTT</w:t>
            </w:r>
          </w:p>
        </w:tc>
        <w:tc>
          <w:tcPr>
            <w:tcW w:w="2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
                <w:szCs w:val="1"/>
                <w:color w:val="auto"/>
              </w:rPr>
              <w:t>60,000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
                <w:szCs w:val="1"/>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52,000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8,000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3"/>
          </w:tcPr>
          <w:p>
            <w:pPr>
              <w:spacing w:after="0" w:line="256" w:lineRule="exact"/>
              <w:rPr>
                <w:sz w:val="20"/>
                <w:szCs w:val="20"/>
                <w:color w:val="auto"/>
              </w:rPr>
            </w:pPr>
            <w:r>
              <w:rPr>
                <w:rFonts w:ascii="Arial" w:cs="Arial" w:eastAsia="Arial" w:hAnsi="Arial"/>
                <w:sz w:val="18"/>
                <w:szCs w:val="18"/>
                <w:color w:val="auto"/>
              </w:rPr>
              <w:t>YKA PARTNERS, LLC</w:t>
            </w:r>
            <w:r>
              <w:rPr>
                <w:rFonts w:ascii="Arial" w:cs="Arial" w:eastAsia="Arial" w:hAnsi="Arial"/>
                <w:sz w:val="29"/>
                <w:szCs w:val="29"/>
                <w:color w:val="auto"/>
                <w:vertAlign w:val="superscript"/>
              </w:rPr>
              <w:t>(42)</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104,000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8"/>
              </w:rPr>
              <w:t>ZHUGE LIANG, LLC</w:t>
            </w:r>
          </w:p>
        </w:tc>
        <w:tc>
          <w:tcPr>
            <w:tcW w:w="2000" w:type="dxa"/>
            <w:vAlign w:val="bottom"/>
            <w:shd w:val="clear" w:color="auto" w:fill="CCEEFF"/>
          </w:tcPr>
          <w:p>
            <w:pPr>
              <w:jc w:val="right"/>
              <w:ind w:right="1685"/>
              <w:spacing w:after="0" w:line="162" w:lineRule="exact"/>
              <w:rPr>
                <w:sz w:val="20"/>
                <w:szCs w:val="20"/>
                <w:color w:val="auto"/>
              </w:rPr>
            </w:pPr>
            <w:r>
              <w:rPr>
                <w:rFonts w:ascii="Arial" w:cs="Arial" w:eastAsia="Arial" w:hAnsi="Arial"/>
                <w:sz w:val="15"/>
                <w:szCs w:val="15"/>
                <w:color w:val="auto"/>
                <w:w w:val="82"/>
              </w:rPr>
              <w:t>(43)</w:t>
            </w:r>
          </w:p>
        </w:tc>
        <w:tc>
          <w:tcPr>
            <w:tcW w:w="12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8"/>
                <w:szCs w:val="18"/>
                <w:color w:val="auto"/>
              </w:rPr>
              <w:t>52,000</w:t>
            </w:r>
          </w:p>
        </w:tc>
        <w:tc>
          <w:tcPr>
            <w:tcW w:w="15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8"/>
                <w:szCs w:val="18"/>
                <w:color w:val="auto"/>
              </w:rPr>
              <w:t>40,000</w:t>
            </w:r>
          </w:p>
        </w:tc>
        <w:tc>
          <w:tcPr>
            <w:tcW w:w="13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8"/>
                <w:szCs w:val="18"/>
                <w:color w:val="auto"/>
              </w:rPr>
              <w:t>12,000</w:t>
            </w:r>
          </w:p>
        </w:tc>
        <w:tc>
          <w:tcPr>
            <w:tcW w:w="13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gridSpan w:val="2"/>
            <w:shd w:val="clear" w:color="auto" w:fill="CCEEFF"/>
          </w:tcPr>
          <w:p>
            <w:pPr>
              <w:jc w:val="right"/>
              <w:ind w:right="220"/>
              <w:spacing w:after="0" w:line="95" w:lineRule="exact"/>
              <w:rPr>
                <w:sz w:val="20"/>
                <w:szCs w:val="20"/>
                <w:color w:val="auto"/>
              </w:rPr>
            </w:pPr>
            <w:r>
              <w:rPr>
                <w:rFonts w:ascii="Arial" w:cs="Arial" w:eastAsia="Arial" w:hAnsi="Arial"/>
                <w:sz w:val="10"/>
                <w:szCs w:val="10"/>
                <w:color w:val="auto"/>
              </w:rPr>
              <w:t>(44)</w:t>
            </w:r>
          </w:p>
        </w:tc>
        <w:tc>
          <w:tcPr>
            <w:tcW w:w="1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5"/>
              </w:rPr>
              <w:t>JOHN W STADTLER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26,110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26,110</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J GEHSMANN</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RICH SHAPPARD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41,776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41,776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MARIOS KARAYANNIS</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JOHN RICHARD STAMM</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JAY D MELDRUM</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10,440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JOSEPH M DIANGELO</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8"/>
              </w:rPr>
              <w:t>MILES E EVERSON</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MICHAEL BURWELL</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102,564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102,564</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MICHAEL FAHEY</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2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Shares Beneficially Owned 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7"/>
                <w:szCs w:val="17"/>
                <w:color w:val="auto"/>
              </w:rPr>
            </w:pPr>
          </w:p>
        </w:tc>
        <w:tc>
          <w:tcPr>
            <w:tcW w:w="2600" w:type="dxa"/>
            <w:vAlign w:val="bottom"/>
            <w:gridSpan w:val="4"/>
          </w:tcPr>
          <w:p>
            <w:pPr>
              <w:jc w:val="center"/>
              <w:ind w:right="100"/>
              <w:spacing w:after="0" w:line="202" w:lineRule="exact"/>
              <w:rPr>
                <w:sz w:val="20"/>
                <w:szCs w:val="20"/>
                <w:color w:val="auto"/>
              </w:rPr>
            </w:pPr>
            <w:r>
              <w:rPr>
                <w:rFonts w:ascii="Arial" w:cs="Arial" w:eastAsia="Arial" w:hAnsi="Arial"/>
                <w:sz w:val="18"/>
                <w:szCs w:val="18"/>
                <w:b w:val="1"/>
                <w:bCs w:val="1"/>
                <w:color w:val="auto"/>
                <w:w w:val="89"/>
              </w:rPr>
              <w:t>the Sale of the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Shares Beneficially Owned</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2"/>
              </w:rPr>
              <w:t>Maximum Number of Shares</w:t>
            </w:r>
          </w:p>
        </w:tc>
        <w:tc>
          <w:tcPr>
            <w:tcW w:w="0" w:type="dxa"/>
            <w:vAlign w:val="bottom"/>
          </w:tcPr>
          <w:p>
            <w:pPr>
              <w:spacing w:after="0"/>
              <w:rPr>
                <w:sz w:val="1"/>
                <w:szCs w:val="1"/>
                <w:color w:val="auto"/>
              </w:rPr>
            </w:pPr>
          </w:p>
        </w:tc>
      </w:tr>
      <w:tr>
        <w:trPr>
          <w:trHeight w:val="26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STOCKHOLDER</w:t>
            </w:r>
          </w:p>
        </w:tc>
        <w:tc>
          <w:tcPr>
            <w:tcW w:w="1640" w:type="dxa"/>
            <w:vAlign w:val="bottom"/>
            <w:gridSpan w:val="2"/>
          </w:tcPr>
          <w:p>
            <w:pPr>
              <w:ind w:left="180"/>
              <w:spacing w:after="0" w:line="256" w:lineRule="exact"/>
              <w:rPr>
                <w:sz w:val="20"/>
                <w:szCs w:val="20"/>
                <w:color w:val="auto"/>
              </w:rPr>
            </w:pPr>
            <w:r>
              <w:rPr>
                <w:rFonts w:ascii="Arial" w:cs="Arial" w:eastAsia="Arial" w:hAnsi="Arial"/>
                <w:sz w:val="18"/>
                <w:szCs w:val="18"/>
                <w:b w:val="1"/>
                <w:bCs w:val="1"/>
                <w:color w:val="auto"/>
              </w:rPr>
              <w:t>Number</w:t>
            </w:r>
            <w:r>
              <w:rPr>
                <w:rFonts w:ascii="Arial" w:cs="Arial" w:eastAsia="Arial" w:hAnsi="Arial"/>
                <w:sz w:val="29"/>
                <w:szCs w:val="29"/>
                <w:b w:val="1"/>
                <w:bCs w:val="1"/>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0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CHARLES CHRISTENSEN</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76,924</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76,924</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MARK R DEMICH</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W BOYER</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104,436</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104,436</w:t>
            </w:r>
          </w:p>
        </w:tc>
        <w:tc>
          <w:tcPr>
            <w:tcW w:w="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gridSpan w:val="2"/>
          </w:tcPr>
          <w:p>
            <w:pPr>
              <w:spacing w:after="0" w:line="206" w:lineRule="exact"/>
              <w:rPr>
                <w:sz w:val="20"/>
                <w:szCs w:val="20"/>
                <w:color w:val="auto"/>
              </w:rPr>
            </w:pPr>
            <w:r>
              <w:rPr>
                <w:rFonts w:ascii="Arial" w:cs="Arial" w:eastAsia="Arial" w:hAnsi="Arial"/>
                <w:sz w:val="18"/>
                <w:szCs w:val="18"/>
                <w:color w:val="auto"/>
              </w:rPr>
              <w:t>BALLINGTON LIVING TRUST DATED</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660" w:type="dxa"/>
            <w:vAlign w:val="bottom"/>
            <w:gridSpan w:val="2"/>
          </w:tcPr>
          <w:p>
            <w:pPr>
              <w:spacing w:after="0" w:line="253" w:lineRule="exact"/>
              <w:rPr>
                <w:sz w:val="20"/>
                <w:szCs w:val="20"/>
                <w:color w:val="auto"/>
              </w:rPr>
            </w:pPr>
            <w:r>
              <w:rPr>
                <w:rFonts w:ascii="Arial" w:cs="Arial" w:eastAsia="Arial" w:hAnsi="Arial"/>
                <w:sz w:val="18"/>
                <w:szCs w:val="18"/>
                <w:color w:val="auto"/>
              </w:rPr>
              <w:t>08/05/2014</w:t>
            </w:r>
            <w:r>
              <w:rPr>
                <w:rFonts w:ascii="Arial" w:cs="Arial" w:eastAsia="Arial" w:hAnsi="Arial"/>
                <w:sz w:val="29"/>
                <w:szCs w:val="29"/>
                <w:color w:val="auto"/>
                <w:vertAlign w:val="superscript"/>
              </w:rPr>
              <w:t>(45)</w:t>
            </w:r>
          </w:p>
        </w:tc>
        <w:tc>
          <w:tcPr>
            <w:tcW w:w="120" w:type="dxa"/>
            <w:vAlign w:val="bottom"/>
          </w:tcPr>
          <w:p>
            <w:pPr>
              <w:spacing w:after="0"/>
              <w:rPr>
                <w:sz w:val="22"/>
                <w:szCs w:val="22"/>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52,220</w:t>
            </w:r>
          </w:p>
        </w:tc>
        <w:tc>
          <w:tcPr>
            <w:tcW w:w="112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P SESTERHENN</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52,220</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52,220</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gridSpan w:val="2"/>
          </w:tcPr>
          <w:p>
            <w:pPr>
              <w:spacing w:after="0" w:line="189" w:lineRule="exact"/>
              <w:rPr>
                <w:sz w:val="20"/>
                <w:szCs w:val="20"/>
                <w:color w:val="auto"/>
              </w:rPr>
            </w:pPr>
            <w:r>
              <w:rPr>
                <w:rFonts w:ascii="Arial" w:cs="Arial" w:eastAsia="Arial" w:hAnsi="Arial"/>
                <w:sz w:val="18"/>
                <w:szCs w:val="18"/>
                <w:color w:val="auto"/>
              </w:rPr>
              <w:t>MICHAEL J MULDOON &amp; PAMELA J</w:t>
            </w: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gridSpan w:val="3"/>
          </w:tcPr>
          <w:p>
            <w:pPr>
              <w:spacing w:after="0"/>
              <w:rPr>
                <w:sz w:val="20"/>
                <w:szCs w:val="20"/>
                <w:color w:val="auto"/>
              </w:rPr>
            </w:pPr>
            <w:r>
              <w:rPr>
                <w:rFonts w:ascii="Arial" w:cs="Arial" w:eastAsia="Arial" w:hAnsi="Arial"/>
                <w:sz w:val="18"/>
                <w:szCs w:val="18"/>
                <w:color w:val="auto"/>
              </w:rPr>
              <w:t>MULDOON</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26,108</w:t>
            </w:r>
          </w:p>
        </w:tc>
        <w:tc>
          <w:tcPr>
            <w:tcW w:w="1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ATKINSON</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DONALD L HULET</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MICHALCZYK</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ALAN R AUGENSTEIN</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M KOCH</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52,220</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52,220</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SAMIR A MAMMADOV</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52,220</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52,220</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EUCLID P ZURBARAN &amp; CRISTINA</w:t>
            </w:r>
          </w:p>
        </w:tc>
        <w:tc>
          <w:tcPr>
            <w:tcW w:w="1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ELGARRESTA</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20,888</w:t>
            </w:r>
          </w:p>
        </w:tc>
        <w:tc>
          <w:tcPr>
            <w:tcW w:w="1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KEVIN P SMITHSON</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10,440</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10,440</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B O’NEILL</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102,564</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102,564</w:t>
            </w:r>
          </w:p>
        </w:tc>
        <w:tc>
          <w:tcPr>
            <w:tcW w:w="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AMARESH TRIPATHY</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26,108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26,108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CAMERON</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52,220</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52,220</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MICHAEL EBEDES</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26,108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26,108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CRAIG FRIOU</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STEPHEN V ZAWOYSKI</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NOLAN</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26,108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26,108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KEVIN A HEALY</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31,332</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31,332</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JEFFERY L MILLER &amp; KHRISTEN N ZAR</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ADAN MARTINEZ</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DENNIS D HOWARTER &amp; PAMELA J</w:t>
            </w:r>
          </w:p>
        </w:tc>
        <w:tc>
          <w:tcPr>
            <w:tcW w:w="1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HOWARTER</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62,660</w:t>
            </w:r>
          </w:p>
        </w:tc>
        <w:tc>
          <w:tcPr>
            <w:tcW w:w="1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62,660</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MARK A HERNDON &amp; SARAH HERNDON</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26,108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26,108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GARY STERBINSKY</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52,220</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52,220</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KEITH JACKSON</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127,414</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127,414</w:t>
            </w:r>
          </w:p>
        </w:tc>
        <w:tc>
          <w:tcPr>
            <w:tcW w:w="220" w:type="dxa"/>
            <w:vAlign w:val="bottom"/>
          </w:tcPr>
          <w:p>
            <w:pPr>
              <w:spacing w:after="0"/>
              <w:rPr>
                <w:sz w:val="17"/>
                <w:szCs w:val="17"/>
                <w:color w:val="auto"/>
              </w:rPr>
            </w:pP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BRET GRIFFIN</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26,108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26,108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RUSSELL MOORE</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52,220</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52,220</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JORGE MORAZZANI</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FREDERICK M KELSO</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31,332</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31,332</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P QUACKENBUSH JR</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26,108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26,108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JAMES ERIC NICELY &amp; KAREN B. NICELY</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W. CAMBI</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JEDIDIAH MARSHALL</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KEITH A BELOTE</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20,888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20,888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MICHAEL L DESAUTELS</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26,108</w:t>
            </w:r>
          </w:p>
        </w:tc>
        <w:tc>
          <w:tcPr>
            <w:tcW w:w="1120" w:type="dxa"/>
            <w:vAlign w:val="bottom"/>
          </w:tcPr>
          <w:p>
            <w:pPr>
              <w:spacing w:after="0"/>
              <w:rPr>
                <w:sz w:val="17"/>
                <w:szCs w:val="17"/>
                <w:color w:val="auto"/>
              </w:rPr>
            </w:pPr>
          </w:p>
        </w:tc>
        <w:tc>
          <w:tcPr>
            <w:tcW w:w="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26,108</w:t>
            </w:r>
          </w:p>
        </w:tc>
        <w:tc>
          <w:tcPr>
            <w:tcW w:w="14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JONATHAN GRALNICK</w:t>
            </w: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26,108</w:t>
            </w:r>
          </w:p>
        </w:tc>
        <w:tc>
          <w:tcPr>
            <w:tcW w:w="1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26,108</w:t>
            </w:r>
          </w:p>
        </w:tc>
        <w:tc>
          <w:tcPr>
            <w:tcW w:w="14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Maximum Number</w:t>
            </w: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Shares Beneficially Owned 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the Sale of the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Shares Beneficially Owned</w:t>
            </w:r>
          </w:p>
        </w:tc>
        <w:tc>
          <w:tcPr>
            <w:tcW w:w="260" w:type="dxa"/>
            <w:vAlign w:val="bottom"/>
          </w:tcPr>
          <w:p>
            <w:pPr>
              <w:spacing w:after="0"/>
              <w:rPr>
                <w:sz w:val="22"/>
                <w:szCs w:val="22"/>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Maximum Number of Shares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STOCKHOLDER</w:t>
            </w:r>
          </w:p>
        </w:tc>
        <w:tc>
          <w:tcPr>
            <w:tcW w:w="1640" w:type="dxa"/>
            <w:vAlign w:val="bottom"/>
            <w:gridSpan w:val="2"/>
          </w:tcPr>
          <w:p>
            <w:pPr>
              <w:ind w:left="180"/>
              <w:spacing w:after="0" w:line="256" w:lineRule="exact"/>
              <w:rPr>
                <w:sz w:val="20"/>
                <w:szCs w:val="20"/>
                <w:color w:val="auto"/>
              </w:rPr>
            </w:pPr>
            <w:r>
              <w:rPr>
                <w:rFonts w:ascii="Arial" w:cs="Arial" w:eastAsia="Arial" w:hAnsi="Arial"/>
                <w:sz w:val="18"/>
                <w:szCs w:val="18"/>
                <w:b w:val="1"/>
                <w:bCs w:val="1"/>
                <w:color w:val="auto"/>
              </w:rPr>
              <w:t>Number</w:t>
            </w:r>
            <w:r>
              <w:rPr>
                <w:rFonts w:ascii="Arial" w:cs="Arial" w:eastAsia="Arial" w:hAnsi="Arial"/>
                <w:sz w:val="29"/>
                <w:szCs w:val="29"/>
                <w:b w:val="1"/>
                <w:bCs w:val="1"/>
                <w:color w:val="auto"/>
                <w:vertAlign w:val="superscript"/>
              </w:rPr>
              <w:t>(1)</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Percentage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CIASULLI</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HOWARD ALTSHULER</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EMILIO DIMATTEO</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41,776</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41,776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ROBERT W KASTENSCHMIDT</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SOMERS</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102,564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JOSE M MARTINEZ</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 R DELL’AERA JR</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208,876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DAVID PETTERSON</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102,564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102,564</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 ALBERICI</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WENDELL YOUNG</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JEANNERET</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76,924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76,924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RAJIV A THADANI</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D JOHNSTON</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KEVIN J HERZBERG</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WAYNE SMITH</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BRIAN L HECKLER</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67,884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67,884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M BORKOWSKI</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EDMOND ALLEN MORRISON</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ALOK MAHAJAN</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JOHN F MCCARTHY</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E TOBLER</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JONATHAN E ANSBACHER</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MCLAUGHLIN</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MICHAEL SNOW</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M MACKENZIE</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JOSEPH S MCLAUCHLAN</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A RISO</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KURTIS S KRENTZ</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ALDRIDGE</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JOHN KLINGE</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LESLIE</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DAVID A FITZ</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DENIS BERRY</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76,924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76,924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WILLIAM E MARX</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MAZ PARTNERS LP</w:t>
            </w:r>
            <w:r>
              <w:rPr>
                <w:rFonts w:ascii="Arial" w:cs="Arial" w:eastAsia="Arial" w:hAnsi="Arial"/>
                <w:sz w:val="29"/>
                <w:szCs w:val="29"/>
                <w:color w:val="auto"/>
                <w:vertAlign w:val="superscript"/>
              </w:rPr>
              <w:t>(46)</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JAMES M GIBBONS &amp; MELISSA H GIBBONS</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MAJBRITT ROSENBAUM</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gridSpan w:val="2"/>
          </w:tcPr>
          <w:p>
            <w:pPr>
              <w:spacing w:after="0" w:line="206" w:lineRule="exact"/>
              <w:rPr>
                <w:sz w:val="20"/>
                <w:szCs w:val="20"/>
                <w:color w:val="auto"/>
              </w:rPr>
            </w:pPr>
            <w:r>
              <w:rPr>
                <w:rFonts w:ascii="Arial" w:cs="Arial" w:eastAsia="Arial" w:hAnsi="Arial"/>
                <w:sz w:val="18"/>
                <w:szCs w:val="18"/>
                <w:color w:val="auto"/>
              </w:rPr>
              <w:t>NFS/FMTC ROLLOVER IRA FBO DENIS</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780" w:type="dxa"/>
            <w:vAlign w:val="bottom"/>
            <w:gridSpan w:val="3"/>
          </w:tcPr>
          <w:p>
            <w:pPr>
              <w:spacing w:after="0" w:line="266" w:lineRule="exact"/>
              <w:rPr>
                <w:sz w:val="20"/>
                <w:szCs w:val="20"/>
                <w:color w:val="auto"/>
              </w:rPr>
            </w:pPr>
            <w:r>
              <w:rPr>
                <w:rFonts w:ascii="Arial" w:cs="Arial" w:eastAsia="Arial" w:hAnsi="Arial"/>
                <w:sz w:val="18"/>
                <w:szCs w:val="18"/>
                <w:color w:val="auto"/>
              </w:rPr>
              <w:t>BERRY</w:t>
            </w:r>
            <w:r>
              <w:rPr>
                <w:rFonts w:ascii="Arial" w:cs="Arial" w:eastAsia="Arial" w:hAnsi="Arial"/>
                <w:sz w:val="30"/>
                <w:szCs w:val="30"/>
                <w:color w:val="auto"/>
                <w:vertAlign w:val="superscript"/>
              </w:rPr>
              <w:t>(47)</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92,592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92,592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RABCEVICS</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GERARD AND ELIZABETH ALTONJI</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26,108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A &amp; KATHLEEN M WATKINS</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20,888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CRAIG JEFFREY TAINES</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Maximum Number</w:t>
            </w: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Shares Beneficially Owned 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the Sale of the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Shares Beneficially Owned</w:t>
            </w:r>
          </w:p>
        </w:tc>
        <w:tc>
          <w:tcPr>
            <w:tcW w:w="260" w:type="dxa"/>
            <w:vAlign w:val="bottom"/>
          </w:tcPr>
          <w:p>
            <w:pPr>
              <w:spacing w:after="0"/>
              <w:rPr>
                <w:sz w:val="22"/>
                <w:szCs w:val="22"/>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Maximum Number of Shares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STOCKHOLDER</w:t>
            </w:r>
          </w:p>
        </w:tc>
        <w:tc>
          <w:tcPr>
            <w:tcW w:w="1640" w:type="dxa"/>
            <w:vAlign w:val="bottom"/>
            <w:gridSpan w:val="2"/>
          </w:tcPr>
          <w:p>
            <w:pPr>
              <w:ind w:left="180"/>
              <w:spacing w:after="0" w:line="256" w:lineRule="exact"/>
              <w:rPr>
                <w:sz w:val="20"/>
                <w:szCs w:val="20"/>
                <w:color w:val="auto"/>
              </w:rPr>
            </w:pPr>
            <w:r>
              <w:rPr>
                <w:rFonts w:ascii="Arial" w:cs="Arial" w:eastAsia="Arial" w:hAnsi="Arial"/>
                <w:sz w:val="18"/>
                <w:szCs w:val="18"/>
                <w:b w:val="1"/>
                <w:bCs w:val="1"/>
                <w:color w:val="auto"/>
              </w:rPr>
              <w:t>Number</w:t>
            </w:r>
            <w:r>
              <w:rPr>
                <w:rFonts w:ascii="Arial" w:cs="Arial" w:eastAsia="Arial" w:hAnsi="Arial"/>
                <w:sz w:val="29"/>
                <w:szCs w:val="29"/>
                <w:b w:val="1"/>
                <w:bCs w:val="1"/>
                <w:color w:val="auto"/>
                <w:vertAlign w:val="superscript"/>
              </w:rPr>
              <w:t>(1)</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Percentage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STEIN</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VINCENT MAIORANO</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52,000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TARGETED INVESTMENTS 2028 LLC</w:t>
            </w:r>
            <w:r>
              <w:rPr>
                <w:rFonts w:ascii="Arial" w:cs="Arial" w:eastAsia="Arial" w:hAnsi="Arial"/>
                <w:sz w:val="29"/>
                <w:szCs w:val="29"/>
                <w:color w:val="auto"/>
                <w:vertAlign w:val="superscript"/>
              </w:rPr>
              <w:t>(48)</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76,924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76,924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spacing w:after="0" w:line="256" w:lineRule="exact"/>
              <w:rPr>
                <w:sz w:val="20"/>
                <w:szCs w:val="20"/>
                <w:color w:val="auto"/>
              </w:rPr>
            </w:pPr>
            <w:r>
              <w:rPr>
                <w:rFonts w:ascii="Arial" w:cs="Arial" w:eastAsia="Arial" w:hAnsi="Arial"/>
                <w:sz w:val="18"/>
                <w:szCs w:val="18"/>
                <w:color w:val="auto"/>
              </w:rPr>
              <w:t>NATIONAL SECURITIES CORP.</w:t>
            </w:r>
            <w:r>
              <w:rPr>
                <w:rFonts w:ascii="Arial" w:cs="Arial" w:eastAsia="Arial" w:hAnsi="Arial"/>
                <w:sz w:val="29"/>
                <w:szCs w:val="29"/>
                <w:color w:val="auto"/>
                <w:vertAlign w:val="superscript"/>
              </w:rPr>
              <w:t>(49)</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210,313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580" w:type="dxa"/>
            <w:vAlign w:val="bottom"/>
          </w:tcPr>
          <w:p>
            <w:pPr>
              <w:jc w:val="right"/>
              <w:spacing w:after="0"/>
              <w:rPr>
                <w:sz w:val="20"/>
                <w:szCs w:val="20"/>
                <w:color w:val="auto"/>
              </w:rPr>
            </w:pPr>
            <w:r>
              <w:rPr>
                <w:rFonts w:ascii="Arial" w:cs="Arial" w:eastAsia="Arial" w:hAnsi="Arial"/>
                <w:sz w:val="18"/>
                <w:szCs w:val="18"/>
                <w:color w:val="auto"/>
              </w:rPr>
              <w:t>210,313</w:t>
            </w:r>
          </w:p>
        </w:tc>
        <w:tc>
          <w:tcPr>
            <w:tcW w:w="2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10,725,969</w:t>
            </w: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25" w:lineRule="exact"/>
        <w:rPr>
          <w:sz w:val="20"/>
          <w:szCs w:val="20"/>
          <w:color w:val="auto"/>
        </w:rPr>
      </w:pPr>
    </w:p>
    <w:p>
      <w:pPr>
        <w:jc w:val="both"/>
        <w:ind w:left="340" w:hanging="332"/>
        <w:spacing w:after="0" w:line="271"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unit purchased in the private placement consisted on one share of common stock and one warrant to purchase one share of common stock. Therefore, unless otherwise indicated, of the number of shares beneficially owned by each selling stockholder, 50% represents shares of common stock and 50% represents shares of common stock underlying warrants exercisable from June 27, 2017 to December 27, 2019.</w:t>
      </w: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 L. Baum exercises voting and investment authority over the shares held by this selling stockholder. Total includes 450,400 shares of common stock issuable to Mark L. Baum upon the exercise of stock options exercisable within 60 days after January 20, 2017 and 156,000 shares of common stock underlying warrants exercisable from June 27, 2017 to December 27, 2019.</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112,400 shares of common stock issuable upon the exercise of stock options exercisable within 60 days January 20, 2017 and 39,000 shares of common stock underlying warrants exercisable from June 27, 2017 to December 27, 2019.</w:t>
      </w: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12,625 shares of common stock issuable upon Mr. Lindstrom’s discontinuation of service as a director and 100,000 shares of common stock underlying warrants exercisable from June 27, 2017 to December 27, 2019.</w:t>
      </w: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2,498 shares of common stock issuable upon the exercise of stock options exercisable within 60 days January 20, 2017, 26,966 shares of common stock underlying a convertible deferred acquisition obligation and 50,000 shares of common stock underlying warrants exercisable from June 27, 2017 to December 27, 2019.</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Keith Archer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13,000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Don Miloni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52,000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Harvey Bibicoff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26,000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20,000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104,000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52,000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Richard Chade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26,000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Steven Chapin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39,000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Robert Clifford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15,000 shares of common stock underlying warrants exercisable within 60 days January 20, 2017 and 30,000 shares of common stock underlying warrants exercisable from June 27, 2017 to December 27, 2019.</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Brett Conrad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31,000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Ankur Desai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26,000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Steve Gubner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78,000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52,000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 Handler exercises voting and investment authority over the shares held by this selling stockholder.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6,000 shares of common stock underlying warrants exercisable from June 27, 2017 to December 27, 2019</w:t>
      </w:r>
    </w:p>
    <w:p>
      <w:pPr>
        <w:spacing w:after="0" w:line="23"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James Huggins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Cary Hurwitz Huggins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Martin Regan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line="250"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34,000 shares of common stock underlying warrants exercisable within 60 days January 20, 2017 and 78,000 shares of common stock underlying warrants exercisable from June 27, 2017 to December 27, 2019.</w:t>
      </w: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Brett Conrad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31,000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David Nagelberg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Wiley Pickett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Erick Richardson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Stephen Walker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Emily Fairbairn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26,000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Ken Aldrich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Aaron Grunfeld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20,000 shares of common stock underlying warrants exercisable from June 27, 2017 to December 27, 2019</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Edward William Sean Ballington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Walter Schenker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Denis Berry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Christopher Finnerty exercises voting and investment authority over the shares held by this selling stockholder.</w:t>
      </w:r>
    </w:p>
    <w:p>
      <w:pPr>
        <w:spacing w:after="0" w:line="9" w:lineRule="exact"/>
        <w:rPr>
          <w:rFonts w:ascii="Arial" w:cs="Arial" w:eastAsia="Arial" w:hAnsi="Arial"/>
          <w:sz w:val="18"/>
          <w:szCs w:val="18"/>
          <w:color w:val="auto"/>
        </w:rPr>
      </w:pPr>
    </w:p>
    <w:p>
      <w:pPr>
        <w:ind w:left="332" w:hanging="332"/>
        <w:spacing w:after="0" w:line="261"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Jonathan Price exercises voting and investment authority over the shares held by this selling stockholder. National Securities Corp. is a member of FINRA and may be deemed to be an underwriter of the shares being sold.</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received after the date of this prospectus from a selling stockholder as a gift, pledge, partnership distribution or other transfer, may, from time to time, sell, transfer or otherwise dispose of any or all of their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93"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connection with the sale of our common stock,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both"/>
        <w:ind w:firstLine="401"/>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the sale of common stock by the selling stockholders.</w:t>
      </w:r>
    </w:p>
    <w:p>
      <w:pPr>
        <w:spacing w:after="0" w:line="18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(i) one year from the date of effectiveness; (ii) such time as all of the shares covered by this prospectus have been disposed of pursuant to and in accordance with the registration statement; or (iii) the date on which the shares may be sold without manner of sale or volume restrictions pursuant to Rule 144 of the Securities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validity of the common stock being offered hereby will be passed upon for us by Golenbock, Eiseman, Assor Bell &amp; Peskoe, LLP, New York,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consolidated financial statements of Imprimis Pharmaceuticals, Inc. and its subsidiaries included in the Company’s Annual Report on Form 10-K for the year ended December 31, 2015 have been audited by KMJ Corbin &amp; Company LLP, an independent registered public accounting firm, as stated in their report which is incorporated by reference herein, and has been so incorporated in reliance upon such report and upon the authority of such firm as experts in auditing and accounting.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operation of the Public Reference Room.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(Commission File No.</w:t>
      </w:r>
    </w:p>
    <w:p>
      <w:pPr>
        <w:spacing w:after="0"/>
        <w:rPr>
          <w:sz w:val="20"/>
          <w:szCs w:val="20"/>
          <w:color w:val="auto"/>
        </w:rPr>
      </w:pPr>
      <w:r>
        <w:rPr>
          <w:rFonts w:ascii="Arial" w:cs="Arial" w:eastAsia="Arial" w:hAnsi="Arial"/>
          <w:sz w:val="18"/>
          <w:szCs w:val="18"/>
          <w:color w:val="auto"/>
        </w:rPr>
        <w:t>001-35814):</w:t>
      </w:r>
    </w:p>
    <w:p>
      <w:pPr>
        <w:spacing w:after="0" w:line="21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2015;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Proxy Statement on Schedule 14A for our 2016 annual meeting filed on April 27, 2016;</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 on Form 10-Q for our quarter ended March 31, 2016, our Quarterly Report on Form 10-Q for our quarter ended June 30, 2016, and our Quarterly Report on Form 10-Q for our quarter ended September 30, 2016;</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Reports on Form 8-K filed on January 6, 2016, January 25, 2016, March 3, 2016, March 11, 2016, April 26, 2016, June 7, 2016, June 15, 2016, June 17, 2016, August 11, 2016, September 14, 2016, September 26, 2016, November 9, 2016, November 15, 2016, December 23, 2016 and December 29, 2016;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including any amendments or reports filed for the purpose of updating such description.</w:t>
      </w:r>
    </w:p>
    <w:p>
      <w:pPr>
        <w:spacing w:after="0" w:line="170"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Any information in any of the foregoing documents will automatically be deemed to be modified or superseded to the extent that information in this prospectus or in a later filed document that is incorporated or deemed to be incorporated herein by reference modifies or replaces such information.</w:t>
      </w:r>
    </w:p>
    <w:p>
      <w:pPr>
        <w:spacing w:after="0" w:line="14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also incorporate by reference any future filings (other than current reports furnished under Item 2.02 or Item 7.01 of Form 8-K and exhibits filed on such form that are related to such items) made with the SEC pursuant to Sections 13(a), 13(c), 14 or 15(d) of the Exchange Act, including all such reports filed after the date of the initial registration statement and prior to effectiveness of the registration statement, until we file a post-effective amendment that indicates the termination of the offering of the securities made by this prospectus.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will furnish without charge to each person to whom a copy of this prospectus is delivered, upon written or oral request, a copy of the documents that have been incorporated by reference into this prospectus, including exhibits to these documents. You should direct any requests for copies to: Imprimis Pharmaceuticals, Inc., 12264 El Camino Real, Suite 350, San Diego, CA 92130, Attention: Investor Relations. You may also make such requests by contacting us at (858) 704-4040.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the costs and expenses payable by the Registrant in connection with the offering of the securities being registered. All amounts are estimates, except the SEC registration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37"/>
        </w:trPr>
        <w:tc>
          <w:tcPr>
            <w:tcW w:w="9480" w:type="dxa"/>
            <w:vAlign w:val="bottom"/>
          </w:tcPr>
          <w:p>
            <w:pPr>
              <w:spacing w:after="0"/>
              <w:rPr>
                <w:sz w:val="20"/>
                <w:szCs w:val="20"/>
                <w:color w:val="auto"/>
              </w:rPr>
            </w:pPr>
            <w:r>
              <w:rPr>
                <w:rFonts w:ascii="Arial" w:cs="Arial" w:eastAsia="Arial" w:hAnsi="Arial"/>
                <w:sz w:val="18"/>
                <w:szCs w:val="18"/>
                <w:color w:val="auto"/>
              </w:rPr>
              <w:t>Printing and miscellaneous expenses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30"/>
        </w:trPr>
        <w:tc>
          <w:tcPr>
            <w:tcW w:w="9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or a derivative action), if they acted in good faith and in a manner they reasonably believed to be in or not opposed to the best interests of the corporation and, with respect to any criminal action or proceedings, had no reasonable cause to believe their conduct was unlawful.</w:t>
      </w:r>
    </w:p>
    <w:p>
      <w:pPr>
        <w:spacing w:after="0" w:line="173"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 similar standard is applicable in the case of derivative actions, except that indemnification only extends to expenses (including attorneys’ fees) actually and reasonably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Article Eighth of the Registrant’s amended and restated certificate of incorporation specifies that the Registrant shall indemnify its directors, officers, employees and agents to the full extent that such right of indemnity is permitted by law. This provision is deemed to be a contract between the Registrant and each director and officer who serves in such capacity at any time while such provision and the relevant provisions of the Delaware General Corporation Law are in effect, and any repeal or modification thereof shall not offset any right to indemnification in respect of action, suit or proceeding theretofore or thereafter brought or threatened based in whole or in part upon any such state of facts.</w:t>
      </w:r>
    </w:p>
    <w:p>
      <w:pPr>
        <w:spacing w:after="0" w:line="1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Section 102(b)(7) of the Delaware General Corporation Law enables a corporation in its certificate of incorporation to limit the personal liability of members of its board of directors for violation of a director’s fiduciary duty of care. This section does not, however, limit the liability of a director for breaching his or her duty of loyalty, failing to act in good faith, engaging in intentional misconduct or knowingly violating a law, authorizing unlawful payments of dividends or unlawful redemptions or stock purchases as contemplated by Section 174 of Delaware General Corporation Law, or from any transaction in which the director derived an improper personal benefit. This section also will have no effect on claims arising under the federal securities laws. The Registrant’s amended and restated certificate of incorporation limits the liability of its directors as authorized by Section 102(b)(7).</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Registrant has obtained liability insurance for the benefit of its directors and officers which provides coverage for losses of directors and officers for liabilities arising out of claims against such persons acting as directors or officers of the Registrant (or any subsidiary thereof) due to any breach of duty, neglect, error, misstatement, misleading statement, omission or act done by such directors and officers, except as prohibited by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00" w:hanging="25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w:t>
      </w:r>
    </w:p>
    <w:p>
      <w:pPr>
        <w:spacing w:after="0" w:line="225" w:lineRule="exact"/>
        <w:rPr>
          <w:rFonts w:ascii="Arial" w:cs="Arial" w:eastAsia="Arial" w:hAnsi="Arial"/>
          <w:sz w:val="18"/>
          <w:szCs w:val="18"/>
          <w:color w:val="auto"/>
        </w:rPr>
      </w:pPr>
    </w:p>
    <w:p>
      <w:pPr>
        <w:jc w:val="both"/>
        <w:ind w:firstLine="980"/>
        <w:spacing w:after="0" w:line="293" w:lineRule="auto"/>
        <w:tabs>
          <w:tab w:leader="none" w:pos="1255" w:val="left"/>
        </w:tabs>
        <w:numPr>
          <w:ilvl w:val="1"/>
          <w:numId w:val="7"/>
        </w:numPr>
        <w:rPr>
          <w:rFonts w:ascii="Arial" w:cs="Arial" w:eastAsia="Arial" w:hAnsi="Arial"/>
          <w:sz w:val="16"/>
          <w:szCs w:val="16"/>
          <w:color w:val="auto"/>
        </w:rPr>
      </w:pPr>
      <w:r>
        <w:rPr>
          <w:rFonts w:ascii="Arial" w:cs="Arial" w:eastAsia="Arial" w:hAnsi="Arial"/>
          <w:sz w:val="16"/>
          <w:szCs w:val="16"/>
          <w:color w:val="auto"/>
        </w:rPr>
        <w:t>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firstLine="980"/>
        <w:spacing w:after="0" w:line="277" w:lineRule="auto"/>
        <w:tabs>
          <w:tab w:leader="none" w:pos="1303"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(1)(ii) and (1)(iii)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and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449"/>
        <w:spacing w:after="0" w:line="264" w:lineRule="auto"/>
        <w:tabs>
          <w:tab w:leader="none" w:pos="69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firstLine="449"/>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00" w:hanging="25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firstLine="980"/>
        <w:spacing w:after="0" w:line="277" w:lineRule="auto"/>
        <w:tabs>
          <w:tab w:leader="none" w:pos="1271"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firstLine="980"/>
        <w:spacing w:after="0" w:line="288" w:lineRule="auto"/>
        <w:tabs>
          <w:tab w:leader="none" w:pos="1261"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both"/>
        <w:ind w:firstLine="449"/>
        <w:spacing w:after="0" w:line="257" w:lineRule="auto"/>
        <w:tabs>
          <w:tab w:leader="none" w:pos="7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180" w:hanging="200"/>
        <w:spacing w:after="0"/>
        <w:tabs>
          <w:tab w:leader="none" w:pos="11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firstLine="980"/>
        <w:spacing w:after="0" w:line="277" w:lineRule="auto"/>
        <w:tabs>
          <w:tab w:leader="none" w:pos="1247"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firstLine="980"/>
        <w:spacing w:after="0" w:line="277" w:lineRule="auto"/>
        <w:tabs>
          <w:tab w:leader="none" w:pos="128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firstLine="449"/>
        <w:spacing w:after="0" w:line="302" w:lineRule="auto"/>
        <w:tabs>
          <w:tab w:leader="none" w:pos="708"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Exchange Act and will be governed by the final adjudication of such issue.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January 23, 2017.</w:t>
      </w:r>
    </w:p>
    <w:p>
      <w:pPr>
        <w:spacing w:after="0" w:line="17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Marl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Mark L. Baum and Andrew R. Boll,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9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stated.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880" w:type="dxa"/>
            <w:vAlign w:val="bottom"/>
            <w:gridSpan w:val="3"/>
          </w:tcPr>
          <w:p>
            <w:pPr>
              <w:ind w:left="120"/>
              <w:spacing w:after="0"/>
              <w:rPr>
                <w:sz w:val="20"/>
                <w:szCs w:val="20"/>
                <w:color w:val="auto"/>
              </w:rPr>
            </w:pPr>
            <w:r>
              <w:rPr>
                <w:rFonts w:ascii="Arial" w:cs="Arial" w:eastAsia="Arial" w:hAnsi="Arial"/>
                <w:sz w:val="18"/>
                <w:szCs w:val="18"/>
                <w:b w:val="1"/>
                <w:bCs w:val="1"/>
                <w:color w:val="auto"/>
              </w:rPr>
              <w:t>Title</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34"/>
        </w:trPr>
        <w:tc>
          <w:tcPr>
            <w:tcW w:w="3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shd w:val="clear" w:color="auto" w:fill="000000"/>
          </w:tcPr>
          <w:p>
            <w:pPr>
              <w:spacing w:after="0"/>
              <w:rPr>
                <w:sz w:val="2"/>
                <w:szCs w:val="2"/>
                <w:color w:val="auto"/>
              </w:rPr>
            </w:pPr>
          </w:p>
        </w:tc>
      </w:tr>
      <w:tr>
        <w:trPr>
          <w:trHeight w:val="45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3640" w:type="dxa"/>
            <w:vAlign w:val="bottom"/>
          </w:tcPr>
          <w:p>
            <w:pPr>
              <w:spacing w:after="0"/>
              <w:rPr>
                <w:sz w:val="20"/>
                <w:szCs w:val="20"/>
                <w:color w:val="auto"/>
              </w:rPr>
            </w:pPr>
            <w:r>
              <w:rPr>
                <w:rFonts w:ascii="Arial" w:cs="Arial" w:eastAsia="Arial" w:hAnsi="Arial"/>
                <w:sz w:val="18"/>
                <w:szCs w:val="18"/>
                <w:color w:val="auto"/>
              </w:rPr>
              <w:t>January 23, 2017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Mark L. Baum</w:t>
            </w:r>
          </w:p>
        </w:tc>
        <w:tc>
          <w:tcPr>
            <w:tcW w:w="38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Executive Officer)</w:t>
            </w:r>
          </w:p>
        </w:tc>
        <w:tc>
          <w:tcPr>
            <w:tcW w:w="3640" w:type="dxa"/>
            <w:vAlign w:val="bottom"/>
          </w:tcPr>
          <w:p>
            <w:pPr>
              <w:spacing w:after="0"/>
              <w:rPr>
                <w:sz w:val="20"/>
                <w:szCs w:val="20"/>
                <w:color w:val="auto"/>
              </w:rPr>
            </w:pPr>
          </w:p>
        </w:tc>
      </w:tr>
      <w:tr>
        <w:trPr>
          <w:trHeight w:val="43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January 23, 2017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Andrew R. Boll</w:t>
            </w:r>
          </w:p>
        </w:tc>
        <w:tc>
          <w:tcPr>
            <w:tcW w:w="38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3640" w:type="dxa"/>
            <w:vAlign w:val="bottom"/>
          </w:tcPr>
          <w:p>
            <w:pPr>
              <w:spacing w:after="0"/>
              <w:rPr>
                <w:sz w:val="20"/>
                <w:szCs w:val="20"/>
                <w:color w:val="auto"/>
              </w:rPr>
            </w:pPr>
          </w:p>
        </w:tc>
      </w:tr>
      <w:tr>
        <w:trPr>
          <w:trHeight w:val="43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January 23, 2017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Stephen G. Austin</w:t>
            </w: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3640" w:type="dxa"/>
            <w:vAlign w:val="bottom"/>
          </w:tcPr>
          <w:p>
            <w:pPr>
              <w:spacing w:after="0"/>
              <w:rPr>
                <w:sz w:val="20"/>
                <w:szCs w:val="20"/>
                <w:color w:val="auto"/>
              </w:rPr>
            </w:pPr>
            <w:r>
              <w:rPr>
                <w:rFonts w:ascii="Arial" w:cs="Arial" w:eastAsia="Arial" w:hAnsi="Arial"/>
                <w:sz w:val="18"/>
                <w:szCs w:val="18"/>
                <w:color w:val="auto"/>
              </w:rPr>
              <w:t>January 23, 2017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Robert J. Kammer</w:t>
            </w: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January 23, 2017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Richard L. Lindstrom</w:t>
            </w: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J. Principi</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January 23, 2017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Anthony J. Principi</w:t>
            </w: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color w:val="auto"/>
              </w:rPr>
              <w:t>S-1</w:t>
            </w: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1" w:name="page22"/>
    <w:bookmarkEnd w:id="21"/>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8750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5030" cy="17145"/>
                    </a:xfrm>
                    <a:prstGeom prst="rect">
                      <a:avLst/>
                    </a:prstGeom>
                    <a:noFill/>
                  </pic:spPr>
                </pic:pic>
              </a:graphicData>
            </a:graphic>
          </wp:anchor>
        </w:drawing>
      </w:r>
    </w:p>
    <w:p>
      <w:pPr>
        <w:spacing w:after="0" w:line="24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r>
        <w:rPr>
          <w:rFonts w:ascii="Arial" w:cs="Arial" w:eastAsia="Arial" w:hAnsi="Arial"/>
          <w:sz w:val="30"/>
          <w:szCs w:val="30"/>
          <w:color w:val="auto"/>
          <w:vertAlign w:val="superscript"/>
        </w:rPr>
        <w:t>(1)</w:t>
      </w:r>
    </w:p>
    <w:p>
      <w:pPr>
        <w:spacing w:after="0" w:line="12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r>
        <w:rPr>
          <w:rFonts w:ascii="Arial" w:cs="Arial" w:eastAsia="Arial" w:hAnsi="Arial"/>
          <w:sz w:val="30"/>
          <w:szCs w:val="30"/>
          <w:color w:val="auto"/>
          <w:vertAlign w:val="superscript"/>
        </w:rPr>
        <w:t>(2)</w:t>
      </w:r>
    </w:p>
    <w:p>
      <w:pPr>
        <w:spacing w:after="0" w:line="12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5.1</w:t>
      </w:r>
      <w:r>
        <w:rPr>
          <w:rFonts w:ascii="Arial" w:cs="Arial" w:eastAsia="Arial" w:hAnsi="Arial"/>
          <w:sz w:val="30"/>
          <w:szCs w:val="30"/>
          <w:color w:val="auto"/>
          <w:vertAlign w:val="superscript"/>
        </w:rPr>
        <w:t>*</w:t>
      </w:r>
    </w:p>
    <w:p>
      <w:pPr>
        <w:spacing w:after="0" w:line="12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w:t>
      </w:r>
      <w:r>
        <w:rPr>
          <w:rFonts w:ascii="Arial" w:cs="Arial" w:eastAsia="Arial" w:hAnsi="Arial"/>
          <w:sz w:val="30"/>
          <w:szCs w:val="30"/>
          <w:color w:val="auto"/>
          <w:vertAlign w:val="superscript"/>
        </w:rPr>
        <w:t>(3)</w:t>
      </w:r>
    </w:p>
    <w:p>
      <w:pPr>
        <w:spacing w:after="0" w:line="12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10.2</w:t>
      </w:r>
      <w:r>
        <w:rPr>
          <w:rFonts w:ascii="Arial" w:cs="Arial" w:eastAsia="Arial" w:hAnsi="Arial"/>
          <w:sz w:val="30"/>
          <w:szCs w:val="30"/>
          <w:color w:val="auto"/>
          <w:vertAlign w:val="superscript"/>
        </w:rPr>
        <w:t>(4)</w:t>
      </w:r>
    </w:p>
    <w:p>
      <w:pPr>
        <w:spacing w:after="0" w:line="12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10.3</w:t>
      </w:r>
      <w:r>
        <w:rPr>
          <w:rFonts w:ascii="Arial" w:cs="Arial" w:eastAsia="Arial" w:hAnsi="Arial"/>
          <w:sz w:val="30"/>
          <w:szCs w:val="30"/>
          <w:color w:val="auto"/>
          <w:vertAlign w:val="superscript"/>
        </w:rPr>
        <w:t>(5)</w:t>
      </w:r>
    </w:p>
    <w:p>
      <w:pPr>
        <w:spacing w:after="0" w:line="12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23.1</w:t>
      </w:r>
      <w:r>
        <w:rPr>
          <w:rFonts w:ascii="Arial" w:cs="Arial" w:eastAsia="Arial" w:hAnsi="Arial"/>
          <w:sz w:val="30"/>
          <w:szCs w:val="30"/>
          <w:color w:val="auto"/>
          <w:vertAlign w:val="superscript"/>
        </w:rPr>
        <w:t>*</w:t>
      </w:r>
    </w:p>
    <w:p>
      <w:pPr>
        <w:spacing w:after="0" w:line="20" w:lineRule="exact"/>
        <w:rPr>
          <w:sz w:val="20"/>
          <w:szCs w:val="20"/>
          <w:color w:val="auto"/>
        </w:rPr>
      </w:pPr>
      <w:r>
        <w:rPr>
          <w:sz w:val="20"/>
          <w:szCs w:val="20"/>
          <w:color w:val="auto"/>
        </w:rPr>
        <w:br w:type="column"/>
      </w:r>
    </w:p>
    <w:p>
      <w:pPr>
        <w:jc w:val="center"/>
        <w:ind w:right="3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2261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Certificate of Incorporation of the Registrant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By-Laws of the Registrant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Opinion of Golenbock Eiseman Assor Bell &amp; Peskoe LLP</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Securities Purchase Agreement, dated December 19, 2016, among the Registrant and the investors identified therein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Form of Registration Rights Agreement among the Registrant and the investors identified therein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Consent of KMJ Corbin &amp; Company LLP</w:t>
      </w:r>
    </w:p>
    <w:p>
      <w:pPr>
        <w:spacing w:after="0" w:line="265" w:lineRule="exact"/>
        <w:rPr>
          <w:sz w:val="20"/>
          <w:szCs w:val="20"/>
          <w:color w:val="auto"/>
        </w:rPr>
      </w:pPr>
    </w:p>
    <w:p>
      <w:pPr>
        <w:sectPr>
          <w:pgSz w:w="11900" w:h="16838" w:orient="portrait"/>
          <w:cols w:equalWidth="0" w:num="2">
            <w:col w:w="1000" w:space="620"/>
            <w:col w:w="8599"/>
          </w:cols>
          <w:pgMar w:left="240" w:top="688" w:right="1440" w:bottom="1440" w:gutter="0" w:footer="0" w:header="0"/>
        </w:sectPr>
      </w:pPr>
    </w:p>
    <w:tbl>
      <w:tblPr>
        <w:tblLayout w:type="fixed"/>
        <w:tblInd w:w="540" w:type="dxa"/>
        <w:tblCellMar>
          <w:top w:w="0" w:type="dxa"/>
          <w:left w:w="0" w:type="dxa"/>
          <w:bottom w:w="0" w:type="dxa"/>
          <w:right w:w="0" w:type="dxa"/>
        </w:tblCellMar>
      </w:tblPr>
      <w:tr>
        <w:trPr>
          <w:trHeight w:val="230"/>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23.2</w:t>
            </w:r>
          </w:p>
        </w:tc>
        <w:tc>
          <w:tcPr>
            <w:tcW w:w="6380" w:type="dxa"/>
            <w:vAlign w:val="bottom"/>
          </w:tcPr>
          <w:p>
            <w:pPr>
              <w:ind w:left="380"/>
              <w:spacing w:after="0"/>
              <w:rPr>
                <w:sz w:val="20"/>
                <w:szCs w:val="20"/>
                <w:color w:val="auto"/>
              </w:rPr>
            </w:pPr>
            <w:r>
              <w:rPr>
                <w:rFonts w:ascii="Arial" w:cs="Arial" w:eastAsia="Arial" w:hAnsi="Arial"/>
                <w:sz w:val="18"/>
                <w:szCs w:val="18"/>
                <w:color w:val="auto"/>
                <w:w w:val="91"/>
              </w:rPr>
              <w:t>Consent of Golenbock Eiseman Assor Bell &amp; Peskoe LLP (included in Exhibit 5.1)</w:t>
            </w:r>
          </w:p>
        </w:tc>
      </w:tr>
      <w:tr>
        <w:trPr>
          <w:trHeight w:val="432"/>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24.1</w:t>
            </w:r>
          </w:p>
        </w:tc>
        <w:tc>
          <w:tcPr>
            <w:tcW w:w="6380" w:type="dxa"/>
            <w:vAlign w:val="bottom"/>
          </w:tcPr>
          <w:p>
            <w:pPr>
              <w:ind w:left="38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3.1 to the Annual Report on Form 10-K filed by the Registrant on March 12, 2015.</w:t>
      </w:r>
    </w:p>
    <w:p>
      <w:pPr>
        <w:spacing w:after="0" w:line="34" w:lineRule="exact"/>
        <w:rPr>
          <w:rFonts w:ascii="Arial" w:cs="Arial" w:eastAsia="Arial" w:hAnsi="Arial"/>
          <w:sz w:val="17"/>
          <w:szCs w:val="17"/>
          <w:color w:val="auto"/>
        </w:rPr>
      </w:pPr>
    </w:p>
    <w:p>
      <w:pPr>
        <w:ind w:left="180" w:hanging="172"/>
        <w:spacing w:after="0"/>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3.2 to the Annual Report on Form 10-K filed by the Registrant on March 28, 2014.</w:t>
      </w:r>
    </w:p>
    <w:p>
      <w:pPr>
        <w:spacing w:after="0" w:line="20" w:lineRule="exact"/>
        <w:rPr>
          <w:rFonts w:ascii="Arial" w:cs="Arial" w:eastAsia="Arial" w:hAnsi="Arial"/>
          <w:sz w:val="17"/>
          <w:szCs w:val="17"/>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10.1 to the Current Report on Form 8-K filed by the Registrant on December 23, 2016.</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10.2 to the Current Report on Form 8-K filed by the Registrant on December 23, 2016.</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10.3 to the Current Report on Form 8-K filed by the Registrant on December 23, 2016.</w:t>
      </w:r>
    </w:p>
    <w:p>
      <w:pPr>
        <w:spacing w:after="0" w:line="23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type w:val="continuous"/>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Golenbock Eiseman Assor Bell &amp; Peskoe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711 Third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acted as counsel to Imprimis Pharmaceuticals, Inc., a Delaware corporation (the “Company”), in connection with the Registration Statement on Form S-3 (the “Registration Statement”) filed by the Company under the Securities Act of 1933, as amended (the “Securities Act”), relating to the sale from time to time by certain selling stockholders of an aggregate of 10,725,969 shares (the “Shares”) of common stock, $0.001 par value per share, of the Company (the “Common Stock”). The Shares consist of (i) 5,257,828 outstanding shares (the “Issued Shares”) of Common Stock and (ii) 5,468,141 shares (the “Warrant Shares”) of Common Stock that may be acquired upon exercise of outstanding warrants (“Warrants”). The Shares may be sold or delivered from time to time as set forth in the Registration Statement, any amendment thereto, the prospectus contained therein (the “Prospectus”) and supplements to the Prospectus and pursuant to Rule 415 under the Securities 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examined and reviewed only such documents, records and matters of law as we have deemed necessary or appropriate for the purpose of rendering the opinion set forth herein. Insofar as the opinion set forth herein is based on factual matters in connection with, among other things, the issuance of the Shares, which factual matters are authenticated in certificates from certain officers of the Company, we have relied on such certificates. We have assumed the genuineness of all signatures, the authenticity of all documents submitted to us as originals and the conformity to originals of all documents submitted to us as certified or reproduced copies.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basis of the foregoing and in reliance thereon, and subject to the qualifications herein stated, we are of the opinion that (a) the Issued Shares have been duly authorized and validly issued and are fully paid and non-assessable and (b) the Warrant Shares issuable upon exercise of the Warrants have been duly authorized, and upon issuance in conformity with and pursuant to terms and conditions of the Warrants, and following receipt by the Company of the consideration therefor as specified in the Warrants, the Warrant Shares will be validly issued, fully paid and non-assessable.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express no opinion as to the applicability or effect of any laws, orders or judgments of any state or other jurisdiction other than federal securities laws and the General Corporation Law of the State of Delaware. Further, this opinion is based solely upon existing laws, rules and regulations, and we undertake no obligation to advise you of any changes that may be brought to our attention after the date hereof. This opinion is expressly limited to the matters set forth above and we render no opinion, whether by implication or otherwise, as to any other matters relating to the Company or the Shares.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opinion is issued to you solely for use in connection with the Registration Statement and is not to be quoted or otherwise referred to in any financial statements of the Company or any other document, nor is it to be filed with or furnished to any government agency or other person, without our prior written consent.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Prospectus which forms part of the Registration Statement. In giving this consent, we do not admit that we are within the category of persons whose consent is required under Section 7 of the Securities Act or the rules and regulations of the Securities and Exchange Commission adopted under the Securities Act.</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Golenbock Eiseman Assor Bell &amp; Peskoe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March 23, 2016, relating to the consolidated financial statements of Imprimis Pharmaceuticals, Inc. and subsidiaries, appearing in the Annual Report on Form 10-K of Imprimis Pharmaceuticals, Inc. for the year ended December 31, 2015, and to the reference to us under the heading “Experts” in the Prospectus, which is part of this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9"/>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Roman"/>
      <w:start w:val="1"/>
    </w:lvl>
  </w:abstractNum>
  <w:abstractNum w:abstractNumId="7">
    <w:nsid w:val="5BD062C2"/>
    <w:multiLevelType w:val="hybridMultilevel"/>
    <w:lvl w:ilvl="0">
      <w:lvlJc w:val="left"/>
      <w:lvlText w:val="(%1)"/>
      <w:numFmt w:val="decimal"/>
      <w:start w:val="2"/>
    </w:lvl>
    <w:lvl w:ilvl="1">
      <w:lvlJc w:val="left"/>
      <w:lvlText w:val="(%2)"/>
      <w:numFmt w:val="upperLetter"/>
      <w:start w:val="1"/>
    </w:lvl>
  </w:abstractNum>
  <w:abstractNum w:abstractNumId="8">
    <w:nsid w:val="12200854"/>
    <w:multiLevelType w:val="hybridMultilevel"/>
    <w:lvl w:ilvl="0">
      <w:lvlJc w:val="left"/>
      <w:lvlText w:val="(%1)"/>
      <w:numFmt w:val="decimal"/>
      <w:start w:val="5"/>
    </w:lvl>
    <w:lvl w:ilvl="1">
      <w:lvlJc w:val="left"/>
      <w:lvlText w:val="(%2)"/>
      <w:numFmt w:val="lowerRoman"/>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2020-01-15T22:33:29Z</dcterms:created>
  <dcterms:modified xsi:type="dcterms:W3CDTF">2020-01-15T22:33:29Z</dcterms:modified>
</cp:coreProperties>
</file>