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14,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17145</wp:posOffset>
            </wp:positionV>
            <wp:extent cx="39262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26205"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453"/>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60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17"/>
                <w:szCs w:val="17"/>
                <w:color w:val="auto"/>
              </w:rPr>
            </w:pPr>
          </w:p>
        </w:tc>
        <w:tc>
          <w:tcPr>
            <w:tcW w:w="2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17"/>
                <w:szCs w:val="17"/>
                <w:color w:val="auto"/>
              </w:rPr>
            </w:pPr>
          </w:p>
        </w:tc>
        <w:tc>
          <w:tcPr>
            <w:tcW w:w="4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The NASDAQ Global Market</w:t>
            </w:r>
          </w:p>
        </w:tc>
      </w:tr>
      <w:tr>
        <w:trPr>
          <w:trHeight w:val="230"/>
        </w:trPr>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8.625% Senior Notes due 2026</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HROWL</w:t>
            </w:r>
          </w:p>
        </w:tc>
        <w:tc>
          <w:tcPr>
            <w:tcW w:w="4600" w:type="dxa"/>
            <w:vAlign w:val="bottom"/>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14, 2022, Harrow Health, Inc. (the “Company”) issued a press release and a letter to stockholders announcing its financial results for the period ended September 30, 2022 and an update on recent corporate events.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Harrow Health, Inc. on November 14, 2022</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Letter to Stockholders by Harrow Health, Inc. dated November 14, 2022</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40180"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Announces Third Quarter 2022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Recent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 approval of IHEEZO™ for ocular surface anesthesia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 of Fortisite™, fortified antibiotics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 of atropine.com™ compounded atropine portal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$22.8 million, up 22% over $18.7 million for the prior-year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Nearly $1 million firm order revenue backlog at September 30,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units shipped of 703,000, up 21% from prior-year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of $45.0 million as of September 30, 2022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NASHVILLE, Tenn., November 14, 2022 – Harrow (NASDAQ: HROW), an eyecare pharmaceutical company exclusively focused on the discovery, development, and commercialization of innovative ophthalmic therapies, today announced results for the third quarter ended September 30, 2022. The Company also posted its third quarter </w:t>
      </w:r>
      <w:r>
        <w:rPr>
          <w:rFonts w:ascii="Arial" w:cs="Arial" w:eastAsia="Arial" w:hAnsi="Arial"/>
          <w:sz w:val="17"/>
          <w:szCs w:val="17"/>
          <w:u w:val="single" w:color="auto"/>
          <w:color w:val="auto"/>
        </w:rPr>
        <w:t>Letter to Stockholders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corporate presentation</w:t>
      </w:r>
      <w:r>
        <w:rPr>
          <w:rFonts w:ascii="Arial" w:cs="Arial" w:eastAsia="Arial" w:hAnsi="Arial"/>
          <w:sz w:val="17"/>
          <w:szCs w:val="17"/>
          <w:color w:val="auto"/>
        </w:rPr>
        <w:t xml:space="preserve"> to the “Investors” section of its website, </w:t>
      </w:r>
      <w:r>
        <w:rPr>
          <w:rFonts w:ascii="Arial" w:cs="Arial" w:eastAsia="Arial" w:hAnsi="Arial"/>
          <w:sz w:val="17"/>
          <w:szCs w:val="17"/>
          <w:u w:val="single" w:color="auto"/>
          <w:color w:val="auto"/>
        </w:rPr>
        <w:t>harrowinc.com</w:t>
      </w:r>
      <w:r>
        <w:rPr>
          <w:rFonts w:ascii="Arial" w:cs="Arial" w:eastAsia="Arial" w:hAnsi="Arial"/>
          <w:sz w:val="17"/>
          <w:szCs w:val="17"/>
          <w:color w:val="auto"/>
        </w:rPr>
        <w:t>.</w:t>
      </w:r>
    </w:p>
    <w:p>
      <w:pPr>
        <w:spacing w:after="0" w:line="16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second half of 2022 is on track to be a true inflection point for Harrow,” said Mark L. Baum, CEO of Harrow. “During the third quarter, in the face of a return to seasonal/summer demand fluctuations, supply chain issues, and increased operating costs due to inflation, the Harrow team made great progress</w:t>
      </w:r>
    </w:p>
    <w:p>
      <w:pPr>
        <w:jc w:val="both"/>
        <w:spacing w:after="0" w:line="267" w:lineRule="auto"/>
        <w:rPr>
          <w:sz w:val="20"/>
          <w:szCs w:val="20"/>
          <w:color w:val="auto"/>
        </w:rPr>
      </w:pPr>
      <w:r>
        <w:rPr>
          <w:rFonts w:ascii="Arial" w:cs="Arial" w:eastAsia="Arial" w:hAnsi="Arial"/>
          <w:sz w:val="16"/>
          <w:szCs w:val="16"/>
          <w:color w:val="auto"/>
        </w:rPr>
        <w:t>in advancing our Five-Year Strategic Plan, including receiving approval on September 27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from the U.S. Food and Drug Administration (FDA) for IHEEZO (formerly known as AMP-100) for ocular surface anesthesia. A few days later, we launched a new suite of compounded products – Fortisite, a patent-pending family of high-concentration refrigeration-stable fortified antibiotics. Just after the close of the third quarter, we sold our non-ophthalmology compounded product line, which will enhance our balance sheet in the fourth quarter and, importantly, marked the achievement of a strategic imperative – to be a pure-play company that is 100% focused on the U.S. ophthalmic pharmaceutical market. And our momentum is continuing with the launch of </w:t>
      </w:r>
      <w:r>
        <w:rPr>
          <w:rFonts w:ascii="Arial" w:cs="Arial" w:eastAsia="Arial" w:hAnsi="Arial"/>
          <w:sz w:val="16"/>
          <w:szCs w:val="16"/>
          <w:u w:val="single" w:color="auto"/>
          <w:color w:val="auto"/>
        </w:rPr>
        <w:t>atropine.com</w:t>
      </w:r>
      <w:r>
        <w:rPr>
          <w:rFonts w:ascii="Arial" w:cs="Arial" w:eastAsia="Arial" w:hAnsi="Arial"/>
          <w:sz w:val="16"/>
          <w:szCs w:val="16"/>
          <w:color w:val="auto"/>
        </w:rPr>
        <w:t xml:space="preserve"> to market a family of patent-pending compounded atropine formulations to address a significant unmet need.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believe each of these events represents a significant achievement for Harrow; however, taken as a whole, along with the progress we made in some of the acquisition opportunities we’ve been pursuing, we are executing a transformation of our company with a line of sight towards achieving our strategic objective – </w:t>
      </w:r>
      <w:r>
        <w:rPr>
          <w:rFonts w:ascii="Arial" w:cs="Arial" w:eastAsia="Arial" w:hAnsi="Arial"/>
          <w:sz w:val="18"/>
          <w:szCs w:val="18"/>
          <w:i w:val="1"/>
          <w:iCs w:val="1"/>
          <w:color w:val="auto"/>
        </w:rPr>
        <w:t>taking advantage of what we believe is a once-in-a-generation opportunity to build a small company like Harrow into a leading U.S.</w:t>
      </w:r>
      <w:r>
        <w:rPr>
          <w:rFonts w:ascii="Arial" w:cs="Arial" w:eastAsia="Arial" w:hAnsi="Arial"/>
          <w:sz w:val="18"/>
          <w:szCs w:val="18"/>
          <w:color w:val="auto"/>
        </w:rPr>
        <w:t xml:space="preserve"> </w:t>
      </w:r>
      <w:r>
        <w:rPr>
          <w:rFonts w:ascii="Arial" w:cs="Arial" w:eastAsia="Arial" w:hAnsi="Arial"/>
          <w:sz w:val="18"/>
          <w:szCs w:val="18"/>
          <w:i w:val="1"/>
          <w:iCs w:val="1"/>
          <w:color w:val="auto"/>
        </w:rPr>
        <w:t>ophthalmic pharmaceutical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Third quarter figures of merit:</w:t>
            </w:r>
          </w:p>
        </w:tc>
        <w:tc>
          <w:tcPr>
            <w:tcW w:w="300" w:type="dxa"/>
            <w:vAlign w:val="bottom"/>
          </w:tcPr>
          <w:p>
            <w:pPr>
              <w:spacing w:after="0"/>
              <w:rPr>
                <w:sz w:val="20"/>
                <w:szCs w:val="20"/>
                <w:color w:val="auto"/>
              </w:rPr>
            </w:pPr>
          </w:p>
        </w:tc>
        <w:tc>
          <w:tcPr>
            <w:tcW w:w="3360" w:type="dxa"/>
            <w:vAlign w:val="bottom"/>
            <w:gridSpan w:val="5"/>
            <w:vMerge w:val="restart"/>
          </w:tcPr>
          <w:p>
            <w:pPr>
              <w:jc w:val="center"/>
              <w:ind w:right="680"/>
              <w:spacing w:after="0"/>
              <w:rPr>
                <w:sz w:val="20"/>
                <w:szCs w:val="20"/>
                <w:color w:val="auto"/>
              </w:rPr>
            </w:pPr>
            <w:r>
              <w:rPr>
                <w:rFonts w:ascii="Arial" w:cs="Arial" w:eastAsia="Arial" w:hAnsi="Arial"/>
                <w:sz w:val="18"/>
                <w:szCs w:val="18"/>
                <w:b w:val="1"/>
                <w:bCs w:val="1"/>
                <w:color w:val="auto"/>
                <w:w w:val="91"/>
              </w:rPr>
              <w:t>For the Three Months Ended</w:t>
            </w:r>
          </w:p>
        </w:tc>
        <w:tc>
          <w:tcPr>
            <w:tcW w:w="300" w:type="dxa"/>
            <w:vAlign w:val="bottom"/>
          </w:tcPr>
          <w:p>
            <w:pPr>
              <w:spacing w:after="0"/>
              <w:rPr>
                <w:sz w:val="20"/>
                <w:szCs w:val="20"/>
                <w:color w:val="auto"/>
              </w:rPr>
            </w:pPr>
          </w:p>
        </w:tc>
        <w:tc>
          <w:tcPr>
            <w:tcW w:w="3120" w:type="dxa"/>
            <w:vAlign w:val="bottom"/>
            <w:gridSpan w:val="5"/>
            <w:vMerge w:val="restart"/>
          </w:tcPr>
          <w:p>
            <w:pPr>
              <w:jc w:val="center"/>
              <w:ind w:right="460"/>
              <w:spacing w:after="0"/>
              <w:rPr>
                <w:sz w:val="20"/>
                <w:szCs w:val="20"/>
                <w:color w:val="auto"/>
              </w:rPr>
            </w:pPr>
            <w:r>
              <w:rPr>
                <w:rFonts w:ascii="Arial" w:cs="Arial" w:eastAsia="Arial" w:hAnsi="Arial"/>
                <w:sz w:val="18"/>
                <w:szCs w:val="18"/>
                <w:b w:val="1"/>
                <w:bCs w:val="1"/>
                <w:color w:val="auto"/>
                <w:w w:val="91"/>
              </w:rPr>
              <w:t>For the Nine Months Ended</w:t>
            </w: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22,823,000</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68,266,000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52,288,000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6"/>
        </w:trPr>
        <w:tc>
          <w:tcPr>
            <w:tcW w:w="41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Core gross margin</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(6,464,000)</w:t>
            </w:r>
          </w:p>
        </w:tc>
        <w:tc>
          <w:tcPr>
            <w:tcW w:w="4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(8,328,000)</w:t>
            </w:r>
          </w:p>
        </w:tc>
        <w:tc>
          <w:tcPr>
            <w:tcW w:w="3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(15,141,000)</w:t>
            </w: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(11,061,000)</w:t>
            </w:r>
          </w:p>
        </w:tc>
        <w:tc>
          <w:tcPr>
            <w:tcW w:w="0" w:type="dxa"/>
            <w:vAlign w:val="bottom"/>
          </w:tcPr>
          <w:p>
            <w:pPr>
              <w:spacing w:after="0"/>
              <w:rPr>
                <w:sz w:val="1"/>
                <w:szCs w:val="1"/>
                <w:color w:val="auto"/>
              </w:rPr>
            </w:pPr>
          </w:p>
        </w:tc>
      </w:tr>
      <w:tr>
        <w:trPr>
          <w:trHeight w:val="256"/>
        </w:trPr>
        <w:tc>
          <w:tcPr>
            <w:tcW w:w="41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Core net loss</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(1,531,000)</w:t>
            </w:r>
          </w:p>
        </w:tc>
        <w:tc>
          <w:tcPr>
            <w:tcW w:w="4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(5,359,000)</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(564,000)</w:t>
            </w:r>
          </w:p>
        </w:tc>
        <w:tc>
          <w:tcPr>
            <w:tcW w:w="4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(828,000)</w:t>
            </w:r>
          </w:p>
        </w:tc>
        <w:tc>
          <w:tcPr>
            <w:tcW w:w="0" w:type="dxa"/>
            <w:vAlign w:val="bottom"/>
          </w:tcPr>
          <w:p>
            <w:pPr>
              <w:spacing w:after="0"/>
              <w:rPr>
                <w:sz w:val="1"/>
                <w:szCs w:val="1"/>
                <w:color w:val="auto"/>
              </w:rPr>
            </w:pPr>
          </w:p>
        </w:tc>
      </w:tr>
      <w:tr>
        <w:trPr>
          <w:trHeight w:val="257"/>
        </w:trPr>
        <w:tc>
          <w:tcPr>
            <w:tcW w:w="4160" w:type="dxa"/>
            <w:vAlign w:val="bottom"/>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(1)(2)</w:t>
            </w:r>
          </w:p>
        </w:tc>
        <w:tc>
          <w:tcPr>
            <w:tcW w:w="300" w:type="dxa"/>
            <w:vAlign w:val="bottom"/>
          </w:tcPr>
          <w:p>
            <w:pPr>
              <w:spacing w:after="0"/>
              <w:rPr>
                <w:sz w:val="22"/>
                <w:szCs w:val="22"/>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2,483,000</w:t>
            </w:r>
          </w:p>
        </w:tc>
        <w:tc>
          <w:tcPr>
            <w:tcW w:w="46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(78,000)</w:t>
            </w:r>
          </w:p>
        </w:tc>
        <w:tc>
          <w:tcPr>
            <w:tcW w:w="300" w:type="dxa"/>
            <w:vAlign w:val="bottom"/>
          </w:tcPr>
          <w:p>
            <w:pPr>
              <w:spacing w:after="0"/>
              <w:rPr>
                <w:sz w:val="22"/>
                <w:szCs w:val="22"/>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11,928,000</w:t>
            </w:r>
          </w:p>
        </w:tc>
        <w:tc>
          <w:tcPr>
            <w:tcW w:w="4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9,896,000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(0.24)</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(0.55)</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390"/>
        </w:trPr>
        <w:tc>
          <w:tcPr>
            <w:tcW w:w="4160" w:type="dxa"/>
            <w:vAlign w:val="bottom"/>
          </w:tcPr>
          <w:p>
            <w:pPr>
              <w:spacing w:after="0"/>
              <w:rPr>
                <w:sz w:val="20"/>
                <w:szCs w:val="20"/>
                <w:color w:val="auto"/>
              </w:rPr>
            </w:pPr>
            <w:r>
              <w:rPr>
                <w:rFonts w:ascii="Arial" w:cs="Arial" w:eastAsia="Arial" w:hAnsi="Arial"/>
                <w:sz w:val="18"/>
                <w:szCs w:val="18"/>
                <w:color w:val="auto"/>
              </w:rPr>
              <w:t>Core diluted net loss per share</w:t>
            </w:r>
            <w:r>
              <w:rPr>
                <w:rFonts w:ascii="Arial" w:cs="Arial" w:eastAsia="Arial" w:hAnsi="Arial"/>
                <w:sz w:val="29"/>
                <w:szCs w:val="29"/>
                <w:color w:val="auto"/>
                <w:vertAlign w:val="superscript"/>
              </w:rPr>
              <w:t>(1)</w:t>
            </w:r>
          </w:p>
        </w:tc>
        <w:tc>
          <w:tcPr>
            <w:tcW w:w="30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(0.06)</w:t>
            </w:r>
          </w:p>
        </w:tc>
        <w:tc>
          <w:tcPr>
            <w:tcW w:w="46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30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340" w:hanging="332"/>
        <w:spacing w:after="0" w:line="219" w:lineRule="auto"/>
        <w:tabs>
          <w:tab w:leader="none" w:pos="340" w:val="left"/>
        </w:tabs>
        <w:numPr>
          <w:ilvl w:val="0"/>
          <w:numId w:val="4"/>
        </w:numPr>
        <w:rPr>
          <w:rFonts w:ascii="Arial" w:cs="Arial" w:eastAsia="Arial" w:hAnsi="Arial"/>
          <w:sz w:val="29"/>
          <w:szCs w:val="29"/>
          <w:color w:val="auto"/>
          <w:vertAlign w:val="superscript"/>
        </w:rPr>
      </w:pPr>
      <w:r>
        <w:rPr>
          <w:rFonts w:ascii="Arial" w:cs="Arial" w:eastAsia="Arial" w:hAnsi="Arial"/>
          <w:sz w:val="17"/>
          <w:szCs w:val="17"/>
          <w:color w:val="auto"/>
        </w:rPr>
        <w:t xml:space="preserve">Core gross margin, core net loss, core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w:t>
      </w:r>
      <w:r>
        <w:rPr>
          <w:rFonts w:ascii="Arial" w:cs="Arial" w:eastAsia="Arial" w:hAnsi="Arial"/>
          <w:sz w:val="17"/>
          <w:szCs w:val="17"/>
          <w:u w:val="single" w:color="auto"/>
          <w:color w:val="auto"/>
        </w:rPr>
        <w:t>at the end</w:t>
      </w:r>
      <w:r>
        <w:rPr>
          <w:rFonts w:ascii="Arial" w:cs="Arial" w:eastAsia="Arial" w:hAnsi="Arial"/>
          <w:sz w:val="17"/>
          <w:szCs w:val="17"/>
          <w:color w:val="auto"/>
        </w:rPr>
        <w:t xml:space="preserve"> of this release.</w:t>
      </w:r>
    </w:p>
    <w:p>
      <w:pPr>
        <w:spacing w:after="0" w:line="1" w:lineRule="exact"/>
        <w:rPr>
          <w:rFonts w:ascii="Arial" w:cs="Arial" w:eastAsia="Arial" w:hAnsi="Arial"/>
          <w:sz w:val="29"/>
          <w:szCs w:val="29"/>
          <w:color w:val="auto"/>
          <w:vertAlign w:val="superscript"/>
        </w:rPr>
      </w:pPr>
    </w:p>
    <w:p>
      <w:pPr>
        <w:jc w:val="both"/>
        <w:ind w:left="340" w:hanging="332"/>
        <w:spacing w:after="0" w:line="204"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Company recently made a change to its methodology for reporting of Adjusted EBITDA to include acquired in-process R&amp;D (“IPR&amp;D”) charges. During the 2021 reporting periods, similar IPR&amp;D transactions were excluded from Adjusted EBITDA for reporting purposes. This change is the result of the U.S. Securities and Exchange Commission’s recent industry correspondence on this matter.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HROW Announces Third Quarter 2022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team will host a conference call and live webcast today at 4:45 p.m. Eastern Time to discuss the third quarter results and provide a business update. To participate in the call, see details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Conference Call Details: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Arial" w:cs="Arial" w:eastAsia="Arial" w:hAnsi="Arial"/>
                <w:sz w:val="18"/>
                <w:szCs w:val="18"/>
                <w:b w:val="1"/>
                <w:bCs w:val="1"/>
                <w:color w:val="auto"/>
              </w:rPr>
              <w:t>Date:</w:t>
            </w:r>
          </w:p>
        </w:tc>
        <w:tc>
          <w:tcPr>
            <w:tcW w:w="220" w:type="dxa"/>
            <w:vAlign w:val="bottom"/>
          </w:tcPr>
          <w:p>
            <w:pPr>
              <w:spacing w:after="0"/>
              <w:rPr>
                <w:sz w:val="17"/>
                <w:szCs w:val="17"/>
                <w:color w:val="auto"/>
              </w:rPr>
            </w:pPr>
          </w:p>
        </w:tc>
        <w:tc>
          <w:tcPr>
            <w:tcW w:w="2260" w:type="dxa"/>
            <w:vAlign w:val="bottom"/>
            <w:gridSpan w:val="3"/>
          </w:tcPr>
          <w:p>
            <w:pPr>
              <w:spacing w:after="0" w:line="198" w:lineRule="exact"/>
              <w:rPr>
                <w:sz w:val="20"/>
                <w:szCs w:val="20"/>
                <w:color w:val="auto"/>
              </w:rPr>
            </w:pPr>
            <w:r>
              <w:rPr>
                <w:rFonts w:ascii="Arial" w:cs="Arial" w:eastAsia="Arial" w:hAnsi="Arial"/>
                <w:sz w:val="18"/>
                <w:szCs w:val="18"/>
                <w:color w:val="auto"/>
                <w:w w:val="96"/>
              </w:rPr>
              <w:t>Monday, November 14, 2022</w:t>
            </w: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2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Arial" w:cs="Arial" w:eastAsia="Arial" w:hAnsi="Arial"/>
                <w:sz w:val="18"/>
                <w:szCs w:val="18"/>
                <w:color w:val="auto"/>
              </w:rPr>
              <w:t>4:45 p.m. Eastern time</w:t>
            </w:r>
          </w:p>
        </w:tc>
        <w:tc>
          <w:tcPr>
            <w:tcW w:w="0" w:type="dxa"/>
            <w:vAlign w:val="bottom"/>
          </w:tcPr>
          <w:p>
            <w:pPr>
              <w:spacing w:after="0"/>
              <w:rPr>
                <w:sz w:val="1"/>
                <w:szCs w:val="1"/>
                <w:color w:val="auto"/>
              </w:rPr>
            </w:pPr>
          </w:p>
        </w:tc>
      </w:tr>
      <w:tr>
        <w:trPr>
          <w:trHeight w:val="216"/>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Participant Dial-in:</w:t>
            </w:r>
          </w:p>
        </w:tc>
        <w:tc>
          <w:tcPr>
            <w:tcW w:w="220" w:type="dxa"/>
            <w:vAlign w:val="bottom"/>
          </w:tcPr>
          <w:p>
            <w:pPr>
              <w:spacing w:after="0"/>
              <w:rPr>
                <w:sz w:val="18"/>
                <w:szCs w:val="18"/>
                <w:color w:val="auto"/>
              </w:rPr>
            </w:pPr>
          </w:p>
        </w:tc>
        <w:tc>
          <w:tcPr>
            <w:tcW w:w="2260" w:type="dxa"/>
            <w:vAlign w:val="bottom"/>
            <w:gridSpan w:val="3"/>
          </w:tcPr>
          <w:p>
            <w:pPr>
              <w:spacing w:after="0"/>
              <w:rPr>
                <w:sz w:val="20"/>
                <w:szCs w:val="20"/>
                <w:color w:val="auto"/>
              </w:rPr>
            </w:pPr>
            <w:r>
              <w:rPr>
                <w:rFonts w:ascii="Arial" w:cs="Arial" w:eastAsia="Arial" w:hAnsi="Arial"/>
                <w:sz w:val="18"/>
                <w:szCs w:val="18"/>
                <w:color w:val="auto"/>
              </w:rPr>
              <w:t>1-833-953-2434 (U.S.)</w:t>
            </w:r>
          </w:p>
        </w:tc>
        <w:tc>
          <w:tcPr>
            <w:tcW w:w="0" w:type="dxa"/>
            <w:vAlign w:val="bottom"/>
          </w:tcPr>
          <w:p>
            <w:pPr>
              <w:spacing w:after="0"/>
              <w:rPr>
                <w:sz w:val="1"/>
                <w:szCs w:val="1"/>
                <w:color w:val="auto"/>
              </w:rPr>
            </w:pPr>
          </w:p>
        </w:tc>
      </w:tr>
      <w:tr>
        <w:trPr>
          <w:trHeight w:val="212"/>
        </w:trPr>
        <w:tc>
          <w:tcPr>
            <w:tcW w:w="5520" w:type="dxa"/>
            <w:vAlign w:val="bottom"/>
            <w:vMerge w:val="continue"/>
          </w:tcPr>
          <w:p>
            <w:pPr>
              <w:spacing w:after="0"/>
              <w:rPr>
                <w:sz w:val="18"/>
                <w:szCs w:val="18"/>
                <w:color w:val="auto"/>
              </w:rPr>
            </w:pPr>
          </w:p>
        </w:tc>
        <w:tc>
          <w:tcPr>
            <w:tcW w:w="1420" w:type="dxa"/>
            <w:vAlign w:val="bottom"/>
            <w:gridSpan w:val="3"/>
          </w:tcPr>
          <w:p>
            <w:pPr>
              <w:ind w:left="220"/>
              <w:spacing w:after="0"/>
              <w:rPr>
                <w:sz w:val="20"/>
                <w:szCs w:val="20"/>
                <w:color w:val="auto"/>
              </w:rPr>
            </w:pPr>
            <w:r>
              <w:rPr>
                <w:rFonts w:ascii="Arial" w:cs="Arial" w:eastAsia="Arial" w:hAnsi="Arial"/>
                <w:sz w:val="18"/>
                <w:szCs w:val="18"/>
                <w:color w:val="auto"/>
                <w:w w:val="92"/>
              </w:rPr>
              <w:t>1-412-317-5763</w:t>
            </w:r>
          </w:p>
        </w:tc>
        <w:tc>
          <w:tcPr>
            <w:tcW w:w="1060" w:type="dxa"/>
            <w:vAlign w:val="bottom"/>
          </w:tcPr>
          <w:p>
            <w:pPr>
              <w:ind w:left="20"/>
              <w:spacing w:after="0"/>
              <w:rPr>
                <w:sz w:val="20"/>
                <w:szCs w:val="20"/>
                <w:color w:val="auto"/>
              </w:rPr>
            </w:pPr>
            <w:r>
              <w:rPr>
                <w:rFonts w:ascii="Arial" w:cs="Arial" w:eastAsia="Arial" w:hAnsi="Arial"/>
                <w:sz w:val="18"/>
                <w:szCs w:val="18"/>
                <w:color w:val="auto"/>
                <w:w w:val="91"/>
              </w:rPr>
              <w:t>(International)</w:t>
            </w: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Replay Dial-in (Passcode 7735845):</w:t>
            </w:r>
          </w:p>
        </w:tc>
        <w:tc>
          <w:tcPr>
            <w:tcW w:w="1420" w:type="dxa"/>
            <w:vAlign w:val="bottom"/>
            <w:gridSpan w:val="3"/>
          </w:tcPr>
          <w:p>
            <w:pPr>
              <w:ind w:left="220"/>
              <w:spacing w:after="0"/>
              <w:rPr>
                <w:sz w:val="20"/>
                <w:szCs w:val="20"/>
                <w:color w:val="auto"/>
              </w:rPr>
            </w:pPr>
            <w:r>
              <w:rPr>
                <w:rFonts w:ascii="Arial" w:cs="Arial" w:eastAsia="Arial" w:hAnsi="Arial"/>
                <w:sz w:val="18"/>
                <w:szCs w:val="18"/>
                <w:color w:val="auto"/>
                <w:w w:val="92"/>
              </w:rPr>
              <w:t>1-877-344-7529</w:t>
            </w:r>
          </w:p>
        </w:tc>
        <w:tc>
          <w:tcPr>
            <w:tcW w:w="106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(telephonic replay through November 21, 2022)</w:t>
            </w:r>
          </w:p>
        </w:tc>
        <w:tc>
          <w:tcPr>
            <w:tcW w:w="1420" w:type="dxa"/>
            <w:vAlign w:val="bottom"/>
            <w:gridSpan w:val="3"/>
          </w:tcPr>
          <w:p>
            <w:pPr>
              <w:ind w:left="220"/>
              <w:spacing w:after="0"/>
              <w:rPr>
                <w:sz w:val="20"/>
                <w:szCs w:val="20"/>
                <w:color w:val="auto"/>
              </w:rPr>
            </w:pPr>
            <w:r>
              <w:rPr>
                <w:rFonts w:ascii="Arial" w:cs="Arial" w:eastAsia="Arial" w:hAnsi="Arial"/>
                <w:sz w:val="18"/>
                <w:szCs w:val="18"/>
                <w:color w:val="auto"/>
                <w:w w:val="92"/>
              </w:rPr>
              <w:t>1-412-317-0088</w:t>
            </w:r>
          </w:p>
        </w:tc>
        <w:tc>
          <w:tcPr>
            <w:tcW w:w="1060" w:type="dxa"/>
            <w:vAlign w:val="bottom"/>
          </w:tcPr>
          <w:p>
            <w:pPr>
              <w:ind w:left="20"/>
              <w:spacing w:after="0"/>
              <w:rPr>
                <w:sz w:val="20"/>
                <w:szCs w:val="20"/>
                <w:color w:val="auto"/>
              </w:rPr>
            </w:pPr>
            <w:r>
              <w:rPr>
                <w:rFonts w:ascii="Arial" w:cs="Arial" w:eastAsia="Arial" w:hAnsi="Arial"/>
                <w:sz w:val="18"/>
                <w:szCs w:val="18"/>
                <w:color w:val="auto"/>
                <w:w w:val="91"/>
              </w:rPr>
              <w:t>(International)</w:t>
            </w:r>
          </w:p>
        </w:tc>
        <w:tc>
          <w:tcPr>
            <w:tcW w:w="0" w:type="dxa"/>
            <w:vAlign w:val="bottom"/>
          </w:tcPr>
          <w:p>
            <w:pPr>
              <w:spacing w:after="0"/>
              <w:rPr>
                <w:sz w:val="1"/>
                <w:szCs w:val="1"/>
                <w:color w:val="auto"/>
              </w:rPr>
            </w:pPr>
          </w:p>
        </w:tc>
      </w:tr>
      <w:tr>
        <w:trPr>
          <w:trHeight w:val="194"/>
        </w:trPr>
        <w:tc>
          <w:tcPr>
            <w:tcW w:w="5520" w:type="dxa"/>
            <w:vAlign w:val="bottom"/>
          </w:tcPr>
          <w:p>
            <w:pPr>
              <w:spacing w:after="0" w:line="194" w:lineRule="exact"/>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b w:val="1"/>
                <w:bCs w:val="1"/>
                <w:i w:val="1"/>
                <w:iCs w:val="1"/>
                <w:color w:val="auto"/>
              </w:rPr>
              <w:t>(online replay through February 14, 2023)</w:t>
            </w:r>
          </w:p>
        </w:tc>
        <w:tc>
          <w:tcPr>
            <w:tcW w:w="220" w:type="dxa"/>
            <w:vAlign w:val="bottom"/>
          </w:tcPr>
          <w:p>
            <w:pPr>
              <w:spacing w:after="0"/>
              <w:rPr>
                <w:sz w:val="16"/>
                <w:szCs w:val="16"/>
                <w:color w:val="auto"/>
              </w:rPr>
            </w:pPr>
          </w:p>
        </w:tc>
        <w:tc>
          <w:tcPr>
            <w:tcW w:w="1200" w:type="dxa"/>
            <w:vAlign w:val="bottom"/>
            <w:gridSpan w:val="2"/>
          </w:tcPr>
          <w:p>
            <w:pPr>
              <w:spacing w:after="0" w:line="194" w:lineRule="exact"/>
              <w:rPr>
                <w:sz w:val="20"/>
                <w:szCs w:val="20"/>
                <w:color w:val="auto"/>
              </w:rPr>
            </w:pPr>
            <w:r>
              <w:rPr>
                <w:rFonts w:ascii="Arial" w:cs="Arial" w:eastAsia="Arial" w:hAnsi="Arial"/>
                <w:sz w:val="18"/>
                <w:szCs w:val="18"/>
                <w:color w:val="auto"/>
              </w:rPr>
              <w:t>harrowinc.com</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Harrow (Nasdaq: HROW) is an eyecare pharmaceutical company exclusively focused on the discovery, development, and commercialization of innovative ophthalmic prescription therapies that are accessible and affordable. For more information about Harrow, please visit the Investors section of the corporate website, </w:t>
      </w:r>
      <w:r>
        <w:rPr>
          <w:rFonts w:ascii="Arial" w:cs="Arial" w:eastAsia="Arial" w:hAnsi="Arial"/>
          <w:sz w:val="18"/>
          <w:szCs w:val="18"/>
          <w:u w:val="single" w:color="auto"/>
          <w:color w:val="auto"/>
        </w:rPr>
        <w:t>harrowinc.com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continued impact of the COVID-19 pandemic and any future health epidemics on our financial condition, liquidity and results of operations; our ability to make commercially available our FDA-approved products and compounded formulations and technologies in a timely manner or at all; market acceptance of the Company’s products and challenges related to the marketing of the Company’s products; risks related to our pharmacy operations; our ability to enter into other strategic alliances, including arrangements with pharmacies, physicians and healthcare organizations for the development and distribution of our products;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products;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HROW Announces Third Quarter 2022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390"/>
              <w:spacing w:after="0"/>
              <w:rPr>
                <w:sz w:val="20"/>
                <w:szCs w:val="20"/>
                <w:color w:val="auto"/>
              </w:rPr>
            </w:pPr>
            <w:r>
              <w:rPr>
                <w:rFonts w:ascii="Arial" w:cs="Arial" w:eastAsia="Arial" w:hAnsi="Arial"/>
                <w:sz w:val="18"/>
                <w:szCs w:val="18"/>
                <w:i w:val="1"/>
                <w:iCs w:val="1"/>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ind w:left="3040"/>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44,959,000</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42,167,000</w:t>
            </w:r>
          </w:p>
        </w:tc>
        <w:tc>
          <w:tcPr>
            <w:tcW w:w="80" w:type="dxa"/>
            <w:vAlign w:val="bottom"/>
          </w:tcPr>
          <w:p>
            <w:pPr>
              <w:spacing w:after="0"/>
              <w:rPr>
                <w:sz w:val="18"/>
                <w:szCs w:val="18"/>
                <w:color w:val="auto"/>
              </w:rPr>
            </w:pPr>
          </w:p>
        </w:tc>
      </w:tr>
      <w:tr>
        <w:trPr>
          <w:trHeight w:val="24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current assets</w:t>
            </w: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19,115,000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18,495,000</w:t>
            </w:r>
          </w:p>
        </w:tc>
        <w:tc>
          <w:tcPr>
            <w:tcW w:w="80" w:type="dxa"/>
            <w:vAlign w:val="bottom"/>
            <w:shd w:val="clear" w:color="auto" w:fill="CCEEFF"/>
          </w:tcPr>
          <w:p>
            <w:pPr>
              <w:spacing w:after="0"/>
              <w:rPr>
                <w:sz w:val="21"/>
                <w:szCs w:val="21"/>
                <w:color w:val="auto"/>
              </w:rPr>
            </w:pPr>
          </w:p>
        </w:tc>
      </w:tr>
      <w:tr>
        <w:trPr>
          <w:trHeight w:val="203"/>
        </w:trPr>
        <w:tc>
          <w:tcPr>
            <w:tcW w:w="61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current assets</w:t>
            </w:r>
          </w:p>
        </w:tc>
        <w:tc>
          <w:tcPr>
            <w:tcW w:w="8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64,074,000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60,662,000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All other assets</w:t>
            </w: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34,918,000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37,667,000</w:t>
            </w:r>
          </w:p>
        </w:tc>
        <w:tc>
          <w:tcPr>
            <w:tcW w:w="80" w:type="dxa"/>
            <w:vAlign w:val="bottom"/>
            <w:shd w:val="clear" w:color="auto" w:fill="CCEEFF"/>
          </w:tcPr>
          <w:p>
            <w:pPr>
              <w:spacing w:after="0"/>
              <w:rPr>
                <w:sz w:val="21"/>
                <w:szCs w:val="21"/>
                <w:color w:val="auto"/>
              </w:rPr>
            </w:pPr>
          </w:p>
        </w:tc>
      </w:tr>
      <w:tr>
        <w:trPr>
          <w:trHeight w:val="257"/>
        </w:trPr>
        <w:tc>
          <w:tcPr>
            <w:tcW w:w="61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98,992,000</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98,329,000</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160" w:type="dxa"/>
            <w:vAlign w:val="bottom"/>
          </w:tcPr>
          <w:p>
            <w:pPr>
              <w:ind w:left="1420"/>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18,371,000</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9,722,000</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Senior April 2026 Notes, net of discount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72,239,000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71,654,000</w:t>
            </w:r>
          </w:p>
        </w:tc>
        <w:tc>
          <w:tcPr>
            <w:tcW w:w="80" w:type="dxa"/>
            <w:vAlign w:val="bottom"/>
          </w:tcPr>
          <w:p>
            <w:pPr>
              <w:spacing w:after="0"/>
              <w:rPr>
                <w:sz w:val="18"/>
                <w:szCs w:val="18"/>
                <w:color w:val="auto"/>
              </w:rPr>
            </w:pPr>
          </w:p>
        </w:tc>
      </w:tr>
      <w:tr>
        <w:trPr>
          <w:trHeight w:val="24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All other liabilities</w:t>
            </w: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7,520,000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6,022,000</w:t>
            </w:r>
          </w:p>
        </w:tc>
        <w:tc>
          <w:tcPr>
            <w:tcW w:w="80" w:type="dxa"/>
            <w:vAlign w:val="bottom"/>
            <w:shd w:val="clear" w:color="auto" w:fill="CCEEFF"/>
          </w:tcPr>
          <w:p>
            <w:pPr>
              <w:spacing w:after="0"/>
              <w:rPr>
                <w:sz w:val="21"/>
                <w:szCs w:val="21"/>
                <w:color w:val="auto"/>
              </w:rPr>
            </w:pPr>
          </w:p>
        </w:tc>
      </w:tr>
      <w:tr>
        <w:trPr>
          <w:trHeight w:val="203"/>
        </w:trPr>
        <w:tc>
          <w:tcPr>
            <w:tcW w:w="61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LIABILITIES</w:t>
            </w:r>
          </w:p>
        </w:tc>
        <w:tc>
          <w:tcPr>
            <w:tcW w:w="8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98,130,000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87,398,000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862,000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10,931,000</w:t>
            </w:r>
          </w:p>
        </w:tc>
        <w:tc>
          <w:tcPr>
            <w:tcW w:w="80" w:type="dxa"/>
            <w:vAlign w:val="bottom"/>
            <w:shd w:val="clear" w:color="auto" w:fill="CCEEFF"/>
          </w:tcPr>
          <w:p>
            <w:pPr>
              <w:spacing w:after="0"/>
              <w:rPr>
                <w:sz w:val="21"/>
                <w:szCs w:val="21"/>
                <w:color w:val="auto"/>
              </w:rPr>
            </w:pPr>
          </w:p>
        </w:tc>
      </w:tr>
      <w:tr>
        <w:trPr>
          <w:trHeight w:val="217"/>
        </w:trPr>
        <w:tc>
          <w:tcPr>
            <w:tcW w:w="616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8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98,992,000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98,329,000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6"/>
          </w:tcPr>
          <w:p>
            <w:pPr>
              <w:jc w:val="right"/>
              <w:ind w:right="561"/>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9"/>
          </w:tcPr>
          <w:p>
            <w:pPr>
              <w:jc w:val="right"/>
              <w:ind w:right="561"/>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41"/>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7"/>
          </w:tcPr>
          <w:p>
            <w:pPr>
              <w:jc w:val="right"/>
              <w:ind w:right="1081"/>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22,823,000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18,711,000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68,266,000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61"/>
              <w:spacing w:after="0"/>
              <w:rPr>
                <w:sz w:val="20"/>
                <w:szCs w:val="20"/>
                <w:color w:val="auto"/>
              </w:rPr>
            </w:pPr>
            <w:r>
              <w:rPr>
                <w:rFonts w:ascii="Arial" w:cs="Arial" w:eastAsia="Arial" w:hAnsi="Arial"/>
                <w:sz w:val="18"/>
                <w:szCs w:val="18"/>
                <w:color w:val="auto"/>
              </w:rPr>
              <w:t>6,721,000</w:t>
            </w:r>
          </w:p>
        </w:tc>
        <w:tc>
          <w:tcPr>
            <w:tcW w:w="480" w:type="dxa"/>
            <w:vAlign w:val="bottom"/>
          </w:tcPr>
          <w:p>
            <w:pPr>
              <w:spacing w:after="0"/>
              <w:rPr>
                <w:sz w:val="20"/>
                <w:szCs w:val="20"/>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4,947,000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5"/>
          </w:tcPr>
          <w:p>
            <w:pPr>
              <w:jc w:val="right"/>
              <w:ind w:right="201"/>
              <w:spacing w:after="0"/>
              <w:rPr>
                <w:sz w:val="20"/>
                <w:szCs w:val="20"/>
                <w:color w:val="auto"/>
              </w:rPr>
            </w:pPr>
            <w:r>
              <w:rPr>
                <w:rFonts w:ascii="Arial" w:cs="Arial" w:eastAsia="Arial" w:hAnsi="Arial"/>
                <w:sz w:val="18"/>
                <w:szCs w:val="18"/>
                <w:color w:val="auto"/>
              </w:rPr>
              <w:t>19,218,000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13,134,000</w:t>
            </w: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16,102,000</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13,764,000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49,048,000</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39,154,000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61"/>
              <w:spacing w:after="0"/>
              <w:rPr>
                <w:sz w:val="20"/>
                <w:szCs w:val="20"/>
                <w:color w:val="auto"/>
              </w:rPr>
            </w:pPr>
            <w:r>
              <w:rPr>
                <w:rFonts w:ascii="Arial" w:cs="Arial" w:eastAsia="Arial" w:hAnsi="Arial"/>
                <w:sz w:val="18"/>
                <w:szCs w:val="18"/>
                <w:color w:val="auto"/>
              </w:rPr>
              <w:t>15,421,000</w:t>
            </w:r>
          </w:p>
        </w:tc>
        <w:tc>
          <w:tcPr>
            <w:tcW w:w="480" w:type="dxa"/>
            <w:vAlign w:val="bottom"/>
          </w:tcPr>
          <w:p>
            <w:pPr>
              <w:spacing w:after="0"/>
              <w:rPr>
                <w:sz w:val="18"/>
                <w:szCs w:val="18"/>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11,356,000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5"/>
          </w:tcPr>
          <w:p>
            <w:pPr>
              <w:jc w:val="right"/>
              <w:ind w:right="201"/>
              <w:spacing w:after="0"/>
              <w:rPr>
                <w:sz w:val="20"/>
                <w:szCs w:val="20"/>
                <w:color w:val="auto"/>
              </w:rPr>
            </w:pPr>
            <w:r>
              <w:rPr>
                <w:rFonts w:ascii="Arial" w:cs="Arial" w:eastAsia="Arial" w:hAnsi="Arial"/>
                <w:sz w:val="18"/>
                <w:szCs w:val="18"/>
                <w:color w:val="auto"/>
              </w:rPr>
              <w:t>43,004,000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28,643,000</w:t>
            </w:r>
          </w:p>
        </w:tc>
        <w:tc>
          <w:tcPr>
            <w:tcW w:w="0" w:type="dxa"/>
            <w:vAlign w:val="bottom"/>
          </w:tcPr>
          <w:p>
            <w:pPr>
              <w:spacing w:after="0"/>
              <w:rPr>
                <w:sz w:val="1"/>
                <w:szCs w:val="1"/>
                <w:color w:val="auto"/>
              </w:rPr>
            </w:pPr>
          </w:p>
        </w:tc>
      </w:tr>
      <w:tr>
        <w:trPr>
          <w:trHeight w:val="24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775,000</w:t>
            </w:r>
          </w:p>
        </w:tc>
        <w:tc>
          <w:tcPr>
            <w:tcW w:w="4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6,125,000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gridSpan w:val="5"/>
            <w:shd w:val="clear" w:color="auto" w:fill="CCEEFF"/>
          </w:tcPr>
          <w:p>
            <w:pPr>
              <w:jc w:val="right"/>
              <w:ind w:right="201"/>
              <w:spacing w:after="0"/>
              <w:rPr>
                <w:sz w:val="20"/>
                <w:szCs w:val="20"/>
                <w:color w:val="auto"/>
              </w:rPr>
            </w:pPr>
            <w:r>
              <w:rPr>
                <w:rFonts w:ascii="Arial" w:cs="Arial" w:eastAsia="Arial" w:hAnsi="Arial"/>
                <w:sz w:val="18"/>
                <w:szCs w:val="18"/>
                <w:color w:val="auto"/>
              </w:rPr>
              <w:t>2,347,000</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7,142,000</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16,196,000</w:t>
            </w:r>
          </w:p>
        </w:tc>
        <w:tc>
          <w:tcPr>
            <w:tcW w:w="34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17,481,000</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4"/>
          </w:tcPr>
          <w:p>
            <w:pPr>
              <w:jc w:val="right"/>
              <w:spacing w:after="0" w:line="203" w:lineRule="exact"/>
              <w:rPr>
                <w:sz w:val="20"/>
                <w:szCs w:val="20"/>
                <w:color w:val="auto"/>
              </w:rPr>
            </w:pPr>
            <w:r>
              <w:rPr>
                <w:rFonts w:ascii="Arial" w:cs="Arial" w:eastAsia="Arial" w:hAnsi="Arial"/>
                <w:sz w:val="18"/>
                <w:szCs w:val="18"/>
                <w:b w:val="1"/>
                <w:bCs w:val="1"/>
                <w:color w:val="auto"/>
              </w:rPr>
              <w:t>45,351,000</w:t>
            </w:r>
          </w:p>
        </w:tc>
        <w:tc>
          <w:tcPr>
            <w:tcW w:w="2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35,785,000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income from operations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(3,717,000)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3,697,000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other expenses, net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(6,335,000)</w:t>
            </w:r>
          </w:p>
        </w:tc>
        <w:tc>
          <w:tcPr>
            <w:tcW w:w="4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(4,611,000)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5"/>
          </w:tcPr>
          <w:p>
            <w:pPr>
              <w:jc w:val="right"/>
              <w:ind w:right="141"/>
              <w:spacing w:after="0"/>
              <w:rPr>
                <w:sz w:val="20"/>
                <w:szCs w:val="20"/>
                <w:color w:val="auto"/>
              </w:rPr>
            </w:pPr>
            <w:r>
              <w:rPr>
                <w:rFonts w:ascii="Arial" w:cs="Arial" w:eastAsia="Arial" w:hAnsi="Arial"/>
                <w:sz w:val="18"/>
                <w:szCs w:val="18"/>
                <w:color w:val="auto"/>
              </w:rPr>
              <w:t>(18,763,000)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(13,958,000)</w:t>
            </w:r>
          </w:p>
        </w:tc>
        <w:tc>
          <w:tcPr>
            <w:tcW w:w="0" w:type="dxa"/>
            <w:vAlign w:val="bottom"/>
          </w:tcPr>
          <w:p>
            <w:pPr>
              <w:spacing w:after="0"/>
              <w:rPr>
                <w:sz w:val="1"/>
                <w:szCs w:val="1"/>
                <w:color w:val="auto"/>
              </w:rPr>
            </w:pPr>
          </w:p>
        </w:tc>
      </w:tr>
      <w:tr>
        <w:trPr>
          <w:trHeight w:val="250"/>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35,000</w:t>
            </w:r>
          </w:p>
        </w:tc>
        <w:tc>
          <w:tcPr>
            <w:tcW w:w="4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gridSpan w:val="5"/>
            <w:shd w:val="clear" w:color="auto" w:fill="CCEEFF"/>
          </w:tcPr>
          <w:p>
            <w:pPr>
              <w:jc w:val="right"/>
              <w:ind w:right="201"/>
              <w:spacing w:after="0"/>
              <w:rPr>
                <w:sz w:val="20"/>
                <w:szCs w:val="20"/>
                <w:color w:val="auto"/>
              </w:rPr>
            </w:pPr>
            <w:r>
              <w:rPr>
                <w:rFonts w:ascii="Arial" w:cs="Arial" w:eastAsia="Arial" w:hAnsi="Arial"/>
                <w:sz w:val="18"/>
                <w:szCs w:val="18"/>
                <w:color w:val="auto"/>
              </w:rPr>
              <w:t>75,000</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Net loss attributable to Harrow Health, Inc.</w:t>
            </w:r>
          </w:p>
        </w:tc>
        <w:tc>
          <w:tcPr>
            <w:tcW w:w="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(6,464,000</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(8,328,000</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4"/>
          </w:tcPr>
          <w:p>
            <w:pPr>
              <w:jc w:val="right"/>
              <w:spacing w:after="0" w:line="203" w:lineRule="exact"/>
              <w:rPr>
                <w:sz w:val="20"/>
                <w:szCs w:val="20"/>
                <w:color w:val="auto"/>
              </w:rPr>
            </w:pPr>
            <w:r>
              <w:rPr>
                <w:rFonts w:ascii="Arial" w:cs="Arial" w:eastAsia="Arial" w:hAnsi="Arial"/>
                <w:sz w:val="18"/>
                <w:szCs w:val="18"/>
                <w:b w:val="1"/>
                <w:bCs w:val="1"/>
                <w:color w:val="auto"/>
              </w:rPr>
              <w:t>(15,141,000</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(10,589,000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Preferred dividends and accretion of preferred stock</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discount</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(472,000)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rPr>
              <w:t>Net loss attributable to Harrow Health, Inc.</w:t>
            </w: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4020" w:type="dxa"/>
            <w:vAlign w:val="bottom"/>
          </w:tcPr>
          <w:p>
            <w:pPr>
              <w:spacing w:after="0"/>
              <w:rPr>
                <w:sz w:val="20"/>
                <w:szCs w:val="20"/>
                <w:color w:val="auto"/>
              </w:rPr>
            </w:pPr>
            <w:r>
              <w:rPr>
                <w:rFonts w:ascii="Arial" w:cs="Arial" w:eastAsia="Arial" w:hAnsi="Arial"/>
                <w:sz w:val="18"/>
                <w:szCs w:val="18"/>
                <w:b w:val="1"/>
                <w:bCs w:val="1"/>
                <w:color w:val="auto"/>
              </w:rPr>
              <w:t>common stockholders</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(6,464,000)</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(8,328,000)</w:t>
            </w:r>
          </w:p>
        </w:tc>
        <w:tc>
          <w:tcPr>
            <w:tcW w:w="3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5"/>
          </w:tcPr>
          <w:p>
            <w:pPr>
              <w:jc w:val="right"/>
              <w:ind w:right="141"/>
              <w:spacing w:after="0"/>
              <w:rPr>
                <w:sz w:val="20"/>
                <w:szCs w:val="20"/>
                <w:color w:val="auto"/>
              </w:rPr>
            </w:pPr>
            <w:r>
              <w:rPr>
                <w:rFonts w:ascii="Arial" w:cs="Arial" w:eastAsia="Arial" w:hAnsi="Arial"/>
                <w:sz w:val="18"/>
                <w:szCs w:val="18"/>
                <w:b w:val="1"/>
                <w:bCs w:val="1"/>
                <w:color w:val="auto"/>
              </w:rPr>
              <w:t>(15,141,000)</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(11,061,000)</w:t>
            </w:r>
          </w:p>
        </w:tc>
        <w:tc>
          <w:tcPr>
            <w:tcW w:w="0" w:type="dxa"/>
            <w:vAlign w:val="bottom"/>
          </w:tcPr>
          <w:p>
            <w:pPr>
              <w:spacing w:after="0"/>
              <w:rPr>
                <w:sz w:val="1"/>
                <w:szCs w:val="1"/>
                <w:color w:val="auto"/>
              </w:rPr>
            </w:pPr>
          </w:p>
        </w:tc>
      </w:tr>
      <w:tr>
        <w:trPr>
          <w:trHeight w:val="151"/>
        </w:trPr>
        <w:tc>
          <w:tcPr>
            <w:tcW w:w="40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Net loss per share of common stock, basic and</w:t>
            </w: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(0.24)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3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89"/>
              </w:rPr>
              <w:t>(0.55)</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6"/>
          </w:tcPr>
          <w:p>
            <w:pPr>
              <w:jc w:val="right"/>
              <w:ind w:right="941"/>
              <w:spacing w:after="0"/>
              <w:rPr>
                <w:sz w:val="20"/>
                <w:szCs w:val="20"/>
                <w:color w:val="auto"/>
              </w:rPr>
            </w:pPr>
            <w:r>
              <w:rPr>
                <w:rFonts w:ascii="Arial" w:cs="Arial" w:eastAsia="Arial" w:hAnsi="Arial"/>
                <w:sz w:val="18"/>
                <w:szCs w:val="18"/>
                <w:b w:val="1"/>
                <w:bCs w:val="1"/>
                <w:color w:val="auto"/>
              </w:rPr>
              <w:t>HARROW HEALTH, INC.</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980" w:type="dxa"/>
            <w:vAlign w:val="bottom"/>
            <w:gridSpan w:val="13"/>
          </w:tcPr>
          <w:p>
            <w:pPr>
              <w:ind w:left="2400"/>
              <w:spacing w:after="0"/>
              <w:rPr>
                <w:sz w:val="20"/>
                <w:szCs w:val="20"/>
                <w:color w:val="auto"/>
              </w:rPr>
            </w:pPr>
            <w:r>
              <w:rPr>
                <w:rFonts w:ascii="Arial" w:cs="Arial" w:eastAsia="Arial" w:hAnsi="Arial"/>
                <w:sz w:val="18"/>
                <w:szCs w:val="18"/>
                <w:b w:val="1"/>
                <w:bCs w:val="1"/>
                <w:color w:val="auto"/>
              </w:rPr>
              <w:t>UNAUDITED CONDENSED CONSOLIDATED STATEMENTS OF CASH FLOW</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10"/>
          </w:tcPr>
          <w:p>
            <w:pPr>
              <w:jc w:val="right"/>
              <w:ind w:right="1021"/>
              <w:spacing w:after="0"/>
              <w:rPr>
                <w:sz w:val="20"/>
                <w:szCs w:val="20"/>
                <w:color w:val="auto"/>
              </w:rPr>
            </w:pPr>
            <w:r>
              <w:rPr>
                <w:rFonts w:ascii="Arial" w:cs="Arial" w:eastAsia="Arial" w:hAnsi="Arial"/>
                <w:sz w:val="18"/>
                <w:szCs w:val="18"/>
                <w:b w:val="1"/>
                <w:bCs w:val="1"/>
                <w:color w:val="auto"/>
                <w:w w:val="93"/>
              </w:rPr>
              <w:t>For the Nine Months Ended</w:t>
            </w:r>
          </w:p>
        </w:tc>
        <w:tc>
          <w:tcPr>
            <w:tcW w:w="0" w:type="dxa"/>
            <w:vAlign w:val="bottom"/>
          </w:tcPr>
          <w:p>
            <w:pPr>
              <w:spacing w:after="0"/>
              <w:rPr>
                <w:sz w:val="1"/>
                <w:szCs w:val="1"/>
                <w:color w:val="auto"/>
              </w:rPr>
            </w:pPr>
          </w:p>
        </w:tc>
      </w:tr>
      <w:tr>
        <w:trPr>
          <w:trHeight w:val="241"/>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63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5,606,000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6,572,000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(1,928,000)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(4,489,000)</w:t>
            </w:r>
          </w:p>
        </w:tc>
        <w:tc>
          <w:tcPr>
            <w:tcW w:w="0" w:type="dxa"/>
            <w:vAlign w:val="bottom"/>
          </w:tcPr>
          <w:p>
            <w:pPr>
              <w:spacing w:after="0"/>
              <w:rPr>
                <w:sz w:val="1"/>
                <w:szCs w:val="1"/>
                <w:color w:val="auto"/>
              </w:rPr>
            </w:pPr>
          </w:p>
        </w:tc>
      </w:tr>
      <w:tr>
        <w:trPr>
          <w:trHeight w:val="236"/>
        </w:trPr>
        <w:tc>
          <w:tcPr>
            <w:tcW w:w="40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(886,000)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51,472,000</w:t>
            </w: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2,792,000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00" w:type="dxa"/>
            <w:vAlign w:val="bottom"/>
            <w:gridSpan w:val="5"/>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42,167,000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4,301,000</w:t>
            </w:r>
          </w:p>
        </w:tc>
        <w:tc>
          <w:tcPr>
            <w:tcW w:w="0" w:type="dxa"/>
            <w:vAlign w:val="bottom"/>
          </w:tcPr>
          <w:p>
            <w:pPr>
              <w:spacing w:after="0"/>
              <w:rPr>
                <w:sz w:val="1"/>
                <w:szCs w:val="1"/>
                <w:color w:val="auto"/>
              </w:rPr>
            </w:pPr>
          </w:p>
        </w:tc>
      </w:tr>
      <w:tr>
        <w:trPr>
          <w:trHeight w:val="229"/>
        </w:trPr>
        <w:tc>
          <w:tcPr>
            <w:tcW w:w="4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1"/>
              </w:rPr>
              <w:t>Cash, cash equivalents and restricted cash at end of the year</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44,959,000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HROW Announces Third Quarter 2022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defines Adjusted EBITDA as net loss attributable to Harrow Health, Inc., excluding the effects of stock-based compensation and expenses, interest, taxes, depreciation, amortization, investment loss, net, gain on forgiveness of debt, and, if any and when specified, other non-recurring income or expense items. Management believes that the most directly comparable GAAP financial measure to Adjusted EBITDA is net loss attributable to Harrow Health, Inc.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Adjusted EBITDA for the third quarter of 2021 is an in-process R&amp;D (IPR&amp;D) charge of $5.0 million associated with an upfront payment related to the execution of a licensing and supply arrangement with Sintetica, S.A. for IHEEZO. This $5.0 million charge was previously excluded in the prior year reporting periods from Adjusted EBITDA and has been adjusted to account for a change in the Company’s methodology to now include similar IPR&amp;D transactions for Adjusted EBITDA, non-GAAP disclosure and reporting purposes. This change is the result of the U.S. Securities and Exchange Commission’s recent industry correspondence on this matter.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loss, for the three and nine months ended September 30, 2022, and for the same periods in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INCOME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gridSpan w:val="5"/>
          </w:tcPr>
          <w:p>
            <w:pPr>
              <w:jc w:val="right"/>
              <w:ind w:right="801"/>
              <w:spacing w:after="0"/>
              <w:rPr>
                <w:sz w:val="20"/>
                <w:szCs w:val="20"/>
                <w:color w:val="auto"/>
              </w:rPr>
            </w:pPr>
            <w:r>
              <w:rPr>
                <w:rFonts w:ascii="Arial" w:cs="Arial" w:eastAsia="Arial" w:hAnsi="Arial"/>
                <w:sz w:val="18"/>
                <w:szCs w:val="18"/>
                <w:b w:val="1"/>
                <w:bCs w:val="1"/>
                <w:color w:val="auto"/>
                <w:w w:val="99"/>
              </w:rPr>
              <w:t>For the Three Months Ended</w:t>
            </w:r>
          </w:p>
        </w:tc>
        <w:tc>
          <w:tcPr>
            <w:tcW w:w="300" w:type="dxa"/>
            <w:vAlign w:val="bottom"/>
          </w:tcPr>
          <w:p>
            <w:pPr>
              <w:spacing w:after="0"/>
              <w:rPr>
                <w:sz w:val="18"/>
                <w:szCs w:val="18"/>
                <w:color w:val="auto"/>
              </w:rPr>
            </w:pPr>
          </w:p>
        </w:tc>
        <w:tc>
          <w:tcPr>
            <w:tcW w:w="30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the Nine Months Ended</w:t>
            </w:r>
          </w:p>
        </w:tc>
      </w:tr>
      <w:tr>
        <w:trPr>
          <w:trHeight w:val="241"/>
        </w:trPr>
        <w:tc>
          <w:tcPr>
            <w:tcW w:w="4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4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GAAP 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(6,464,000)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(8,328,000)</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(15,141,000)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(10,589,000)</w:t>
            </w:r>
          </w:p>
        </w:tc>
        <w:tc>
          <w:tcPr>
            <w:tcW w:w="18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3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1,932,000</w:t>
            </w:r>
          </w:p>
        </w:tc>
        <w:tc>
          <w:tcPr>
            <w:tcW w:w="460" w:type="dxa"/>
            <w:vAlign w:val="bottom"/>
          </w:tcPr>
          <w:p>
            <w:pPr>
              <w:spacing w:after="0"/>
              <w:rPr>
                <w:sz w:val="18"/>
                <w:szCs w:val="18"/>
                <w:color w:val="auto"/>
              </w:rPr>
            </w:pPr>
          </w:p>
        </w:tc>
        <w:tc>
          <w:tcPr>
            <w:tcW w:w="1380" w:type="dxa"/>
            <w:vAlign w:val="bottom"/>
            <w:gridSpan w:val="2"/>
          </w:tcPr>
          <w:p>
            <w:pPr>
              <w:jc w:val="right"/>
              <w:ind w:right="321"/>
              <w:spacing w:after="0"/>
              <w:rPr>
                <w:sz w:val="20"/>
                <w:szCs w:val="20"/>
                <w:color w:val="auto"/>
              </w:rPr>
            </w:pPr>
            <w:r>
              <w:rPr>
                <w:rFonts w:ascii="Arial" w:cs="Arial" w:eastAsia="Arial" w:hAnsi="Arial"/>
                <w:sz w:val="18"/>
                <w:szCs w:val="18"/>
                <w:color w:val="auto"/>
              </w:rPr>
              <w:t>1,697,000</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5,941,000</w:t>
            </w: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3,630,000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1,800,000</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1,685,000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5,386,000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3,512,000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35,000</w:t>
            </w:r>
          </w:p>
        </w:tc>
        <w:tc>
          <w:tcPr>
            <w:tcW w:w="460" w:type="dxa"/>
            <w:vAlign w:val="bottom"/>
          </w:tcPr>
          <w:p>
            <w:pPr>
              <w:spacing w:after="0"/>
              <w:rPr>
                <w:sz w:val="18"/>
                <w:szCs w:val="18"/>
                <w:color w:val="auto"/>
              </w:rPr>
            </w:pPr>
          </w:p>
        </w:tc>
        <w:tc>
          <w:tcPr>
            <w:tcW w:w="13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247,000</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399,000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1,090,000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1,275,000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398,000</w:t>
            </w:r>
          </w:p>
        </w:tc>
        <w:tc>
          <w:tcPr>
            <w:tcW w:w="460" w:type="dxa"/>
            <w:vAlign w:val="bottom"/>
          </w:tcPr>
          <w:p>
            <w:pPr>
              <w:spacing w:after="0"/>
              <w:rPr>
                <w:sz w:val="18"/>
                <w:szCs w:val="18"/>
                <w:color w:val="auto"/>
              </w:rPr>
            </w:pPr>
          </w:p>
        </w:tc>
        <w:tc>
          <w:tcPr>
            <w:tcW w:w="1380" w:type="dxa"/>
            <w:vAlign w:val="bottom"/>
            <w:gridSpan w:val="2"/>
          </w:tcPr>
          <w:p>
            <w:pPr>
              <w:jc w:val="right"/>
              <w:ind w:right="321"/>
              <w:spacing w:after="0"/>
              <w:rPr>
                <w:sz w:val="20"/>
                <w:szCs w:val="20"/>
                <w:color w:val="auto"/>
              </w:rPr>
            </w:pPr>
            <w:r>
              <w:rPr>
                <w:rFonts w:ascii="Arial" w:cs="Arial" w:eastAsia="Arial" w:hAnsi="Arial"/>
                <w:sz w:val="18"/>
                <w:szCs w:val="18"/>
                <w:color w:val="auto"/>
              </w:rPr>
              <w:t>43,000</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1,200,000</w:t>
            </w: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122,000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 net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4,535,000</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2,926,000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13,377,000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11,606,000</w:t>
            </w:r>
          </w:p>
        </w:tc>
      </w:tr>
      <w:tr>
        <w:trPr>
          <w:trHeight w:val="236"/>
        </w:trPr>
        <w:tc>
          <w:tcPr>
            <w:tcW w:w="4240" w:type="dxa"/>
            <w:vAlign w:val="bottom"/>
          </w:tcPr>
          <w:p>
            <w:pPr>
              <w:spacing w:after="0"/>
              <w:rPr>
                <w:sz w:val="20"/>
                <w:szCs w:val="20"/>
                <w:color w:val="auto"/>
              </w:rPr>
            </w:pPr>
            <w:r>
              <w:rPr>
                <w:rFonts w:ascii="Arial" w:cs="Arial" w:eastAsia="Arial" w:hAnsi="Arial"/>
                <w:sz w:val="18"/>
                <w:szCs w:val="18"/>
                <w:color w:val="auto"/>
              </w:rPr>
              <w:t>Other expenses, net</w:t>
            </w:r>
          </w:p>
        </w:tc>
        <w:tc>
          <w:tcPr>
            <w:tcW w:w="30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80" w:type="dxa"/>
            <w:vAlign w:val="bottom"/>
            <w:gridSpan w:val="2"/>
          </w:tcPr>
          <w:p>
            <w:pPr>
              <w:jc w:val="right"/>
              <w:ind w:right="141"/>
              <w:spacing w:after="0" w:line="230" w:lineRule="exact"/>
              <w:rPr>
                <w:sz w:val="20"/>
                <w:szCs w:val="20"/>
                <w:color w:val="auto"/>
              </w:rPr>
            </w:pPr>
            <w:r>
              <w:rPr>
                <w:rFonts w:ascii="Arial" w:cs="Arial" w:eastAsia="Arial" w:hAnsi="Arial"/>
                <w:sz w:val="16"/>
                <w:szCs w:val="16"/>
                <w:color w:val="auto"/>
              </w:rPr>
              <w:t>1,500,000</w:t>
            </w:r>
            <w:r>
              <w:rPr>
                <w:rFonts w:ascii="Arial" w:cs="Arial" w:eastAsia="Arial" w:hAnsi="Arial"/>
                <w:sz w:val="26"/>
                <w:szCs w:val="26"/>
                <w:color w:val="auto"/>
                <w:vertAlign w:val="superscript"/>
              </w:rPr>
              <w:t>(1)</w:t>
            </w:r>
          </w:p>
        </w:tc>
        <w:tc>
          <w:tcPr>
            <w:tcW w:w="3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60" w:type="dxa"/>
            <w:vAlign w:val="bottom"/>
            <w:gridSpan w:val="2"/>
          </w:tcPr>
          <w:p>
            <w:pPr>
              <w:jc w:val="right"/>
              <w:spacing w:after="0" w:line="230" w:lineRule="exact"/>
              <w:rPr>
                <w:sz w:val="20"/>
                <w:szCs w:val="20"/>
                <w:color w:val="auto"/>
              </w:rPr>
            </w:pPr>
            <w:r>
              <w:rPr>
                <w:rFonts w:ascii="Arial" w:cs="Arial" w:eastAsia="Arial" w:hAnsi="Arial"/>
                <w:sz w:val="16"/>
                <w:szCs w:val="16"/>
                <w:color w:val="auto"/>
              </w:rPr>
              <w:t>340,000</w:t>
            </w:r>
            <w:r>
              <w:rPr>
                <w:rFonts w:ascii="Arial" w:cs="Arial" w:eastAsia="Arial" w:hAnsi="Arial"/>
                <w:sz w:val="26"/>
                <w:szCs w:val="26"/>
                <w:color w:val="auto"/>
                <w:vertAlign w:val="superscript"/>
              </w:rPr>
              <w:t>(2)</w:t>
            </w:r>
          </w:p>
        </w:tc>
      </w:tr>
      <w:tr>
        <w:trPr>
          <w:trHeight w:val="23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(78,000</w:t>
            </w:r>
          </w:p>
        </w:tc>
        <w:tc>
          <w:tcPr>
            <w:tcW w:w="400" w:type="dxa"/>
            <w:vAlign w:val="bottom"/>
            <w:tcBorders>
              <w:top w:val="single" w:sz="8" w:color="CCEEFF"/>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11,928,000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9,896,000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Includes $1,500,000 of litigation settlement expenses.</w:t>
      </w:r>
    </w:p>
    <w:p>
      <w:pPr>
        <w:spacing w:after="0" w:line="1"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Includes $756,000 for early extinguishment of loan, $1,500,000 of litigation settlement expenses and a gain on forgiveness of debt of $1,976,000.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HROW Announces Third Quarter 2022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Results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Harrow Health Core Results, including core gross margin, core net (loss) income, core operating (loss) income, core basic and diluted loss per share,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preferred stock dividends, and gains/losses on forgiveness of debt. In other periods, Core Results may also exclude fair value adjustments of financial assets in the form of options to acquire a company carried at FVPL, obligations related to product recalls, certain acquisition-related items, the integration and divestment related income and expenses, divestment gains and losses,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Core Results, a non-GAAP measure, to the most comparable GAAP measure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for the same periods in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460"/>
              <w:spacing w:after="0" w:line="205" w:lineRule="exact"/>
              <w:rPr>
                <w:sz w:val="20"/>
                <w:szCs w:val="20"/>
                <w:color w:val="auto"/>
              </w:rPr>
            </w:pPr>
            <w:r>
              <w:rPr>
                <w:rFonts w:ascii="Arial" w:cs="Arial" w:eastAsia="Arial" w:hAnsi="Arial"/>
                <w:sz w:val="18"/>
                <w:szCs w:val="18"/>
                <w:b w:val="1"/>
                <w:bCs w:val="1"/>
                <w:color w:val="auto"/>
                <w:w w:val="94"/>
              </w:rPr>
              <w:t>Amortization</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16"/>
        </w:trPr>
        <w:tc>
          <w:tcPr>
            <w:tcW w:w="2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GAAP</w:t>
            </w: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of Certain</w:t>
            </w:r>
          </w:p>
        </w:tc>
        <w:tc>
          <w:tcPr>
            <w:tcW w:w="200" w:type="dxa"/>
            <w:vAlign w:val="bottom"/>
          </w:tcPr>
          <w:p>
            <w:pPr>
              <w:spacing w:after="0"/>
              <w:rPr>
                <w:sz w:val="18"/>
                <w:szCs w:val="18"/>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Investment</w:t>
            </w:r>
          </w:p>
        </w:tc>
        <w:tc>
          <w:tcPr>
            <w:tcW w:w="26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Core</w:t>
            </w:r>
          </w:p>
        </w:tc>
      </w:tr>
      <w:tr>
        <w:trPr>
          <w:trHeight w:val="241"/>
        </w:trPr>
        <w:tc>
          <w:tcPr>
            <w:tcW w:w="2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6"/>
              </w:rPr>
              <w:t>Results</w:t>
            </w:r>
          </w:p>
        </w:tc>
        <w:tc>
          <w:tcPr>
            <w:tcW w:w="17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Intangible Assets</w:t>
            </w:r>
          </w:p>
        </w:tc>
        <w:tc>
          <w:tcPr>
            <w:tcW w:w="200" w:type="dxa"/>
            <w:vAlign w:val="bottom"/>
          </w:tcPr>
          <w:p>
            <w:pPr>
              <w:spacing w:after="0"/>
              <w:rPr>
                <w:sz w:val="20"/>
                <w:szCs w:val="20"/>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Results</w:t>
            </w:r>
          </w:p>
        </w:tc>
      </w:tr>
      <w:tr>
        <w:trPr>
          <w:trHeight w:val="216"/>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16,102,000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16,443,000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Gross margin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(94,000)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304,000</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(6,429,000)</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398,000</w:t>
            </w: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4,535,000</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(1,496,000)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Net (loss) income</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(6,464,000)</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398,000</w:t>
            </w: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4,535,000</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(1,531,000)</w:t>
            </w:r>
          </w:p>
        </w:tc>
      </w:tr>
      <w:tr>
        <w:trPr>
          <w:trHeight w:val="256"/>
        </w:trPr>
        <w:tc>
          <w:tcPr>
            <w:tcW w:w="2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88"/>
              </w:rPr>
              <w:t>Basic and diluted loss per share ($)</w:t>
            </w:r>
            <w:r>
              <w:rPr>
                <w:rFonts w:ascii="Arial" w:cs="Arial" w:eastAsia="Arial" w:hAnsi="Arial"/>
                <w:sz w:val="29"/>
                <w:szCs w:val="29"/>
                <w:color w:val="auto"/>
                <w:w w:val="88"/>
                <w:vertAlign w:val="superscript"/>
              </w:rPr>
              <w:t>(1)</w:t>
            </w:r>
          </w:p>
        </w:tc>
        <w:tc>
          <w:tcPr>
            <w:tcW w:w="1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02"/>
        </w:trPr>
        <w:tc>
          <w:tcPr>
            <w:tcW w:w="4540" w:type="dxa"/>
            <w:vAlign w:val="bottom"/>
            <w:gridSpan w:val="3"/>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outstanding –basic and diluted</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27,349,642</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27,349,642</w:t>
            </w:r>
          </w:p>
        </w:tc>
      </w:tr>
      <w:tr>
        <w:trPr>
          <w:trHeight w:val="439"/>
        </w:trPr>
        <w:tc>
          <w:tcPr>
            <w:tcW w:w="27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8"/>
                <w:szCs w:val="18"/>
                <w:b w:val="1"/>
                <w:bCs w:val="1"/>
                <w:color w:val="auto"/>
              </w:rPr>
              <w:t>For the Nine Months Ended September 30, 2022</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98"/>
        </w:trPr>
        <w:tc>
          <w:tcPr>
            <w:tcW w:w="2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of Certain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GAAP</w:t>
            </w: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Intangible</w:t>
            </w:r>
          </w:p>
        </w:tc>
        <w:tc>
          <w:tcPr>
            <w:tcW w:w="200" w:type="dxa"/>
            <w:vAlign w:val="bottom"/>
          </w:tcPr>
          <w:p>
            <w:pPr>
              <w:spacing w:after="0"/>
              <w:rPr>
                <w:sz w:val="18"/>
                <w:szCs w:val="18"/>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Investment</w:t>
            </w:r>
          </w:p>
        </w:tc>
        <w:tc>
          <w:tcPr>
            <w:tcW w:w="26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Core</w:t>
            </w:r>
          </w:p>
        </w:tc>
      </w:tr>
      <w:tr>
        <w:trPr>
          <w:trHeight w:val="241"/>
        </w:trPr>
        <w:tc>
          <w:tcPr>
            <w:tcW w:w="2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6"/>
              </w:rPr>
              <w:t>Results</w:t>
            </w:r>
          </w:p>
        </w:tc>
        <w:tc>
          <w:tcPr>
            <w:tcW w:w="14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0"/>
                <w:szCs w:val="20"/>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Results</w:t>
            </w:r>
          </w:p>
        </w:tc>
      </w:tr>
      <w:tr>
        <w:trPr>
          <w:trHeight w:val="216"/>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49,048,000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50,071,000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Gross margin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3,697,000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1,200,000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4,897,000</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(15,066,000)</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1,200,000</w:t>
            </w: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13,377,000</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(489,000)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Net (loss) income</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(15,141,000)</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1,200,000</w:t>
            </w: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13,377,000</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(564,000)</w:t>
            </w:r>
          </w:p>
        </w:tc>
      </w:tr>
      <w:tr>
        <w:trPr>
          <w:trHeight w:val="257"/>
        </w:trPr>
        <w:tc>
          <w:tcPr>
            <w:tcW w:w="2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88"/>
              </w:rPr>
              <w:t>Basic and diluted loss per share ($)</w:t>
            </w:r>
            <w:r>
              <w:rPr>
                <w:rFonts w:ascii="Arial" w:cs="Arial" w:eastAsia="Arial" w:hAnsi="Arial"/>
                <w:sz w:val="29"/>
                <w:szCs w:val="29"/>
                <w:color w:val="auto"/>
                <w:w w:val="88"/>
                <w:vertAlign w:val="superscript"/>
              </w:rPr>
              <w:t>(1)</w:t>
            </w:r>
          </w:p>
        </w:tc>
        <w:tc>
          <w:tcPr>
            <w:tcW w:w="1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w w:val="92"/>
              </w:rPr>
              <w:t>Weighted average number of shares</w:t>
            </w:r>
          </w:p>
        </w:tc>
        <w:tc>
          <w:tcPr>
            <w:tcW w:w="1820" w:type="dxa"/>
            <w:vAlign w:val="bottom"/>
            <w:gridSpan w:val="2"/>
          </w:tcPr>
          <w:p>
            <w:pPr>
              <w:jc w:val="right"/>
              <w:ind w:right="507"/>
              <w:spacing w:after="0" w:line="201" w:lineRule="exact"/>
              <w:rPr>
                <w:sz w:val="20"/>
                <w:szCs w:val="20"/>
                <w:color w:val="auto"/>
              </w:rPr>
            </w:pPr>
            <w:r>
              <w:rPr>
                <w:rFonts w:ascii="Arial" w:cs="Arial" w:eastAsia="Arial" w:hAnsi="Arial"/>
                <w:sz w:val="18"/>
                <w:szCs w:val="18"/>
                <w:color w:val="auto"/>
                <w:w w:val="89"/>
              </w:rPr>
              <w:t>of common stock</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outstanding –  basic and diluted</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27,293,756</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27,293,756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HROW Announces Third Quarter 2022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6"/>
          </w:tcPr>
          <w:p>
            <w:pPr>
              <w:jc w:val="center"/>
              <w:ind w:right="320"/>
              <w:spacing w:after="0" w:line="205" w:lineRule="exact"/>
              <w:rPr>
                <w:sz w:val="20"/>
                <w:szCs w:val="20"/>
                <w:color w:val="auto"/>
              </w:rPr>
            </w:pPr>
            <w:r>
              <w:rPr>
                <w:rFonts w:ascii="Arial" w:cs="Arial" w:eastAsia="Arial" w:hAnsi="Arial"/>
                <w:sz w:val="18"/>
                <w:szCs w:val="18"/>
                <w:b w:val="1"/>
                <w:bCs w:val="1"/>
                <w:color w:val="auto"/>
                <w:w w:val="94"/>
              </w:rPr>
              <w:t>Amortization</w:t>
            </w:r>
          </w:p>
        </w:tc>
        <w:tc>
          <w:tcPr>
            <w:tcW w:w="3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4"/>
          </w:tcPr>
          <w:p>
            <w:pPr>
              <w:jc w:val="center"/>
              <w:ind w:left="233"/>
              <w:spacing w:after="0"/>
              <w:rPr>
                <w:sz w:val="20"/>
                <w:szCs w:val="20"/>
                <w:color w:val="auto"/>
              </w:rPr>
            </w:pPr>
            <w:r>
              <w:rPr>
                <w:rFonts w:ascii="Arial" w:cs="Arial" w:eastAsia="Arial" w:hAnsi="Arial"/>
                <w:sz w:val="18"/>
                <w:szCs w:val="18"/>
                <w:b w:val="1"/>
                <w:bCs w:val="1"/>
                <w:color w:val="auto"/>
                <w:w w:val="95"/>
              </w:rPr>
              <w:t>of Certain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GAAP</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4"/>
          </w:tcPr>
          <w:p>
            <w:pPr>
              <w:jc w:val="center"/>
              <w:ind w:left="233"/>
              <w:spacing w:after="0"/>
              <w:rPr>
                <w:sz w:val="20"/>
                <w:szCs w:val="20"/>
                <w:color w:val="auto"/>
              </w:rPr>
            </w:pPr>
            <w:r>
              <w:rPr>
                <w:rFonts w:ascii="Arial" w:cs="Arial" w:eastAsia="Arial" w:hAnsi="Arial"/>
                <w:sz w:val="18"/>
                <w:szCs w:val="18"/>
                <w:b w:val="1"/>
                <w:bCs w:val="1"/>
                <w:color w:val="auto"/>
                <w:w w:val="94"/>
              </w:rPr>
              <w:t>Intangible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Investment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Core</w:t>
            </w:r>
          </w:p>
        </w:tc>
      </w:tr>
      <w:tr>
        <w:trPr>
          <w:trHeight w:val="241"/>
        </w:trPr>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Results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4"/>
          </w:tcPr>
          <w:p>
            <w:pPr>
              <w:jc w:val="center"/>
              <w:ind w:left="233"/>
              <w:spacing w:after="0"/>
              <w:rPr>
                <w:sz w:val="20"/>
                <w:szCs w:val="20"/>
                <w:color w:val="auto"/>
              </w:rPr>
            </w:pPr>
            <w:r>
              <w:rPr>
                <w:rFonts w:ascii="Arial" w:cs="Arial" w:eastAsia="Arial" w:hAnsi="Arial"/>
                <w:sz w:val="18"/>
                <w:szCs w:val="18"/>
                <w:b w:val="1"/>
                <w:bCs w:val="1"/>
                <w:color w:val="auto"/>
                <w:w w:val="81"/>
              </w:rPr>
              <w:t>Assets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8"/>
              </w:rPr>
              <w:t>Results</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13,764,000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13,764,000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4"/>
          </w:tcPr>
          <w:p>
            <w:pPr>
              <w:jc w:val="right"/>
              <w:ind w:right="150"/>
              <w:spacing w:after="0"/>
              <w:rPr>
                <w:sz w:val="20"/>
                <w:szCs w:val="20"/>
                <w:color w:val="auto"/>
              </w:rPr>
            </w:pPr>
            <w:r>
              <w:rPr>
                <w:rFonts w:ascii="Arial" w:cs="Arial" w:eastAsia="Arial" w:hAnsi="Arial"/>
                <w:sz w:val="18"/>
                <w:szCs w:val="18"/>
                <w:color w:val="auto"/>
                <w:w w:val="94"/>
              </w:rPr>
              <w:t>74%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(3,717,000)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43,000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5"/>
          </w:tcPr>
          <w:p>
            <w:pPr>
              <w:jc w:val="right"/>
              <w:ind w:right="20"/>
              <w:spacing w:after="0"/>
              <w:rPr>
                <w:sz w:val="20"/>
                <w:szCs w:val="20"/>
                <w:color w:val="auto"/>
              </w:rPr>
            </w:pPr>
            <w:r>
              <w:rPr>
                <w:rFonts w:ascii="Arial" w:cs="Arial" w:eastAsia="Arial" w:hAnsi="Arial"/>
                <w:sz w:val="18"/>
                <w:szCs w:val="18"/>
                <w:color w:val="auto"/>
              </w:rPr>
              <w:t>(8,328,000)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320"/>
              <w:spacing w:after="0"/>
              <w:rPr>
                <w:sz w:val="20"/>
                <w:szCs w:val="20"/>
                <w:color w:val="auto"/>
              </w:rPr>
            </w:pPr>
            <w:r>
              <w:rPr>
                <w:rFonts w:ascii="Arial" w:cs="Arial" w:eastAsia="Arial" w:hAnsi="Arial"/>
                <w:sz w:val="18"/>
                <w:szCs w:val="18"/>
                <w:color w:val="auto"/>
              </w:rPr>
              <w:t>43,000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2,926,000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(5,359,000)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5"/>
          </w:tcPr>
          <w:p>
            <w:pPr>
              <w:jc w:val="right"/>
              <w:ind w:right="20"/>
              <w:spacing w:after="0"/>
              <w:rPr>
                <w:sz w:val="20"/>
                <w:szCs w:val="20"/>
                <w:color w:val="auto"/>
              </w:rPr>
            </w:pPr>
            <w:r>
              <w:rPr>
                <w:rFonts w:ascii="Arial" w:cs="Arial" w:eastAsia="Arial" w:hAnsi="Arial"/>
                <w:sz w:val="18"/>
                <w:szCs w:val="18"/>
                <w:color w:val="auto"/>
              </w:rPr>
              <w:t>(8,328,000)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320"/>
              <w:spacing w:after="0"/>
              <w:rPr>
                <w:sz w:val="20"/>
                <w:szCs w:val="20"/>
                <w:color w:val="auto"/>
              </w:rPr>
            </w:pPr>
            <w:r>
              <w:rPr>
                <w:rFonts w:ascii="Arial" w:cs="Arial" w:eastAsia="Arial" w:hAnsi="Arial"/>
                <w:sz w:val="18"/>
                <w:szCs w:val="18"/>
                <w:color w:val="auto"/>
              </w:rPr>
              <w:t>43,000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2,926,000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(5,359,000)</w:t>
            </w:r>
          </w:p>
        </w:tc>
      </w:tr>
      <w:tr>
        <w:trPr>
          <w:trHeight w:val="256"/>
        </w:trPr>
        <w:tc>
          <w:tcPr>
            <w:tcW w:w="4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Basic and diluted loss per share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w w:val="96"/>
              </w:rPr>
              <w:t>Weighted average number of shares of 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outstanding – basic and diluted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5"/>
          </w:tcPr>
          <w:p>
            <w:pPr>
              <w:jc w:val="right"/>
              <w:ind w:right="80"/>
              <w:spacing w:after="0"/>
              <w:rPr>
                <w:sz w:val="20"/>
                <w:szCs w:val="20"/>
                <w:color w:val="auto"/>
              </w:rPr>
            </w:pPr>
            <w:r>
              <w:rPr>
                <w:rFonts w:ascii="Arial" w:cs="Arial" w:eastAsia="Arial" w:hAnsi="Arial"/>
                <w:sz w:val="18"/>
                <w:szCs w:val="18"/>
                <w:color w:val="auto"/>
              </w:rPr>
              <w:t>27,112,531</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27,112,531</w:t>
            </w:r>
          </w:p>
        </w:tc>
      </w:tr>
      <w:tr>
        <w:trPr>
          <w:trHeight w:val="439"/>
        </w:trPr>
        <w:tc>
          <w:tcPr>
            <w:tcW w:w="7860" w:type="dxa"/>
            <w:vAlign w:val="bottom"/>
            <w:tcBorders>
              <w:bottom w:val="single" w:sz="8" w:color="auto"/>
            </w:tcBorders>
            <w:gridSpan w:val="15"/>
          </w:tcPr>
          <w:p>
            <w:pPr>
              <w:ind w:left="3780"/>
              <w:spacing w:after="0"/>
              <w:rPr>
                <w:sz w:val="20"/>
                <w:szCs w:val="20"/>
                <w:color w:val="auto"/>
              </w:rPr>
            </w:pPr>
            <w:r>
              <w:rPr>
                <w:rFonts w:ascii="Arial" w:cs="Arial" w:eastAsia="Arial" w:hAnsi="Arial"/>
                <w:sz w:val="18"/>
                <w:szCs w:val="18"/>
                <w:b w:val="1"/>
                <w:bCs w:val="1"/>
                <w:color w:val="auto"/>
                <w:w w:val="99"/>
              </w:rPr>
              <w:t>For the Nine Months Ended September 30, 2021</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98"/>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5"/>
          </w:tcPr>
          <w:p>
            <w:pPr>
              <w:jc w:val="center"/>
              <w:ind w:right="14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of Certain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GAAP</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Intangible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Investment</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Core</w:t>
            </w:r>
          </w:p>
        </w:tc>
      </w:tr>
      <w:tr>
        <w:trPr>
          <w:trHeight w:val="241"/>
        </w:trPr>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Results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Other Items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Results</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39,154,000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right="5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39,154,000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3,369,000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w w:val="7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3,491,000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(10,589,000)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122,000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11,606,000</w:t>
            </w:r>
          </w:p>
        </w:tc>
        <w:tc>
          <w:tcPr>
            <w:tcW w:w="1700" w:type="dxa"/>
            <w:vAlign w:val="bottom"/>
            <w:gridSpan w:val="6"/>
          </w:tcPr>
          <w:p>
            <w:pPr>
              <w:jc w:val="right"/>
              <w:ind w:right="280"/>
              <w:spacing w:after="0"/>
              <w:rPr>
                <w:sz w:val="20"/>
                <w:szCs w:val="20"/>
                <w:color w:val="auto"/>
              </w:rPr>
            </w:pPr>
            <w:r>
              <w:rPr>
                <w:rFonts w:ascii="Arial" w:cs="Arial" w:eastAsia="Arial" w:hAnsi="Arial"/>
                <w:sz w:val="18"/>
                <w:szCs w:val="18"/>
                <w:color w:val="auto"/>
              </w:rPr>
              <w:t>(1,967,000)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(828,000)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w w:val="7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Net (loss) income  attributable to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(11,061,000)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122,000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11,606,000</w:t>
            </w:r>
          </w:p>
        </w:tc>
        <w:tc>
          <w:tcPr>
            <w:tcW w:w="1700" w:type="dxa"/>
            <w:vAlign w:val="bottom"/>
            <w:gridSpan w:val="6"/>
          </w:tcPr>
          <w:p>
            <w:pPr>
              <w:jc w:val="right"/>
              <w:ind w:right="280"/>
              <w:spacing w:after="0"/>
              <w:rPr>
                <w:sz w:val="20"/>
                <w:szCs w:val="20"/>
                <w:color w:val="auto"/>
              </w:rPr>
            </w:pPr>
            <w:r>
              <w:rPr>
                <w:rFonts w:ascii="Arial" w:cs="Arial" w:eastAsia="Arial" w:hAnsi="Arial"/>
                <w:sz w:val="18"/>
                <w:szCs w:val="18"/>
                <w:color w:val="auto"/>
              </w:rPr>
              <w:t>(1,495,000)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(828,000)</w:t>
            </w:r>
          </w:p>
        </w:tc>
      </w:tr>
      <w:tr>
        <w:trPr>
          <w:trHeight w:val="256"/>
        </w:trPr>
        <w:tc>
          <w:tcPr>
            <w:tcW w:w="4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Basic and diluted loss per share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w w:val="96"/>
              </w:rPr>
              <w:t>Weighted average number of shares of 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outstanding – basic and diluted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26,626,722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26,626,722</w:t>
            </w:r>
          </w:p>
        </w:tc>
      </w:tr>
    </w:tbl>
    <w:p>
      <w:pPr>
        <w:spacing w:after="0" w:line="202" w:lineRule="exact"/>
        <w:rPr>
          <w:sz w:val="20"/>
          <w:szCs w:val="20"/>
          <w:color w:val="auto"/>
        </w:rPr>
      </w:pPr>
    </w:p>
    <w:p>
      <w:pPr>
        <w:jc w:val="both"/>
        <w:ind w:left="340" w:right="20" w:hanging="332"/>
        <w:spacing w:after="0" w:line="218" w:lineRule="auto"/>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Core basic and diluted loss per share is calculated using the weighted-average number of shares of common stock outstanding during the period. Core basic and diluted loss per share also contemplates dilutive shares associated with equity-based awards and warrants as described in Note 2 and elsewhere in the Condensed Consolidated Interim Financial Statements filed with the Company’s Quarterly Report on Form 10-Q for the quarterly period ended September 30, 2022.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ind w:left="10120"/>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154305</wp:posOffset>
            </wp:positionV>
            <wp:extent cx="1440180" cy="754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Harrow Stockholders: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am pleased to report third quarter results that included 22% year-over-year revenue growth and the company remaining “in the black” while we prepare to launch IHEEZO™, generate new high-value revenues from our portfolio of FDA-approved branded pharmaceutical products (BPPs), and advance our market-leading ImprimisRx compounded pharmaceuticals products (CPPs) brand. Here are a few recent noteworthy events connected to the continued execution of our Five Year Strategic Plan:</w:t>
      </w:r>
    </w:p>
    <w:p>
      <w:pPr>
        <w:spacing w:after="0" w:line="190" w:lineRule="exact"/>
        <w:rPr>
          <w:sz w:val="20"/>
          <w:szCs w:val="20"/>
          <w:color w:val="auto"/>
        </w:rPr>
      </w:pPr>
    </w:p>
    <w:p>
      <w:pPr>
        <w:ind w:left="980" w:right="20" w:hanging="324"/>
        <w:spacing w:after="0" w:line="186" w:lineRule="auto"/>
        <w:tabs>
          <w:tab w:leader="none" w:pos="98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On September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we </w:t>
      </w:r>
      <w:r>
        <w:rPr>
          <w:rFonts w:ascii="Arial" w:cs="Arial" w:eastAsia="Arial" w:hAnsi="Arial"/>
          <w:sz w:val="18"/>
          <w:szCs w:val="18"/>
          <w:u w:val="single" w:color="auto"/>
          <w:color w:val="auto"/>
        </w:rPr>
        <w:t>announced</w:t>
      </w:r>
      <w:r>
        <w:rPr>
          <w:rFonts w:ascii="Arial" w:cs="Arial" w:eastAsia="Arial" w:hAnsi="Arial"/>
          <w:sz w:val="18"/>
          <w:szCs w:val="18"/>
          <w:color w:val="auto"/>
        </w:rPr>
        <w:t xml:space="preserve"> the approval of IHEEZO (previously known as AMP-100), Harrow’s first NDA product which was approved by the U.S. Food and Drug Administration (FDA) for ocular surface anesthesia.</w:t>
      </w:r>
    </w:p>
    <w:p>
      <w:pPr>
        <w:spacing w:after="0" w:line="203" w:lineRule="exact"/>
        <w:rPr>
          <w:rFonts w:ascii="Arial" w:cs="Arial" w:eastAsia="Arial" w:hAnsi="Arial"/>
          <w:sz w:val="36"/>
          <w:szCs w:val="36"/>
          <w:color w:val="auto"/>
          <w:vertAlign w:val="superscript"/>
        </w:rPr>
      </w:pPr>
    </w:p>
    <w:p>
      <w:pPr>
        <w:jc w:val="both"/>
        <w:ind w:left="980"/>
        <w:spacing w:after="0" w:line="291" w:lineRule="auto"/>
        <w:rPr>
          <w:rFonts w:ascii="Arial" w:cs="Arial" w:eastAsia="Arial" w:hAnsi="Arial"/>
          <w:sz w:val="36"/>
          <w:szCs w:val="36"/>
          <w:color w:val="auto"/>
          <w:vertAlign w:val="superscript"/>
        </w:rPr>
      </w:pPr>
      <w:r>
        <w:rPr>
          <w:rFonts w:ascii="Arial" w:cs="Arial" w:eastAsia="Arial" w:hAnsi="Arial"/>
          <w:sz w:val="16"/>
          <w:szCs w:val="16"/>
          <w:i w:val="1"/>
          <w:iCs w:val="1"/>
          <w:color w:val="auto"/>
        </w:rPr>
        <w:t>I remain confident that within 24 months of our launch of IHEEZO, with our market access strategy in place, Harrow’s revenues should more than double, and our core gross margins should begin to float meaningfully higher. Page 5 of this Stockholder Letter has additional color on</w:t>
      </w:r>
    </w:p>
    <w:p>
      <w:pPr>
        <w:ind w:left="980"/>
        <w:spacing w:after="0"/>
        <w:rPr>
          <w:rFonts w:ascii="Arial" w:cs="Arial" w:eastAsia="Arial" w:hAnsi="Arial"/>
          <w:sz w:val="36"/>
          <w:szCs w:val="36"/>
          <w:color w:val="auto"/>
          <w:vertAlign w:val="superscript"/>
        </w:rPr>
      </w:pPr>
      <w:r>
        <w:rPr>
          <w:rFonts w:ascii="Arial" w:cs="Arial" w:eastAsia="Arial" w:hAnsi="Arial"/>
          <w:sz w:val="18"/>
          <w:szCs w:val="18"/>
          <w:i w:val="1"/>
          <w:iCs w:val="1"/>
          <w:color w:val="auto"/>
        </w:rPr>
        <w:t>IHEEZO.</w:t>
      </w:r>
    </w:p>
    <w:p>
      <w:pPr>
        <w:spacing w:after="0" w:line="214" w:lineRule="exact"/>
        <w:rPr>
          <w:rFonts w:ascii="Arial" w:cs="Arial" w:eastAsia="Arial" w:hAnsi="Arial"/>
          <w:sz w:val="36"/>
          <w:szCs w:val="36"/>
          <w:color w:val="auto"/>
          <w:vertAlign w:val="superscript"/>
        </w:rPr>
      </w:pPr>
    </w:p>
    <w:p>
      <w:pPr>
        <w:ind w:left="980" w:hanging="324"/>
        <w:spacing w:after="0" w:line="186" w:lineRule="auto"/>
        <w:tabs>
          <w:tab w:leader="none" w:pos="98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On September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we launched </w:t>
      </w:r>
      <w:r>
        <w:rPr>
          <w:rFonts w:ascii="Arial" w:cs="Arial" w:eastAsia="Arial" w:hAnsi="Arial"/>
          <w:sz w:val="18"/>
          <w:szCs w:val="18"/>
          <w:u w:val="single" w:color="auto"/>
          <w:color w:val="auto"/>
        </w:rPr>
        <w:t>Fortisite</w:t>
      </w:r>
      <w:r>
        <w:rPr>
          <w:rFonts w:ascii="Arial" w:cs="Arial" w:eastAsia="Arial" w:hAnsi="Arial"/>
          <w:sz w:val="18"/>
          <w:szCs w:val="18"/>
          <w:color w:val="auto"/>
        </w:rPr>
        <w:t>™ which is a patent-pending suite of compounded high-concentration refrigeration-stable fortified antibiotics.</w:t>
      </w:r>
    </w:p>
    <w:p>
      <w:pPr>
        <w:spacing w:after="0" w:line="203" w:lineRule="exact"/>
        <w:rPr>
          <w:rFonts w:ascii="Arial" w:cs="Arial" w:eastAsia="Arial" w:hAnsi="Arial"/>
          <w:sz w:val="36"/>
          <w:szCs w:val="36"/>
          <w:color w:val="auto"/>
          <w:vertAlign w:val="superscript"/>
        </w:rPr>
      </w:pPr>
    </w:p>
    <w:p>
      <w:pPr>
        <w:ind w:left="980"/>
        <w:spacing w:after="0"/>
        <w:rPr>
          <w:rFonts w:ascii="Arial" w:cs="Arial" w:eastAsia="Arial" w:hAnsi="Arial"/>
          <w:sz w:val="36"/>
          <w:szCs w:val="36"/>
          <w:color w:val="auto"/>
          <w:vertAlign w:val="superscript"/>
        </w:rPr>
      </w:pPr>
      <w:r>
        <w:rPr>
          <w:rFonts w:ascii="Arial" w:cs="Arial" w:eastAsia="Arial" w:hAnsi="Arial"/>
          <w:sz w:val="18"/>
          <w:szCs w:val="18"/>
          <w:i w:val="1"/>
          <w:iCs w:val="1"/>
          <w:color w:val="auto"/>
        </w:rPr>
        <w:t>The reception for the Fortisite portfolio has been extraordinary! Page 6 of this Stockholder Letter has additional color on Fortisite.</w:t>
      </w:r>
    </w:p>
    <w:p>
      <w:pPr>
        <w:spacing w:after="0" w:line="228" w:lineRule="exact"/>
        <w:rPr>
          <w:rFonts w:ascii="Arial" w:cs="Arial" w:eastAsia="Arial" w:hAnsi="Arial"/>
          <w:sz w:val="36"/>
          <w:szCs w:val="36"/>
          <w:color w:val="auto"/>
          <w:vertAlign w:val="superscript"/>
        </w:rPr>
      </w:pPr>
    </w:p>
    <w:p>
      <w:pPr>
        <w:ind w:left="980" w:hanging="324"/>
        <w:spacing w:after="0" w:line="186" w:lineRule="auto"/>
        <w:tabs>
          <w:tab w:leader="none" w:pos="98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On October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we </w:t>
      </w:r>
      <w:r>
        <w:rPr>
          <w:rFonts w:ascii="Arial" w:cs="Arial" w:eastAsia="Arial" w:hAnsi="Arial"/>
          <w:sz w:val="18"/>
          <w:szCs w:val="18"/>
          <w:u w:val="single" w:color="auto"/>
          <w:color w:val="auto"/>
        </w:rPr>
        <w:t>announced</w:t>
      </w:r>
      <w:r>
        <w:rPr>
          <w:rFonts w:ascii="Arial" w:cs="Arial" w:eastAsia="Arial" w:hAnsi="Arial"/>
          <w:sz w:val="18"/>
          <w:szCs w:val="18"/>
          <w:color w:val="auto"/>
        </w:rPr>
        <w:t xml:space="preserve"> the sale of our non-ophthalmology compounded product line, adding cash to our balance sheet in the fourth quarter, and giving us the prospect of extra cash coming next year from an earn-out.</w:t>
      </w:r>
    </w:p>
    <w:p>
      <w:pPr>
        <w:spacing w:after="0" w:line="203" w:lineRule="exact"/>
        <w:rPr>
          <w:rFonts w:ascii="Arial" w:cs="Arial" w:eastAsia="Arial" w:hAnsi="Arial"/>
          <w:sz w:val="36"/>
          <w:szCs w:val="36"/>
          <w:color w:val="auto"/>
          <w:vertAlign w:val="superscript"/>
        </w:rPr>
      </w:pPr>
    </w:p>
    <w:p>
      <w:pPr>
        <w:jc w:val="both"/>
        <w:ind w:left="980"/>
        <w:spacing w:after="0" w:line="263" w:lineRule="auto"/>
        <w:rPr>
          <w:rFonts w:ascii="Arial" w:cs="Arial" w:eastAsia="Arial" w:hAnsi="Arial"/>
          <w:sz w:val="36"/>
          <w:szCs w:val="36"/>
          <w:color w:val="auto"/>
          <w:vertAlign w:val="superscript"/>
        </w:rPr>
      </w:pPr>
      <w:r>
        <w:rPr>
          <w:rFonts w:ascii="Arial" w:cs="Arial" w:eastAsia="Arial" w:hAnsi="Arial"/>
          <w:sz w:val="18"/>
          <w:szCs w:val="18"/>
          <w:i w:val="1"/>
          <w:iCs w:val="1"/>
          <w:color w:val="auto"/>
        </w:rPr>
        <w:t>This asset sale marked the achievement of a strategic imperative because, as we embark upon this next stage of development, we believe that Harrow must be a “pure-play” company to be a leading U.S. ophthalmic pharmaceutical company. As a result of this transaction, we are now 100% invested and focused in the U.S. ophthalmic pharmaceutical market.</w:t>
      </w:r>
    </w:p>
    <w:p>
      <w:pPr>
        <w:spacing w:after="0" w:line="187" w:lineRule="exact"/>
        <w:rPr>
          <w:rFonts w:ascii="Arial" w:cs="Arial" w:eastAsia="Arial" w:hAnsi="Arial"/>
          <w:sz w:val="36"/>
          <w:szCs w:val="36"/>
          <w:color w:val="auto"/>
          <w:vertAlign w:val="superscript"/>
        </w:rPr>
      </w:pPr>
    </w:p>
    <w:p>
      <w:pPr>
        <w:ind w:left="980" w:right="20" w:hanging="324"/>
        <w:spacing w:after="0" w:line="186" w:lineRule="auto"/>
        <w:tabs>
          <w:tab w:leader="none" w:pos="98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On October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our former subsidiary, Melt Pharmaceuticals, </w:t>
      </w:r>
      <w:r>
        <w:rPr>
          <w:rFonts w:ascii="Arial" w:cs="Arial" w:eastAsia="Arial" w:hAnsi="Arial"/>
          <w:sz w:val="18"/>
          <w:szCs w:val="18"/>
          <w:u w:val="single" w:color="auto"/>
          <w:color w:val="auto"/>
        </w:rPr>
        <w:t>announced</w:t>
      </w:r>
      <w:r>
        <w:rPr>
          <w:rFonts w:ascii="Arial" w:cs="Arial" w:eastAsia="Arial" w:hAnsi="Arial"/>
          <w:sz w:val="18"/>
          <w:szCs w:val="18"/>
          <w:color w:val="auto"/>
        </w:rPr>
        <w:t xml:space="preserve"> that it had completed its pivotal Phase 2 efficacy study for its MELT-300 program.</w:t>
      </w:r>
    </w:p>
    <w:p>
      <w:pPr>
        <w:spacing w:after="0" w:line="203" w:lineRule="exact"/>
        <w:rPr>
          <w:rFonts w:ascii="Arial" w:cs="Arial" w:eastAsia="Arial" w:hAnsi="Arial"/>
          <w:sz w:val="36"/>
          <w:szCs w:val="36"/>
          <w:color w:val="auto"/>
          <w:vertAlign w:val="superscript"/>
        </w:rPr>
      </w:pPr>
    </w:p>
    <w:p>
      <w:pPr>
        <w:jc w:val="both"/>
        <w:ind w:left="980"/>
        <w:spacing w:after="0" w:line="255" w:lineRule="auto"/>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The MELT-300 clinical study took longer than we anticipated and was over budget. It is done now; and while one cannot predict the outcome of a blinded clinical study, we believe the MELT-300 phase 2 study design should yield a dataset for an approvable product candidate (either MELT-300 and/or MELT-210), allowing Harrow to eventually convert our 46% equity interest in Melt into further value for Harrow’s stockholders. Given the clinical </w:t>
      </w:r>
      <w:r>
        <w:rPr>
          <w:rFonts w:ascii="Arial" w:cs="Arial" w:eastAsia="Arial" w:hAnsi="Arial"/>
          <w:sz w:val="18"/>
          <w:szCs w:val="18"/>
          <w:i w:val="1"/>
          <w:iCs w:val="1"/>
          <w:u w:val="single" w:color="auto"/>
          <w:color w:val="auto"/>
        </w:rPr>
        <w:t>promise</w:t>
      </w:r>
      <w:r>
        <w:rPr>
          <w:rFonts w:ascii="Arial" w:cs="Arial" w:eastAsia="Arial" w:hAnsi="Arial"/>
          <w:sz w:val="18"/>
          <w:szCs w:val="18"/>
          <w:i w:val="1"/>
          <w:iCs w:val="1"/>
          <w:color w:val="auto"/>
        </w:rPr>
        <w:t xml:space="preserve"> of Melt’s technology, I have 100% confidence in the commercial potential of Melt’s product candidates. As a reminder, Harrow owns 3.5 million shares of Melt common stock, a $13.5 million senior secured note receivable from Melt, and royalty rights on MELT-300.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We recently </w:t>
      </w:r>
      <w:r>
        <w:rPr>
          <w:rFonts w:ascii="Arial" w:cs="Arial" w:eastAsia="Arial" w:hAnsi="Arial"/>
          <w:sz w:val="18"/>
          <w:szCs w:val="18"/>
          <w:u w:val="single" w:color="auto"/>
          <w:color w:val="auto"/>
        </w:rPr>
        <w:t>announced</w:t>
      </w:r>
      <w:r>
        <w:rPr>
          <w:rFonts w:ascii="Arial" w:cs="Arial" w:eastAsia="Arial" w:hAnsi="Arial"/>
          <w:sz w:val="18"/>
          <w:szCs w:val="18"/>
          <w:color w:val="auto"/>
        </w:rPr>
        <w:t xml:space="preserve"> the launch of </w:t>
      </w:r>
      <w:r>
        <w:rPr>
          <w:rFonts w:ascii="Arial" w:cs="Arial" w:eastAsia="Arial" w:hAnsi="Arial"/>
          <w:sz w:val="18"/>
          <w:szCs w:val="18"/>
          <w:u w:val="single" w:color="auto"/>
          <w:color w:val="auto"/>
        </w:rPr>
        <w:t>atropine.com</w:t>
      </w:r>
      <w:r>
        <w:rPr>
          <w:rFonts w:ascii="Arial" w:cs="Arial" w:eastAsia="Arial" w:hAnsi="Arial"/>
          <w:sz w:val="18"/>
          <w:szCs w:val="18"/>
          <w:color w:val="auto"/>
        </w:rPr>
        <w:t>™ to commercialize our compounded atropine formulations and address a significant unmet need for millions of Americans.</w:t>
      </w:r>
    </w:p>
    <w:p>
      <w:pPr>
        <w:spacing w:after="0" w:line="170"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Page 7 of this Stockholder Letter has additional color on atropine.com – and our intention to “plant a flag” in the compounded atropine market.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want to add that in the last 30 days, we’ve made critical progress with product acquisition opportunities we have been pursuing for quite some time.</w:t>
      </w:r>
    </w:p>
    <w:p>
      <w:pPr>
        <w:spacing w:after="0" w:line="170"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i w:val="1"/>
          <w:iCs w:val="1"/>
          <w:color w:val="auto"/>
        </w:rPr>
        <w:t>Related to our M&amp;A strategy, we are focused on assets that are either (i) FDA-approved and “under-loved” (or non-strategic) where they currently are, or (ii) have been substantially de-risked from a development perspective. Our objective is to leverage our commercial platform and our U.S. ophthalmic market expertise. We can’t guarantee any one of these deals will get done, or that Harrow’s stockholders will be as excited as we are about these assets. Be forewarned that we are getting close and that we believe completing any one of these acquisitions would expand the revenue growth we are expecting over the coming years.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Chief among my objectives in authoring these Stockholder Letters is to give current and prospective stockholders sufficient transparency to make an informed decision as to whether to entrust this management team with their investable capital. Despite never being more bullish on Harrow – because so much is going “right” as we make critical long-term investments and push to execute on a once-in-a-generation opportunity we see for a small company like Harrow to rapidly blossom into a leading U.S. ophthalmic pharmaceutical company – this past quarter presented a heck of a challenge as we worked through a combination of operational issues, including a return to seasonal/summer demand fluctuations, supply chain issues, increased operating costs, and a nearly $1 million revenue order backlog by the end of the third quarter. Page 3 in the </w:t>
      </w:r>
      <w:r>
        <w:rPr>
          <w:rFonts w:ascii="Arial" w:cs="Arial" w:eastAsia="Arial" w:hAnsi="Arial"/>
          <w:sz w:val="18"/>
          <w:szCs w:val="18"/>
          <w:i w:val="1"/>
          <w:iCs w:val="1"/>
          <w:color w:val="auto"/>
        </w:rPr>
        <w:t>Financial Highlights and Commentary</w:t>
      </w:r>
      <w:r>
        <w:rPr>
          <w:rFonts w:ascii="Arial" w:cs="Arial" w:eastAsia="Arial" w:hAnsi="Arial"/>
          <w:sz w:val="18"/>
          <w:szCs w:val="18"/>
          <w:color w:val="auto"/>
        </w:rPr>
        <w:t xml:space="preserve"> of this Stockholder Letter has additional detail on these issues.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let’s look at our financial results for the three and nine months ended September 30, 2022, and the same periods in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Core Results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Beginning in 2022, we began providing additional non-GAAP financial metrics – </w:t>
      </w:r>
      <w:r>
        <w:rPr>
          <w:rFonts w:ascii="Arial" w:cs="Arial" w:eastAsia="Arial" w:hAnsi="Arial"/>
          <w:sz w:val="18"/>
          <w:szCs w:val="18"/>
          <w:i w:val="1"/>
          <w:iCs w:val="1"/>
          <w:color w:val="auto"/>
        </w:rPr>
        <w:t>Core Results</w:t>
      </w:r>
      <w:r>
        <w:rPr>
          <w:rFonts w:ascii="Arial" w:cs="Arial" w:eastAsia="Arial" w:hAnsi="Arial"/>
          <w:sz w:val="18"/>
          <w:szCs w:val="18"/>
          <w:color w:val="auto"/>
        </w:rPr>
        <w:t>, which we define as the after-tax earnings and other operational and financial metrics generated from our principal business.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1"/>
              </w:rPr>
              <w:t>For the Three Months Ended</w:t>
            </w:r>
          </w:p>
        </w:tc>
        <w:tc>
          <w:tcPr>
            <w:tcW w:w="300" w:type="dxa"/>
            <w:vAlign w:val="bottom"/>
          </w:tcPr>
          <w:p>
            <w:pPr>
              <w:spacing w:after="0"/>
              <w:rPr>
                <w:sz w:val="18"/>
                <w:szCs w:val="18"/>
                <w:color w:val="auto"/>
              </w:rPr>
            </w:pPr>
          </w:p>
        </w:tc>
        <w:tc>
          <w:tcPr>
            <w:tcW w:w="31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41"/>
        </w:trPr>
        <w:tc>
          <w:tcPr>
            <w:tcW w:w="4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4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22,823,000</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68,266,000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52,288,000</w:t>
            </w: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57"/>
        </w:trPr>
        <w:tc>
          <w:tcPr>
            <w:tcW w:w="41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Core gross margin</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(6,464,000)</w:t>
            </w:r>
          </w:p>
        </w:tc>
        <w:tc>
          <w:tcPr>
            <w:tcW w:w="4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(8,328,000)</w:t>
            </w:r>
          </w:p>
        </w:tc>
        <w:tc>
          <w:tcPr>
            <w:tcW w:w="3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(15,141,000)</w:t>
            </w: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(11,061,000)</w:t>
            </w:r>
          </w:p>
        </w:tc>
      </w:tr>
      <w:tr>
        <w:trPr>
          <w:trHeight w:val="256"/>
        </w:trPr>
        <w:tc>
          <w:tcPr>
            <w:tcW w:w="41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Core net loss</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(1,531,000)</w:t>
            </w:r>
          </w:p>
        </w:tc>
        <w:tc>
          <w:tcPr>
            <w:tcW w:w="4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(5,359,000)</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(564,000)</w:t>
            </w:r>
          </w:p>
        </w:tc>
        <w:tc>
          <w:tcPr>
            <w:tcW w:w="4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(828,000)</w:t>
            </w:r>
          </w:p>
        </w:tc>
      </w:tr>
      <w:tr>
        <w:trPr>
          <w:trHeight w:val="257"/>
        </w:trPr>
        <w:tc>
          <w:tcPr>
            <w:tcW w:w="4160" w:type="dxa"/>
            <w:vAlign w:val="bottom"/>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(1)(2)</w:t>
            </w:r>
          </w:p>
        </w:tc>
        <w:tc>
          <w:tcPr>
            <w:tcW w:w="300" w:type="dxa"/>
            <w:vAlign w:val="bottom"/>
          </w:tcPr>
          <w:p>
            <w:pPr>
              <w:spacing w:after="0"/>
              <w:rPr>
                <w:sz w:val="22"/>
                <w:szCs w:val="22"/>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2,483,000</w:t>
            </w:r>
          </w:p>
        </w:tc>
        <w:tc>
          <w:tcPr>
            <w:tcW w:w="46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(78,000)</w:t>
            </w:r>
          </w:p>
        </w:tc>
        <w:tc>
          <w:tcPr>
            <w:tcW w:w="300" w:type="dxa"/>
            <w:vAlign w:val="bottom"/>
          </w:tcPr>
          <w:p>
            <w:pPr>
              <w:spacing w:after="0"/>
              <w:rPr>
                <w:sz w:val="22"/>
                <w:szCs w:val="22"/>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11,928,000</w:t>
            </w:r>
          </w:p>
        </w:tc>
        <w:tc>
          <w:tcPr>
            <w:tcW w:w="4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9,896,000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(0.24)</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(0.55)</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r>
      <w:tr>
        <w:trPr>
          <w:trHeight w:val="390"/>
        </w:trPr>
        <w:tc>
          <w:tcPr>
            <w:tcW w:w="4160" w:type="dxa"/>
            <w:vAlign w:val="bottom"/>
          </w:tcPr>
          <w:p>
            <w:pPr>
              <w:spacing w:after="0"/>
              <w:rPr>
                <w:sz w:val="20"/>
                <w:szCs w:val="20"/>
                <w:color w:val="auto"/>
              </w:rPr>
            </w:pPr>
            <w:r>
              <w:rPr>
                <w:rFonts w:ascii="Arial" w:cs="Arial" w:eastAsia="Arial" w:hAnsi="Arial"/>
                <w:sz w:val="18"/>
                <w:szCs w:val="18"/>
                <w:color w:val="auto"/>
              </w:rPr>
              <w:t>Core diluted net loss per share</w:t>
            </w:r>
            <w:r>
              <w:rPr>
                <w:rFonts w:ascii="Arial" w:cs="Arial" w:eastAsia="Arial" w:hAnsi="Arial"/>
                <w:sz w:val="29"/>
                <w:szCs w:val="29"/>
                <w:color w:val="auto"/>
                <w:vertAlign w:val="superscript"/>
              </w:rPr>
              <w:t>(1)</w:t>
            </w:r>
          </w:p>
        </w:tc>
        <w:tc>
          <w:tcPr>
            <w:tcW w:w="30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(0.06)</w:t>
            </w:r>
          </w:p>
        </w:tc>
        <w:tc>
          <w:tcPr>
            <w:tcW w:w="46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30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bl>
    <w:p>
      <w:pPr>
        <w:spacing w:after="0" w:line="68" w:lineRule="exact"/>
        <w:rPr>
          <w:sz w:val="20"/>
          <w:szCs w:val="20"/>
          <w:color w:val="auto"/>
        </w:rPr>
      </w:pPr>
    </w:p>
    <w:p>
      <w:pPr>
        <w:jc w:val="both"/>
        <w:ind w:left="340" w:hanging="332"/>
        <w:spacing w:after="0" w:line="234" w:lineRule="auto"/>
        <w:tabs>
          <w:tab w:leader="none" w:pos="34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 xml:space="preserve">Core gross margin, core net loss, core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w:t>
      </w:r>
      <w:r>
        <w:rPr>
          <w:rFonts w:ascii="Arial" w:cs="Arial" w:eastAsia="Arial" w:hAnsi="Arial"/>
          <w:sz w:val="16"/>
          <w:szCs w:val="16"/>
          <w:u w:val="single" w:color="auto"/>
          <w:color w:val="auto"/>
        </w:rPr>
        <w:t>at the end</w:t>
      </w:r>
      <w:r>
        <w:rPr>
          <w:rFonts w:ascii="Arial" w:cs="Arial" w:eastAsia="Arial" w:hAnsi="Arial"/>
          <w:sz w:val="16"/>
          <w:szCs w:val="16"/>
          <w:color w:val="auto"/>
        </w:rPr>
        <w:t xml:space="preserve"> of this Letter to Stockholders.</w:t>
      </w:r>
    </w:p>
    <w:p>
      <w:pPr>
        <w:jc w:val="both"/>
        <w:ind w:left="340" w:hanging="332"/>
        <w:spacing w:after="0" w:line="20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Company recently made a change to its methodology for reporting of Adjusted EBITDA to include acquired in-process R&amp;D (“IPR&amp;D”) charges. During the 2021 reporting periods, similar IPR&amp;D transactions were excluded from Adjusted EBITDA for reporting purposes. This change is the result of the U.S. Securities and Exchange Commission’s recent industry correspondence on this matter.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i w:val="1"/>
          <w:iCs w:val="1"/>
          <w:u w:val="single" w:color="auto"/>
          <w:color w:val="auto"/>
        </w:rPr>
        <w:t>Financial Highlights and Commentary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of $22.8 million for the third quarter of 2022 represent a 22% increase over the prior-year period revenues of $18.7 million and a slight decrease from the second quarter of 2022. During the third quarter of 2022, we saw modest seasonality return to our business, with surgical volumes slowing down in the third quarter vs. the second quarter as customers returned to their historical patterns of taking time for summer vacation and travel, leading to fewer surgical procedures, and therefore, fewer revenue generating opportunities for Harrow.</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revenues in the third quarter were also impacted by our supply chain – including vendors who supply us with pharmaceutical ingredients and third-party laboratories who we rely on for mandated end-product analytical testing. On top of this, our regulators requested new testing regimens for some of our products, exacerbating analytical testing delays. And finally, like many American businesses, we’ve seen the costs to build our products slowly creep up before we could offset them with pricing adjustments.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With the above said, our third quarter headline revenue number belies a key fact of merit – </w:t>
      </w:r>
      <w:r>
        <w:rPr>
          <w:rFonts w:ascii="Arial" w:cs="Arial" w:eastAsia="Arial" w:hAnsi="Arial"/>
          <w:sz w:val="18"/>
          <w:szCs w:val="18"/>
          <w:i w:val="1"/>
          <w:iCs w:val="1"/>
          <w:color w:val="auto"/>
        </w:rPr>
        <w:t>we had nearly $1 million in firm orders that we could</w:t>
      </w:r>
      <w:r>
        <w:rPr>
          <w:rFonts w:ascii="Arial" w:cs="Arial" w:eastAsia="Arial" w:hAnsi="Arial"/>
          <w:sz w:val="18"/>
          <w:szCs w:val="18"/>
          <w:color w:val="auto"/>
        </w:rPr>
        <w:t xml:space="preserve"> </w:t>
      </w:r>
      <w:r>
        <w:rPr>
          <w:rFonts w:ascii="Arial" w:cs="Arial" w:eastAsia="Arial" w:hAnsi="Arial"/>
          <w:sz w:val="18"/>
          <w:szCs w:val="18"/>
          <w:i w:val="1"/>
          <w:iCs w:val="1"/>
          <w:color w:val="auto"/>
        </w:rPr>
        <w:t>not fill at the end of the period because of the aforementioned supply chain impacts</w:t>
      </w:r>
      <w:r>
        <w:rPr>
          <w:rFonts w:ascii="Arial" w:cs="Arial" w:eastAsia="Arial" w:hAnsi="Arial"/>
          <w:sz w:val="18"/>
          <w:szCs w:val="18"/>
          <w:color w:val="auto"/>
        </w:rPr>
        <w:t>. On the positive side, we successfully managed these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issues and cleared up our backlog only a few weeks into the fourth quarter, and our stockholders “rang the register” on these orders. </w:t>
      </w:r>
      <w:r>
        <w:rPr>
          <w:rFonts w:ascii="Arial" w:cs="Arial" w:eastAsia="Arial" w:hAnsi="Arial"/>
          <w:sz w:val="18"/>
          <w:szCs w:val="18"/>
          <w:b w:val="1"/>
          <w:bCs w:val="1"/>
          <w:color w:val="auto"/>
        </w:rPr>
        <w:t>In sum, despite</w:t>
      </w:r>
      <w:r>
        <w:rPr>
          <w:rFonts w:ascii="Arial" w:cs="Arial" w:eastAsia="Arial" w:hAnsi="Arial"/>
          <w:sz w:val="18"/>
          <w:szCs w:val="18"/>
          <w:color w:val="auto"/>
        </w:rPr>
        <w:t xml:space="preserve"> </w:t>
      </w:r>
      <w:r>
        <w:rPr>
          <w:rFonts w:ascii="Arial" w:cs="Arial" w:eastAsia="Arial" w:hAnsi="Arial"/>
          <w:sz w:val="18"/>
          <w:szCs w:val="18"/>
          <w:b w:val="1"/>
          <w:bCs w:val="1"/>
          <w:color w:val="auto"/>
        </w:rPr>
        <w:t>decreased surgical volumes in the third quarter, without these supply chain issues, we would have been able to continue delivering sequential revenue growth</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 am happy we ultimately took care of customer backorders in the fourth quarter; however, our job is to fill orders rapidly </w:t>
      </w:r>
      <w:r>
        <w:rPr>
          <w:rFonts w:ascii="Arial" w:cs="Arial" w:eastAsia="Arial" w:hAnsi="Arial"/>
          <w:sz w:val="16"/>
          <w:szCs w:val="16"/>
          <w:u w:val="single" w:color="auto"/>
          <w:color w:val="auto"/>
        </w:rPr>
        <w:t>without</w:t>
      </w:r>
      <w:r>
        <w:rPr>
          <w:rFonts w:ascii="Arial" w:cs="Arial" w:eastAsia="Arial" w:hAnsi="Arial"/>
          <w:sz w:val="16"/>
          <w:szCs w:val="16"/>
          <w:color w:val="auto"/>
        </w:rPr>
        <w:t xml:space="preserve"> any backorders. To resolve this issue, our team is doing something we’ve had to do many times over the years as market demands for our products grew – </w:t>
      </w:r>
      <w:r>
        <w:rPr>
          <w:rFonts w:ascii="Arial" w:cs="Arial" w:eastAsia="Arial" w:hAnsi="Arial"/>
          <w:sz w:val="16"/>
          <w:szCs w:val="16"/>
          <w:i w:val="1"/>
          <w:iCs w:val="1"/>
          <w:color w:val="auto"/>
        </w:rPr>
        <w:t>scale up our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production batches and generate additional operational efficiencies</w:t>
      </w:r>
      <w:r>
        <w:rPr>
          <w:rFonts w:ascii="Arial" w:cs="Arial" w:eastAsia="Arial" w:hAnsi="Arial"/>
          <w:sz w:val="16"/>
          <w:szCs w:val="16"/>
          <w:color w:val="auto"/>
        </w:rPr>
        <w:t>. Currently, we are qualifying larger batch sizes on our highest volume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optimizing our production scheduling. The outcome of this work should be increased availability of our products and improved gross margins. Also, our team is collaborating with key vendors and a few new vendors to resolve the remaining supply chain issues we experienced. Because of this effort, we are now seeing more finished goods inventory being released – faster and in keeping with the inbound order flow our commercial team has resolutely delivered, quarter after quarter, for more than eight years. Fortunately, demand for our products has never been greater!</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Our third quarter revenues included product revenues from sales of IOPIDINE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MAXITROL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well as commissions from sales of DEXYCU</w:t>
      </w:r>
      <w:r>
        <w:rPr>
          <w:rFonts w:ascii="Arial" w:cs="Arial" w:eastAsia="Arial" w:hAnsi="Arial"/>
          <w:sz w:val="26"/>
          <w:szCs w:val="26"/>
          <w:color w:val="auto"/>
          <w:vertAlign w:val="superscript"/>
        </w:rPr>
        <w:t>®</w:t>
      </w:r>
      <w:r>
        <w:rPr>
          <w:rFonts w:ascii="Arial" w:cs="Arial" w:eastAsia="Arial" w:hAnsi="Arial"/>
          <w:sz w:val="16"/>
          <w:szCs w:val="16"/>
          <w:color w:val="auto"/>
        </w:rPr>
        <w:t>, which we promote under a Commercial Alliance Agreement between Harrow and EyePoint Pharmaceuticals. We recently mutually agreed with EyePoint to end this relationship. The DEXYCU agreement will be terminated effective January 1, 2023, as a result of the decision by the CMS in their CY 2023 Payment Rule for Hospital Outpatient Services and Ambulatory Surgery Centers (ASCs) that DEXYCU will no longer qualify as a separately payable product in an ASC or outpatient setting and will instead be bundled into the general cataract procedure code, effective January 1, 2023. As we have previously stated, w</w:t>
      </w:r>
      <w:r>
        <w:rPr>
          <w:rFonts w:ascii="Arial" w:cs="Arial" w:eastAsia="Arial" w:hAnsi="Arial"/>
          <w:sz w:val="16"/>
          <w:szCs w:val="16"/>
          <w:i w:val="1"/>
          <w:iCs w:val="1"/>
          <w:color w:val="auto"/>
        </w:rPr>
        <w:t>e do not expect the status of DEXYCU to affect our business materially, and any decrease in our revenues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DEXYCU commissions should be replaced by products Harrow currently sells as well as anticipated organic and inorganic growth expected during 2023.</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 per shipping day was $355,000 in the third quarter of 2022, a 21% increase over the prior-year period’s revenue per shipping day of $292,000.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color w:val="auto"/>
        </w:rPr>
        <w:t>The total product units distributed was approximately 703,000 for the third quarter of 2022, a 21% increase over the prior-year period total product units of 582,000.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Core gross margin was 72% in the third quarter of 2022 compared with a core gross margin of 74% in the prior-year third quarter. In part, gross margins during the third quarter of 2022 were affected by some minor production challenges at our New Jersey facility, coupled with supply chain challenges that ended up driving some costs up and adding new expenses (e.g., rush fees). Ultimately, the supply chain challenges also hindered our ability to release all of the inventory we had hoped, resulting in the previously mentioned order backlog of almost $1 million, which we have since realized in the fourth quarter.</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Selling, general and administrative expenses for the third quarter of 2022 increased to $15.4 million over the prior-year quarter’s $11.4 million. This increase was primarily a result of our continued initiatives to add key talent, support the transition and implementation of recently acquired branded products, and increased commercial and regulatory expenses related to the ongoing preparation for our launch of IHEEZO. In addition, supply chain struggles also led to increased transitory costs in operating expenses – such as increased customer service support to manage product delays and backlogs.</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Research and development costs were $775,000 in the third quarter of 2022 compared with $6.1 million in the prior-year quarter. The decrease was primarily the result of acquired research and development costs incurred in the third quarter of 2021 related to the acquisition of IHEEZO.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GAAP operating loss was ($94,000) for the third quarter of 2022, compared with a GAAP operating loss of ($3.7) million during the same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last year.</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Adjusted EBITDA was $2.5 million for the third quarter of 2022 compared with Adjusted EBITDA of ($78,000) reported in the prior-year quarter, primarily due to lower gross profit and increased operating expenses. During the third quarter of 2021, the company incurred a $5.0 million IPR&amp;D charge associated with an upfront payment related to the execution of a licensing and supply arrangement for IHEEZO. These charges are now included in both GAAP and non-GAAP operating expenses, which is a change versus the company’s previous methodology during 2021, where similar IPR&amp;D transactions were excluded from Adjusted EBITDA and related non-GAAP reporting purposes. This change is the result of the U.S. Securities and Exchange Commission’s recent industry correspondence on this matter.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Core net loss was ($1.5) million for the third quarter of 2022 compared with a core net loss of ($5.4) million in the third quarter of 2021.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Core diluted net loss per share for the third quarter of 2022 was ($0.05) compared with core diluted net loss of ($0.20) during the same period last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all non-GAAP financial measures in this letter begins on page 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ind w:right="20" w:firstLine="648"/>
        <w:spacing w:after="0" w:line="277" w:lineRule="auto"/>
        <w:rPr>
          <w:sz w:val="20"/>
          <w:szCs w:val="20"/>
          <w:color w:val="auto"/>
        </w:rPr>
      </w:pPr>
      <w:r>
        <w:rPr>
          <w:rFonts w:ascii="Arial" w:cs="Arial" w:eastAsia="Arial" w:hAnsi="Arial"/>
          <w:sz w:val="18"/>
          <w:szCs w:val="18"/>
          <w:color w:val="auto"/>
        </w:rPr>
        <w:t>Selected highlights regarding GAAP operating results for the three months and nine months ended September 30, 2022, and for the same periods in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w w:val="99"/>
              </w:rPr>
              <w:t>For the Three Months Ended</w:t>
            </w:r>
          </w:p>
        </w:tc>
        <w:tc>
          <w:tcPr>
            <w:tcW w:w="300" w:type="dxa"/>
            <w:vAlign w:val="bottom"/>
          </w:tcPr>
          <w:p>
            <w:pPr>
              <w:spacing w:after="0"/>
              <w:rPr>
                <w:sz w:val="18"/>
                <w:szCs w:val="18"/>
                <w:color w:val="auto"/>
              </w:rPr>
            </w:pPr>
          </w:p>
        </w:tc>
        <w:tc>
          <w:tcPr>
            <w:tcW w:w="30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For the Nine Months Ended</w:t>
            </w:r>
          </w:p>
        </w:tc>
      </w:tr>
      <w:tr>
        <w:trPr>
          <w:trHeight w:val="241"/>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22,823,000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68,266,000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52,288,000</w:t>
            </w:r>
          </w:p>
        </w:tc>
        <w:tc>
          <w:tcPr>
            <w:tcW w:w="100" w:type="dxa"/>
            <w:vAlign w:val="bottom"/>
            <w:shd w:val="clear" w:color="auto" w:fill="CCEEFF"/>
          </w:tcPr>
          <w:p>
            <w:pPr>
              <w:spacing w:after="0"/>
              <w:rPr>
                <w:sz w:val="18"/>
                <w:szCs w:val="18"/>
                <w:color w:val="auto"/>
              </w:rPr>
            </w:pP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6,721,000</w:t>
            </w:r>
          </w:p>
        </w:tc>
        <w:tc>
          <w:tcPr>
            <w:tcW w:w="4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4,947,000</w:t>
            </w:r>
          </w:p>
        </w:tc>
        <w:tc>
          <w:tcPr>
            <w:tcW w:w="3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19,218,000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13,134,000</w:t>
            </w:r>
          </w:p>
        </w:tc>
      </w:tr>
      <w:tr>
        <w:trPr>
          <w:trHeight w:val="216"/>
        </w:trPr>
        <w:tc>
          <w:tcPr>
            <w:tcW w:w="4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16,102,000</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13,764,000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49,048,000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39,154,000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15,421,000</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11,356,000</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43,004,000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28,643,000</w:t>
            </w:r>
          </w:p>
        </w:tc>
      </w:tr>
      <w:tr>
        <w:trPr>
          <w:trHeight w:val="25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775,000</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6,125,000</w:t>
            </w:r>
          </w:p>
        </w:tc>
        <w:tc>
          <w:tcPr>
            <w:tcW w:w="3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2,347,000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7,142,000</w:t>
            </w:r>
          </w:p>
        </w:tc>
      </w:tr>
      <w:tr>
        <w:trPr>
          <w:trHeight w:val="210"/>
        </w:trPr>
        <w:tc>
          <w:tcPr>
            <w:tcW w:w="402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16,196,000</w:t>
            </w:r>
          </w:p>
        </w:tc>
        <w:tc>
          <w:tcPr>
            <w:tcW w:w="34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17,481,000</w:t>
            </w:r>
          </w:p>
        </w:tc>
        <w:tc>
          <w:tcPr>
            <w:tcW w:w="3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45,351,000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35,785,000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income from operations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(3,717,000)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3,697,000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3,369,000</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other expenses, net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(6,335,000)</w:t>
            </w:r>
          </w:p>
        </w:tc>
        <w:tc>
          <w:tcPr>
            <w:tcW w:w="4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(4,611,000)</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(18,763,000)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(13,958,000)</w:t>
            </w:r>
          </w:p>
        </w:tc>
      </w:tr>
      <w:tr>
        <w:trPr>
          <w:trHeight w:val="249"/>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35,000</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40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Net loss attributable to Harrow Health, Inc.</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(6,464,000)</w:t>
            </w:r>
          </w:p>
        </w:tc>
        <w:tc>
          <w:tcPr>
            <w:tcW w:w="3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(8,328,000)</w:t>
            </w:r>
          </w:p>
        </w:tc>
        <w:tc>
          <w:tcPr>
            <w:tcW w:w="3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(15,141,000)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4"/>
              </w:rPr>
              <w:t>(10,589,000)</w:t>
            </w:r>
          </w:p>
        </w:tc>
        <w:tc>
          <w:tcPr>
            <w:tcW w:w="100" w:type="dxa"/>
            <w:vAlign w:val="bottom"/>
            <w:tcBorders>
              <w:top w:val="single" w:sz="8" w:color="CCEEFF"/>
            </w:tcBorders>
          </w:tcPr>
          <w:p>
            <w:pPr>
              <w:spacing w:after="0"/>
              <w:rPr>
                <w:sz w:val="17"/>
                <w:szCs w:val="17"/>
                <w:color w:val="auto"/>
              </w:rPr>
            </w:pPr>
          </w:p>
        </w:tc>
      </w:tr>
      <w:tr>
        <w:trPr>
          <w:trHeight w:val="202"/>
        </w:trPr>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Preferred dividends and accretion of preferred stock</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4"/>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discount</w:t>
            </w: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(472,000)</w:t>
            </w:r>
          </w:p>
        </w:tc>
      </w:tr>
      <w:tr>
        <w:trPr>
          <w:trHeight w:val="171"/>
        </w:trPr>
        <w:tc>
          <w:tcPr>
            <w:tcW w:w="402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Net loss attributable to Harrow Health, Inc.</w:t>
            </w:r>
          </w:p>
        </w:tc>
        <w:tc>
          <w:tcPr>
            <w:tcW w:w="26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301"/>
        </w:trPr>
        <w:tc>
          <w:tcPr>
            <w:tcW w:w="4020" w:type="dxa"/>
            <w:vAlign w:val="bottom"/>
          </w:tcPr>
          <w:p>
            <w:pPr>
              <w:spacing w:after="0"/>
              <w:rPr>
                <w:sz w:val="20"/>
                <w:szCs w:val="20"/>
                <w:color w:val="auto"/>
              </w:rPr>
            </w:pPr>
            <w:r>
              <w:rPr>
                <w:rFonts w:ascii="Arial" w:cs="Arial" w:eastAsia="Arial" w:hAnsi="Arial"/>
                <w:sz w:val="18"/>
                <w:szCs w:val="18"/>
                <w:b w:val="1"/>
                <w:bCs w:val="1"/>
                <w:color w:val="auto"/>
              </w:rPr>
              <w:t>common stockholders</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(6,464,000)</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(8,328,000)</w:t>
            </w:r>
          </w:p>
        </w:tc>
        <w:tc>
          <w:tcPr>
            <w:tcW w:w="300" w:type="dxa"/>
            <w:vAlign w:val="bottom"/>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(15,141,000)</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(11,061,000)</w:t>
            </w:r>
          </w:p>
        </w:tc>
      </w:tr>
      <w:tr>
        <w:trPr>
          <w:trHeight w:val="151"/>
        </w:trPr>
        <w:tc>
          <w:tcPr>
            <w:tcW w:w="40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Net loss per share of common stock, basic and</w:t>
            </w:r>
          </w:p>
        </w:tc>
        <w:tc>
          <w:tcPr>
            <w:tcW w:w="2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61"/>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(0.24)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(0.31)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(0.55)</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(0.42)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More Commentary on IHEEZO, Fortisite, and Atropine.com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IHEEZO</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IHEEZO is the first approved use in the U.S. ophthalmic market of chloroprocaine hydrochloride and the first branded ocular anesthetic approved for the U.S. ophthalmic market </w:t>
      </w:r>
      <w:r>
        <w:rPr>
          <w:rFonts w:ascii="Arial" w:cs="Arial" w:eastAsia="Arial" w:hAnsi="Arial"/>
          <w:sz w:val="16"/>
          <w:szCs w:val="16"/>
          <w:i w:val="1"/>
          <w:iCs w:val="1"/>
          <w:color w:val="auto"/>
        </w:rPr>
        <w:t>in nearly 14 years.</w:t>
      </w:r>
      <w:r>
        <w:rPr>
          <w:rFonts w:ascii="Arial" w:cs="Arial" w:eastAsia="Arial" w:hAnsi="Arial"/>
          <w:sz w:val="16"/>
          <w:szCs w:val="16"/>
          <w:color w:val="auto"/>
        </w:rPr>
        <w:t xml:space="preserve"> IHEEZO is protected by a patent, now listed in the Orange Book, which is valid until 2038.</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are very excited about the potential to offer our customers a new ocular anesthesia solution. Our market research has validated diverse approaches to ocular anesthesia for various ocular procedures, with doctors using different active pharmaceutical ingredients at different time intervals. We believe IHEEZO has the potential to provide ophthalmologists with a market-differentiated and </w:t>
      </w:r>
      <w:r>
        <w:rPr>
          <w:rFonts w:ascii="Arial" w:cs="Arial" w:eastAsia="Arial" w:hAnsi="Arial"/>
          <w:sz w:val="18"/>
          <w:szCs w:val="18"/>
          <w:i w:val="1"/>
          <w:iCs w:val="1"/>
          <w:color w:val="auto"/>
        </w:rPr>
        <w:t>unifying solution</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Here are a few of the essential product attributes that we believe make IHEEZO an attractive product in the ophthalmic anesthesia market:</w:t>
      </w:r>
    </w:p>
    <w:p>
      <w:pPr>
        <w:spacing w:after="0" w:line="225" w:lineRule="exact"/>
        <w:rPr>
          <w:sz w:val="20"/>
          <w:szCs w:val="20"/>
          <w:color w:val="auto"/>
        </w:rPr>
      </w:pPr>
    </w:p>
    <w:p>
      <w:pPr>
        <w:ind w:left="980" w:right="20" w:hanging="324"/>
        <w:spacing w:after="0" w:line="25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IHEEZO is a single-patient use, physician-administered, ophthalmic gel preparation containing no preservatives that is safe and effective for ocular surface anesthesia.</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studies supporting IHEEZO’s FDA-approval demonstrated that it worked rapidly (about 1 to 1.5 minutes) and provided sufficient anesthesia to successfully perform cataract surgeries, which lasted on average, about 22 minutes.</w:t>
      </w: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Critical to the potential commercial success of IHEEZO was that </w:t>
      </w:r>
      <w:r>
        <w:rPr>
          <w:rFonts w:ascii="Arial" w:cs="Arial" w:eastAsia="Arial" w:hAnsi="Arial"/>
          <w:sz w:val="18"/>
          <w:szCs w:val="18"/>
          <w:i w:val="1"/>
          <w:iCs w:val="1"/>
          <w:color w:val="auto"/>
        </w:rPr>
        <w:t>no patient dosed with IHEEZO required a supplemental treatment to</w:t>
      </w:r>
      <w:r>
        <w:rPr>
          <w:rFonts w:ascii="Arial" w:cs="Arial" w:eastAsia="Arial" w:hAnsi="Arial"/>
          <w:sz w:val="18"/>
          <w:szCs w:val="18"/>
          <w:color w:val="auto"/>
        </w:rPr>
        <w:t xml:space="preserve"> </w:t>
      </w:r>
      <w:r>
        <w:rPr>
          <w:rFonts w:ascii="Arial" w:cs="Arial" w:eastAsia="Arial" w:hAnsi="Arial"/>
          <w:sz w:val="18"/>
          <w:szCs w:val="18"/>
          <w:i w:val="1"/>
          <w:iCs w:val="1"/>
          <w:color w:val="auto"/>
        </w:rPr>
        <w:t>complete the surgical procedure (i.e., the cataract surgery).</w:t>
      </w: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believe IHEEZO will be used to streamline practice performance with setting-specific billing options and reliable, direct reimbursement.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ind w:firstLine="648"/>
        <w:spacing w:after="0" w:line="279" w:lineRule="auto"/>
        <w:rPr>
          <w:sz w:val="20"/>
          <w:szCs w:val="20"/>
          <w:color w:val="auto"/>
        </w:rPr>
      </w:pPr>
      <w:r>
        <w:rPr>
          <w:rFonts w:ascii="Arial" w:cs="Arial" w:eastAsia="Arial" w:hAnsi="Arial"/>
          <w:sz w:val="17"/>
          <w:szCs w:val="17"/>
          <w:color w:val="auto"/>
        </w:rPr>
        <w:t>Once IHEEZO was approved by FDA at the end of September, we wasted no time and initiated our market access strategy – actively assessing the landscape of opportunities for IHEEZO. We are concentrating our efforts on our core competency – the ophthalmic surgical and office-setting markets, with an emphasis on the cataract surgery segment and other high-volume procedures where the benefit of IHEEZO could be impactful. We also intend to leverage our status as a primary vendor for, what we estimate is, about 20% of all cataract procedures in the U.S.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According to a 2021 report by </w:t>
      </w:r>
      <w:r>
        <w:rPr>
          <w:rFonts w:ascii="Arial" w:cs="Arial" w:eastAsia="Arial" w:hAnsi="Arial"/>
          <w:sz w:val="17"/>
          <w:szCs w:val="17"/>
          <w:i w:val="1"/>
          <w:iCs w:val="1"/>
          <w:color w:val="auto"/>
        </w:rPr>
        <w:t>Market Scope</w:t>
      </w:r>
      <w:r>
        <w:rPr>
          <w:rFonts w:ascii="Arial" w:cs="Arial" w:eastAsia="Arial" w:hAnsi="Arial"/>
          <w:sz w:val="17"/>
          <w:szCs w:val="17"/>
          <w:color w:val="auto"/>
        </w:rPr>
        <w:t>, U.S. ocular surgeries will approach 5 million procedures this year, and the market is expected to grow consistently for many years. Because we already participate meaningfully in this market with other products, as we successfully educate doctors about the clinical benefits of IHEEZO, at a minimum, revenues from IHEEZO should be transformative to Harrow.</w:t>
      </w:r>
    </w:p>
    <w:p>
      <w:pPr>
        <w:spacing w:after="0" w:line="16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Finally, our market access team is also working through the pricing methodology for IHEEZO and we expect to have their pricing recommendations later this year – within a sufficient time to set pricing that is in keeping with Harrow’s corporate values, including generating value for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Fortisite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American Academy of Ophthalmology (AAO) meeting in Chicago, September 30 – October 3, we launched our compounded Fortisite line of products, led by a patent-pending compounded combination of Tobramycin 1.5% and Vancomycin 5%, in solution, that is uniquely stable at refrigerated temperatures (5°C) for up to 180 days and tested for both potency and sterility before it is dispensed. Fortisite is now available, by prescription, as a cash-pay product, for $299 per bottle.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 was excited to “work the floor” with the Harrow team at the AAO meeting every day, meeting with customers to get a bead on what we were doing right and what we needed to improve upon. This included seeing firsthand what the reaction was to our new Fortisite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learnings of note:</w:t>
      </w:r>
    </w:p>
    <w:p>
      <w:pPr>
        <w:spacing w:after="0" w:line="225" w:lineRule="exact"/>
        <w:rPr>
          <w:sz w:val="20"/>
          <w:szCs w:val="20"/>
          <w:color w:val="auto"/>
        </w:rPr>
      </w:pPr>
    </w:p>
    <w:p>
      <w:pPr>
        <w:jc w:val="both"/>
        <w:ind w:left="980" w:hanging="324"/>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Over the years, we have launched quite a few compounded formulations – so I have seen many do well and some fizzle out. </w:t>
      </w:r>
      <w:r>
        <w:rPr>
          <w:rFonts w:ascii="Arial" w:cs="Arial" w:eastAsia="Arial" w:hAnsi="Arial"/>
          <w:sz w:val="18"/>
          <w:szCs w:val="18"/>
          <w:i w:val="1"/>
          <w:iCs w:val="1"/>
          <w:color w:val="auto"/>
        </w:rPr>
        <w:t>I can say without</w:t>
      </w:r>
      <w:r>
        <w:rPr>
          <w:rFonts w:ascii="Arial" w:cs="Arial" w:eastAsia="Arial" w:hAnsi="Arial"/>
          <w:sz w:val="18"/>
          <w:szCs w:val="18"/>
          <w:color w:val="auto"/>
        </w:rPr>
        <w:t xml:space="preserve"> </w:t>
      </w:r>
      <w:r>
        <w:rPr>
          <w:rFonts w:ascii="Arial" w:cs="Arial" w:eastAsia="Arial" w:hAnsi="Arial"/>
          <w:sz w:val="18"/>
          <w:szCs w:val="18"/>
          <w:i w:val="1"/>
          <w:iCs w:val="1"/>
          <w:color w:val="auto"/>
        </w:rPr>
        <w:t>any hesitation, after having seen our team present Fortisite to over 100 ophthalmologists, I have never seen such a positive reception for any new compounded formulation</w:t>
      </w:r>
      <w:r>
        <w:rPr>
          <w:rFonts w:ascii="Arial" w:cs="Arial" w:eastAsia="Arial" w:hAnsi="Arial"/>
          <w:sz w:val="18"/>
          <w:szCs w:val="18"/>
          <w:color w:val="auto"/>
        </w:rPr>
        <w:t>. Our customers appreciated the value of Fortisite, and the paucity of detractors for prescribing this formulation</w:t>
      </w:r>
      <w:r>
        <w:rPr>
          <w:rFonts w:ascii="Arial" w:cs="Arial" w:eastAsia="Arial" w:hAnsi="Arial"/>
          <w:sz w:val="18"/>
          <w:szCs w:val="18"/>
          <w:i w:val="1"/>
          <w:iCs w:val="1"/>
          <w:color w:val="auto"/>
        </w:rPr>
        <w:t xml:space="preserve"> </w:t>
      </w:r>
      <w:r>
        <w:rPr>
          <w:rFonts w:ascii="Arial" w:cs="Arial" w:eastAsia="Arial" w:hAnsi="Arial"/>
          <w:sz w:val="18"/>
          <w:szCs w:val="18"/>
          <w:color w:val="auto"/>
        </w:rPr>
        <w:t>emboldened our team, including me! Nearly universally, the eyecare professionals we met with appreciated what Fortisite could do for their patients battling sight-threatening conditions.</w:t>
      </w:r>
    </w:p>
    <w:p>
      <w:pPr>
        <w:spacing w:after="0" w:line="187" w:lineRule="exact"/>
        <w:rPr>
          <w:rFonts w:ascii="Arial" w:cs="Arial" w:eastAsia="Arial" w:hAnsi="Arial"/>
          <w:sz w:val="18"/>
          <w:szCs w:val="18"/>
          <w:color w:val="auto"/>
        </w:rPr>
      </w:pPr>
    </w:p>
    <w:p>
      <w:pPr>
        <w:jc w:val="both"/>
        <w:ind w:left="980"/>
        <w:spacing w:after="0" w:line="257" w:lineRule="auto"/>
        <w:rPr>
          <w:rFonts w:ascii="Arial" w:cs="Arial" w:eastAsia="Arial" w:hAnsi="Arial"/>
          <w:sz w:val="18"/>
          <w:szCs w:val="18"/>
          <w:color w:val="auto"/>
        </w:rPr>
      </w:pPr>
      <w:r>
        <w:rPr>
          <w:rFonts w:ascii="Arial" w:cs="Arial" w:eastAsia="Arial" w:hAnsi="Arial"/>
          <w:sz w:val="18"/>
          <w:szCs w:val="18"/>
          <w:color w:val="auto"/>
        </w:rPr>
        <w:t>We recently asked an early Fortisite prescriber for clinical feedback, and his response was emphatic – “</w:t>
      </w:r>
      <w:r>
        <w:rPr>
          <w:rFonts w:ascii="Arial" w:cs="Arial" w:eastAsia="Arial" w:hAnsi="Arial"/>
          <w:sz w:val="18"/>
          <w:szCs w:val="18"/>
          <w:i w:val="1"/>
          <w:iCs w:val="1"/>
          <w:color w:val="auto"/>
        </w:rPr>
        <w:t>Awesome</w:t>
      </w:r>
      <w:r>
        <w:rPr>
          <w:rFonts w:ascii="Arial" w:cs="Arial" w:eastAsia="Arial" w:hAnsi="Arial"/>
          <w:sz w:val="18"/>
          <w:szCs w:val="18"/>
          <w:color w:val="auto"/>
        </w:rPr>
        <w:t xml:space="preserve">.” I also heard from many prescribers that they would use Fortisite formulations more broadly than was anticipated by our market research. Here is a recent </w:t>
      </w:r>
      <w:r>
        <w:rPr>
          <w:rFonts w:ascii="Arial" w:cs="Arial" w:eastAsia="Arial" w:hAnsi="Arial"/>
          <w:sz w:val="18"/>
          <w:szCs w:val="18"/>
          <w:u w:val="single" w:color="auto"/>
          <w:color w:val="auto"/>
        </w:rPr>
        <w:t>video</w:t>
      </w:r>
      <w:r>
        <w:rPr>
          <w:rFonts w:ascii="Arial" w:cs="Arial" w:eastAsia="Arial" w:hAnsi="Arial"/>
          <w:sz w:val="18"/>
          <w:szCs w:val="18"/>
          <w:color w:val="auto"/>
        </w:rPr>
        <w:t xml:space="preserve"> perspective of Fortisite from a key opinion leader. While it is still early in the launch, I am expecting (a) Fortisite sales to build consistently during 2023, (b) the development of our core Fortisite technology into a family of products by next year, and (c) that Fortisite revenues will – as I predicted earlier this year – “move the needle” for Harrow.</w:t>
      </w:r>
    </w:p>
    <w:p>
      <w:pPr>
        <w:spacing w:after="0" w:line="18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of its uniqueness and potential clinical impact, Fortisite is a “door-opening new-account-building product.” We have already opened several new accounts, including at three of the most prestigious ophthalmic institutions in the United States. This should allow our sales organization to create awareness within these new accounts of the entirety of the Harrow ophthalmic pharmaceutical portfolio. This is a good thing!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Atropine.com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COVID pandemic, customer interest in compounded atropine has grown significantly.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 recent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Review of Myopia Management</w:t>
      </w:r>
      <w:r>
        <w:rPr>
          <w:rFonts w:ascii="Arial" w:cs="Arial" w:eastAsia="Arial" w:hAnsi="Arial"/>
          <w:sz w:val="18"/>
          <w:szCs w:val="18"/>
          <w:color w:val="auto"/>
        </w:rPr>
        <w:t xml:space="preserve"> on compounded atropine concluded, “There were a wide variety of formulation methods in the United States, which may affect atropine stability and potency,” and that “the median beyond-use date [of those pharmacies surveyed] was 65 days.” We saw an opportunity to build a national brand around atropine, take advantage of our 180 days beyond-use dating, elevate the manufacturing quality of compounded atropine, and ensure patient access to this growing chronic market need.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Harrow Team, including our research and development group, went to work. Their effort allowed us to recently launch our national atropine campaign based on our current compounded atropine formulations, </w:t>
      </w:r>
      <w:r>
        <w:rPr>
          <w:rFonts w:ascii="Arial" w:cs="Arial" w:eastAsia="Arial" w:hAnsi="Arial"/>
          <w:sz w:val="18"/>
          <w:szCs w:val="18"/>
          <w:i w:val="1"/>
          <w:iCs w:val="1"/>
          <w:color w:val="auto"/>
        </w:rPr>
        <w:t>which are stable at a biologically comfortable pH and undergo validated analytical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tests to ensure consistency, potency, and stability. </w:t>
      </w:r>
      <w:r>
        <w:rPr>
          <w:rFonts w:ascii="Arial" w:cs="Arial" w:eastAsia="Arial" w:hAnsi="Arial"/>
          <w:sz w:val="18"/>
          <w:szCs w:val="18"/>
          <w:color w:val="auto"/>
        </w:rPr>
        <w:t>These formulations are now available for individual patients through our ImprimisRx 503A national mail-order pharmacy and by accessing the atropine.com portal.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aren’t done though. We intend to launch our next-generation compounded atropine formulations, which do not contain either preservatives or boric acid, through our 503B outsourcing facility – </w:t>
      </w:r>
      <w:r>
        <w:rPr>
          <w:rFonts w:ascii="Arial" w:cs="Arial" w:eastAsia="Arial" w:hAnsi="Arial"/>
          <w:sz w:val="18"/>
          <w:szCs w:val="18"/>
          <w:i w:val="1"/>
          <w:iCs w:val="1"/>
          <w:color w:val="auto"/>
        </w:rPr>
        <w:t>with or without a patient prescription</w:t>
      </w:r>
      <w:r>
        <w:rPr>
          <w:rFonts w:ascii="Arial" w:cs="Arial" w:eastAsia="Arial" w:hAnsi="Arial"/>
          <w:sz w:val="18"/>
          <w:szCs w:val="18"/>
          <w:color w:val="auto"/>
        </w:rPr>
        <w:t xml:space="preserve"> – in the coming quarterly period. These new atropine formulations are patent pending and allow us to offer a differentiated compounded atropine formulation to serve this large, underserved, and growing chronic market need.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From a digital marketing perspective, what better brand could you have than </w:t>
      </w:r>
      <w:r>
        <w:rPr>
          <w:rFonts w:ascii="Arial" w:cs="Arial" w:eastAsia="Arial" w:hAnsi="Arial"/>
          <w:sz w:val="18"/>
          <w:szCs w:val="18"/>
          <w:i w:val="1"/>
          <w:iCs w:val="1"/>
          <w:color w:val="auto"/>
        </w:rPr>
        <w:t>atropine.com</w:t>
      </w:r>
      <w:r>
        <w:rPr>
          <w:rFonts w:ascii="Arial" w:cs="Arial" w:eastAsia="Arial" w:hAnsi="Arial"/>
          <w:sz w:val="18"/>
          <w:szCs w:val="18"/>
          <w:color w:val="auto"/>
        </w:rPr>
        <w:t>? Fortunately, we own this domain name and are using it to support our compounded atropine launch. I am very excited about our new atropine.com business, and I believe that as prescriptions grow consistently, including refills, this product family will be a revenue “needle mover” for Harrow for many years to 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Investments and Royalties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Harrow owns non-controlling equity positions in Surface Ophthalmics, Melt Pharmaceuticals, and Eton Pharmaceuticals, companies founded as Harrow subsidiaries before being deconsolidated into independent and separately managed companies.</w:t>
      </w:r>
    </w:p>
    <w:p>
      <w:pPr>
        <w:spacing w:after="0" w:line="170" w:lineRule="exact"/>
        <w:rPr>
          <w:sz w:val="20"/>
          <w:szCs w:val="20"/>
          <w:color w:val="auto"/>
        </w:rPr>
      </w:pPr>
    </w:p>
    <w:p>
      <w:pPr>
        <w:jc w:val="both"/>
        <w:ind w:left="980" w:hanging="32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We own approximately 3.5 million shares of </w:t>
      </w:r>
      <w:r>
        <w:rPr>
          <w:rFonts w:ascii="Arial" w:cs="Arial" w:eastAsia="Arial" w:hAnsi="Arial"/>
          <w:sz w:val="18"/>
          <w:szCs w:val="18"/>
          <w:u w:val="single" w:color="auto"/>
          <w:color w:val="auto"/>
        </w:rPr>
        <w:t>Surface Ophthalmics</w:t>
      </w:r>
      <w:r>
        <w:rPr>
          <w:rFonts w:ascii="Arial" w:cs="Arial" w:eastAsia="Arial" w:hAnsi="Arial"/>
          <w:sz w:val="18"/>
          <w:szCs w:val="18"/>
          <w:color w:val="auto"/>
        </w:rPr>
        <w:t xml:space="preserve"> common stock, or about 20% of the outstanding equity interests. Surface, a pre-commercial private company, focuses on ocular surface disease, specifically dry eye disease. The U.S. market for dry eye disease is large and growing and, importantly, continues to be underserved by the current weak array of available FDA-approved products. Harrow also owns royalty rights on all three active Surface drug development programs.</w:t>
      </w:r>
    </w:p>
    <w:p>
      <w:pPr>
        <w:spacing w:after="0" w:line="186" w:lineRule="exact"/>
        <w:rPr>
          <w:rFonts w:ascii="Arial" w:cs="Arial" w:eastAsia="Arial" w:hAnsi="Arial"/>
          <w:sz w:val="18"/>
          <w:szCs w:val="18"/>
          <w:color w:val="auto"/>
        </w:rPr>
      </w:pPr>
    </w:p>
    <w:p>
      <w:pPr>
        <w:jc w:val="both"/>
        <w:ind w:left="98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Little has changed since my commentary about Surface in my </w:t>
      </w:r>
      <w:r>
        <w:rPr>
          <w:rFonts w:ascii="Arial" w:cs="Arial" w:eastAsia="Arial" w:hAnsi="Arial"/>
          <w:sz w:val="18"/>
          <w:szCs w:val="18"/>
          <w:u w:val="single" w:color="auto"/>
          <w:color w:val="auto"/>
        </w:rPr>
        <w:t>last Stockholder Letter</w:t>
      </w:r>
      <w:r>
        <w:rPr>
          <w:rFonts w:ascii="Arial" w:cs="Arial" w:eastAsia="Arial" w:hAnsi="Arial"/>
          <w:sz w:val="18"/>
          <w:szCs w:val="18"/>
          <w:color w:val="auto"/>
        </w:rPr>
        <w:t>; however, there has recently been a couple of remarkable transactions in the dry eye disease space, so we believe market interest in this category within eyecare is a good thing for Surface given the success of their programs to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ind w:left="98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We own approximately 3.5 million shares of </w:t>
      </w:r>
      <w:r>
        <w:rPr>
          <w:rFonts w:ascii="Arial" w:cs="Arial" w:eastAsia="Arial" w:hAnsi="Arial"/>
          <w:sz w:val="17"/>
          <w:szCs w:val="17"/>
          <w:u w:val="single" w:color="auto"/>
          <w:color w:val="auto"/>
        </w:rPr>
        <w:t>Melt Pharmaceuticals</w:t>
      </w:r>
      <w:r>
        <w:rPr>
          <w:rFonts w:ascii="Arial" w:cs="Arial" w:eastAsia="Arial" w:hAnsi="Arial"/>
          <w:sz w:val="17"/>
          <w:szCs w:val="17"/>
          <w:color w:val="auto"/>
        </w:rPr>
        <w:t xml:space="preserve"> common stock or about 46% of the outstanding equity interests. We also hold a $13.5 million senior secured note receivable from Melt and royalty rights on its flagship drug candidate, MELT-300.</w:t>
      </w:r>
    </w:p>
    <w:p>
      <w:pPr>
        <w:spacing w:after="0" w:line="146" w:lineRule="exact"/>
        <w:rPr>
          <w:rFonts w:ascii="Arial" w:cs="Arial" w:eastAsia="Arial" w:hAnsi="Arial"/>
          <w:sz w:val="17"/>
          <w:szCs w:val="17"/>
          <w:color w:val="auto"/>
        </w:rPr>
      </w:pPr>
    </w:p>
    <w:p>
      <w:pPr>
        <w:jc w:val="both"/>
        <w:ind w:left="980"/>
        <w:spacing w:after="0" w:line="263" w:lineRule="auto"/>
        <w:rPr>
          <w:rFonts w:ascii="Arial" w:cs="Arial" w:eastAsia="Arial" w:hAnsi="Arial"/>
          <w:sz w:val="17"/>
          <w:szCs w:val="17"/>
          <w:color w:val="auto"/>
        </w:rPr>
      </w:pPr>
      <w:r>
        <w:rPr>
          <w:rFonts w:ascii="Arial" w:cs="Arial" w:eastAsia="Arial" w:hAnsi="Arial"/>
          <w:sz w:val="18"/>
          <w:szCs w:val="18"/>
          <w:color w:val="auto"/>
        </w:rPr>
        <w:t>MELT-300, a patented non-opioid sublingually delivered sedation and analgesia drug candidate, has the potential to transform the way U.S. cataract surgery patients are sedated. In addition, Melt’s drug candidates and related patented technologies may have a far broader application beyond ophthalmic surgery and could potentially serve a global market.</w:t>
      </w:r>
    </w:p>
    <w:p>
      <w:pPr>
        <w:spacing w:after="0" w:line="183" w:lineRule="exact"/>
        <w:rPr>
          <w:rFonts w:ascii="Arial" w:cs="Arial" w:eastAsia="Arial" w:hAnsi="Arial"/>
          <w:sz w:val="17"/>
          <w:szCs w:val="17"/>
          <w:color w:val="auto"/>
        </w:rPr>
      </w:pPr>
    </w:p>
    <w:p>
      <w:pPr>
        <w:jc w:val="both"/>
        <w:ind w:left="980"/>
        <w:spacing w:after="0" w:line="248" w:lineRule="auto"/>
        <w:rPr>
          <w:rFonts w:ascii="Arial" w:cs="Arial" w:eastAsia="Arial" w:hAnsi="Arial"/>
          <w:sz w:val="17"/>
          <w:szCs w:val="17"/>
          <w:color w:val="auto"/>
        </w:rPr>
      </w:pPr>
      <w:r>
        <w:rPr>
          <w:rFonts w:ascii="Arial" w:cs="Arial" w:eastAsia="Arial" w:hAnsi="Arial"/>
          <w:sz w:val="17"/>
          <w:szCs w:val="17"/>
          <w:color w:val="auto"/>
        </w:rPr>
        <w:t>We have tremendous confidence in the commercial viability of Melt’s product candidates. Why? Because our ImprimisRx brand has dispensed over 400,000 compounded MKO Melt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troches which, as a compounded formulation, is similar to the MELT-300 product candidate. Customers seem to love the MKO Melt – so much so that they pay for it out of their capitated cataract surgery procedure fees. If we can provide them with an FDA-approved product – like the MELT-300 or MELT-210, I believe they will choose it over an IV and opioids (and as this recent </w:t>
      </w:r>
      <w:r>
        <w:rPr>
          <w:rFonts w:ascii="Arial" w:cs="Arial" w:eastAsia="Arial" w:hAnsi="Arial"/>
          <w:sz w:val="17"/>
          <w:szCs w:val="17"/>
          <w:u w:val="single" w:color="auto"/>
          <w:color w:val="auto"/>
        </w:rPr>
        <w:t>publication</w:t>
      </w:r>
      <w:r>
        <w:rPr>
          <w:rFonts w:ascii="Arial" w:cs="Arial" w:eastAsia="Arial" w:hAnsi="Arial"/>
          <w:sz w:val="17"/>
          <w:szCs w:val="17"/>
          <w:color w:val="auto"/>
        </w:rPr>
        <w:t xml:space="preserve"> made clear, opioids remain all too frequently used in cataract surgery).</w:t>
      </w:r>
    </w:p>
    <w:p>
      <w:pPr>
        <w:spacing w:after="0" w:line="195" w:lineRule="exact"/>
        <w:rPr>
          <w:rFonts w:ascii="Arial" w:cs="Arial" w:eastAsia="Arial" w:hAnsi="Arial"/>
          <w:sz w:val="17"/>
          <w:szCs w:val="17"/>
          <w:color w:val="auto"/>
        </w:rPr>
      </w:pPr>
    </w:p>
    <w:p>
      <w:pPr>
        <w:ind w:left="980"/>
        <w:spacing w:after="0" w:line="277" w:lineRule="auto"/>
        <w:rPr>
          <w:rFonts w:ascii="Arial" w:cs="Arial" w:eastAsia="Arial" w:hAnsi="Arial"/>
          <w:sz w:val="17"/>
          <w:szCs w:val="17"/>
          <w:color w:val="auto"/>
        </w:rPr>
      </w:pPr>
      <w:r>
        <w:rPr>
          <w:rFonts w:ascii="Arial" w:cs="Arial" w:eastAsia="Arial" w:hAnsi="Arial"/>
          <w:sz w:val="18"/>
          <w:szCs w:val="18"/>
          <w:color w:val="auto"/>
        </w:rPr>
        <w:t>Melt recently completed the enrollment of patients in a Phase 2 efficacy and safety study of MELT-300 and is expected to report top-line clinical results in a matter of weeks.</w:t>
      </w:r>
    </w:p>
    <w:p>
      <w:pPr>
        <w:spacing w:after="0" w:line="170"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We own just under 2.0 million shares of common stock of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(Nasdaq: ETON), an innovative rare disease pharmaceutical company. We remain patiently optimistic about our investment in Eton and believe in its 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Closing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would not be where we are today without the efforts of every single member of the Harrow Family – many of whom have been with us through thick and thin. I am equally appreciative of the newest members of the Harrow Family, who are committed to our shared goal of becoming a leading U.S. ophthalmic pharmaceutical company. Finally, we can’t do this without our stockholders and their capital – so thank you for your continued confidence and support. I promise we are hustling to convert this unique opportunity we see – </w:t>
      </w:r>
      <w:r>
        <w:rPr>
          <w:rFonts w:ascii="Arial" w:cs="Arial" w:eastAsia="Arial" w:hAnsi="Arial"/>
          <w:sz w:val="17"/>
          <w:szCs w:val="17"/>
          <w:i w:val="1"/>
          <w:iCs w:val="1"/>
          <w:color w:val="auto"/>
        </w:rPr>
        <w:t>clear as day</w:t>
      </w:r>
      <w:r>
        <w:rPr>
          <w:rFonts w:ascii="Arial" w:cs="Arial" w:eastAsia="Arial" w:hAnsi="Arial"/>
          <w:sz w:val="17"/>
          <w:szCs w:val="17"/>
          <w:color w:val="auto"/>
        </w:rPr>
        <w:t xml:space="preserve"> – into value for you!</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Harrow Family is truly energized. While remaining adjusted EBITDA positive, we are investing to take advantage of the next leg of growth we plainly see on our horizon. We are resolute in our conviction that we are making progress toward achieving our strategic goal – </w:t>
      </w:r>
      <w:r>
        <w:rPr>
          <w:rFonts w:ascii="Arial" w:cs="Arial" w:eastAsia="Arial" w:hAnsi="Arial"/>
          <w:sz w:val="18"/>
          <w:szCs w:val="18"/>
          <w:i w:val="1"/>
          <w:iCs w:val="1"/>
          <w:color w:val="auto"/>
        </w:rPr>
        <w:t>to become a leading</w:t>
      </w:r>
      <w:r>
        <w:rPr>
          <w:rFonts w:ascii="Arial" w:cs="Arial" w:eastAsia="Arial" w:hAnsi="Arial"/>
          <w:sz w:val="18"/>
          <w:szCs w:val="18"/>
          <w:color w:val="auto"/>
        </w:rPr>
        <w:t xml:space="preserve"> </w:t>
      </w:r>
      <w:r>
        <w:rPr>
          <w:rFonts w:ascii="Arial" w:cs="Arial" w:eastAsia="Arial" w:hAnsi="Arial"/>
          <w:sz w:val="18"/>
          <w:szCs w:val="18"/>
          <w:i w:val="1"/>
          <w:iCs w:val="1"/>
          <w:color w:val="auto"/>
        </w:rPr>
        <w:t>U.S. ophthalmic pharmaceutical company</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look forward to updating you on our accomplishments and progress in my next Letter to Stockholders in March of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Chairman of the Board,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About IHEEZO™ (chloroprocaine hydrochloride ophthalmic gel)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INDICATIONS AND USAGE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IHEEZO™ is indicated for ocular surface anesthesia.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CONTRAINDICATIONS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IHEEZO™ is contraindicated in patients with a history of hypersensitivity to any component of this preparation.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WARNINGS AND PRECAUTIONS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IHEEZO™ should not be injected or intraocularly administered. Patients should not touch the eye for at least 10 to 20 minutes after using an anesthetic as accidental injuries can occur due to insensitivity of the eye. Prolonged use of a topical ocular anesthetic may produce permanent corneal opacification and</w:t>
      </w:r>
    </w:p>
    <w:p>
      <w:pPr>
        <w:spacing w:after="0" w:line="209" w:lineRule="auto"/>
        <w:rPr>
          <w:sz w:val="20"/>
          <w:szCs w:val="20"/>
          <w:color w:val="auto"/>
        </w:rPr>
      </w:pPr>
      <w:r>
        <w:rPr>
          <w:rFonts w:ascii="Arial" w:cs="Arial" w:eastAsia="Arial" w:hAnsi="Arial"/>
          <w:sz w:val="18"/>
          <w:szCs w:val="18"/>
          <w:color w:val="auto"/>
        </w:rPr>
        <w:t>ulceration with accompanying visual loss. Do not touch the dropper tip to any surface as this may contaminate the gel. IHEEZO</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indicated for administration under the direct supervision of a healthcare provider. IHEEZO™ is not intended for patient self-administration.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most common adverse reaction is mydriasis (approximately 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IHEEZO™, including important safety information, please see the Full Prescribing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Management’s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FDA-approved products and compounded formulations and technologies, and FDA approval of certain drug candidates in a timely manner or at all.</w:t>
      </w:r>
    </w:p>
    <w:p>
      <w:pPr>
        <w:spacing w:after="0" w:line="157"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8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Additionally, Harrow Health refers to non-GAAP financial measures, specifically Adjusted EBITDA, adjusted earnings, core gross margin, core net (loss) income, and core diluted net (loss) income per share. A reconciliation of non-GAAP measures with the most directly comparable GAAP measures is included in this letter.</w:t>
      </w:r>
    </w:p>
    <w:p>
      <w:pPr>
        <w:spacing w:after="0" w:line="184" w:lineRule="exact"/>
        <w:rPr>
          <w:sz w:val="20"/>
          <w:szCs w:val="20"/>
          <w:color w:val="auto"/>
        </w:rPr>
      </w:pPr>
    </w:p>
    <w:p>
      <w:pPr>
        <w:jc w:val="both"/>
        <w:ind w:firstLine="647"/>
        <w:spacing w:after="0" w:line="342" w:lineRule="auto"/>
        <w:rPr>
          <w:sz w:val="20"/>
          <w:szCs w:val="20"/>
          <w:color w:val="auto"/>
        </w:rPr>
      </w:pPr>
      <w:r>
        <w:rPr>
          <w:rFonts w:ascii="Arial" w:cs="Arial" w:eastAsia="Arial" w:hAnsi="Arial"/>
          <w:sz w:val="16"/>
          <w:szCs w:val="16"/>
          <w:i w:val="1"/>
          <w:iCs w:val="1"/>
          <w:color w:val="auto"/>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spacing w:after="0" w:line="124"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All trademarks, service marks, and trade names included or referenced in this publication are the property of their respective owners.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The Company defines Adjusted EBITDA as net loss attributable to Harrow Health, Inc., excluding the effects of stock-based compensation and expenses, interest, taxes, depreciation, amortization, investment loss, net, gain on forgiveness of debt, and, if any and when specified, other non-recurring income or expense items. Management believes that the most directly comparable GAAP financial measure to Adjusted EBITDA is net loss attributable to Harrow Health, Inc.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61" w:lineRule="exact"/>
        <w:rPr>
          <w:sz w:val="20"/>
          <w:szCs w:val="20"/>
          <w:color w:val="auto"/>
        </w:rPr>
      </w:pPr>
    </w:p>
    <w:p>
      <w:pPr>
        <w:jc w:val="both"/>
        <w:ind w:firstLine="647"/>
        <w:spacing w:after="0" w:line="257" w:lineRule="auto"/>
        <w:rPr>
          <w:sz w:val="20"/>
          <w:szCs w:val="20"/>
          <w:color w:val="auto"/>
        </w:rPr>
      </w:pPr>
      <w:r>
        <w:rPr>
          <w:rFonts w:ascii="Arial" w:cs="Arial" w:eastAsia="Arial" w:hAnsi="Arial"/>
          <w:sz w:val="18"/>
          <w:szCs w:val="18"/>
          <w:color w:val="auto"/>
        </w:rPr>
        <w:t>Included in Adjusted EBITDA for the third quarter of 2021 is an in-process R&amp;D (IPR&amp;D) charge of $5.0 million associated with an upfront payment related to the execution of a licensing and supply arrangement with Sintetica, S.A. for IHEEZO. This $5.0 million charge was previously excluded in the prior year reporting periods from Adjusted EBITDA and has been adjusted to account for a change in the Company’s methodology to now include similar IPR&amp;D transactions for Adjusted EBITDA, non-GAAP disclosure and reporting purposes. This change is the result of the U.S. Securities and Exchange Commission’s recent industry correspondence on this matter.</w:t>
      </w:r>
    </w:p>
    <w:p>
      <w:pPr>
        <w:spacing w:after="0" w:line="188"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loss, for the three and nine months ended September 30, 2022, and for the same periods in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gridSpan w:val="5"/>
          </w:tcPr>
          <w:p>
            <w:pPr>
              <w:jc w:val="right"/>
              <w:ind w:right="801"/>
              <w:spacing w:after="0"/>
              <w:rPr>
                <w:sz w:val="20"/>
                <w:szCs w:val="20"/>
                <w:color w:val="auto"/>
              </w:rPr>
            </w:pPr>
            <w:r>
              <w:rPr>
                <w:rFonts w:ascii="Arial" w:cs="Arial" w:eastAsia="Arial" w:hAnsi="Arial"/>
                <w:sz w:val="18"/>
                <w:szCs w:val="18"/>
                <w:b w:val="1"/>
                <w:bCs w:val="1"/>
                <w:color w:val="auto"/>
                <w:w w:val="99"/>
              </w:rPr>
              <w:t>For the Three Months Ended</w:t>
            </w:r>
          </w:p>
        </w:tc>
        <w:tc>
          <w:tcPr>
            <w:tcW w:w="300" w:type="dxa"/>
            <w:vAlign w:val="bottom"/>
          </w:tcPr>
          <w:p>
            <w:pPr>
              <w:spacing w:after="0"/>
              <w:rPr>
                <w:sz w:val="18"/>
                <w:szCs w:val="18"/>
                <w:color w:val="auto"/>
              </w:rPr>
            </w:pPr>
          </w:p>
        </w:tc>
        <w:tc>
          <w:tcPr>
            <w:tcW w:w="30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the Nine Months Ended</w:t>
            </w:r>
          </w:p>
        </w:tc>
      </w:tr>
      <w:tr>
        <w:trPr>
          <w:trHeight w:val="255"/>
        </w:trPr>
        <w:tc>
          <w:tcPr>
            <w:tcW w:w="4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4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GAAP 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(6,464,000)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(8,328,000)</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(15,141,000)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(10,589,000)</w:t>
            </w:r>
          </w:p>
        </w:tc>
        <w:tc>
          <w:tcPr>
            <w:tcW w:w="18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3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1,932,000</w:t>
            </w:r>
          </w:p>
        </w:tc>
        <w:tc>
          <w:tcPr>
            <w:tcW w:w="460" w:type="dxa"/>
            <w:vAlign w:val="bottom"/>
          </w:tcPr>
          <w:p>
            <w:pPr>
              <w:spacing w:after="0"/>
              <w:rPr>
                <w:sz w:val="18"/>
                <w:szCs w:val="18"/>
                <w:color w:val="auto"/>
              </w:rPr>
            </w:pPr>
          </w:p>
        </w:tc>
        <w:tc>
          <w:tcPr>
            <w:tcW w:w="1380" w:type="dxa"/>
            <w:vAlign w:val="bottom"/>
            <w:gridSpan w:val="2"/>
          </w:tcPr>
          <w:p>
            <w:pPr>
              <w:jc w:val="right"/>
              <w:ind w:right="321"/>
              <w:spacing w:after="0"/>
              <w:rPr>
                <w:sz w:val="20"/>
                <w:szCs w:val="20"/>
                <w:color w:val="auto"/>
              </w:rPr>
            </w:pPr>
            <w:r>
              <w:rPr>
                <w:rFonts w:ascii="Arial" w:cs="Arial" w:eastAsia="Arial" w:hAnsi="Arial"/>
                <w:sz w:val="18"/>
                <w:szCs w:val="18"/>
                <w:color w:val="auto"/>
              </w:rPr>
              <w:t>1,697,000</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5,941,000</w:t>
            </w: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3,630,000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1,800,000</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1,685,000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5,386,000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3,512,000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35,000</w:t>
            </w:r>
          </w:p>
        </w:tc>
        <w:tc>
          <w:tcPr>
            <w:tcW w:w="460" w:type="dxa"/>
            <w:vAlign w:val="bottom"/>
          </w:tcPr>
          <w:p>
            <w:pPr>
              <w:spacing w:after="0"/>
              <w:rPr>
                <w:sz w:val="18"/>
                <w:szCs w:val="18"/>
                <w:color w:val="auto"/>
              </w:rPr>
            </w:pPr>
          </w:p>
        </w:tc>
        <w:tc>
          <w:tcPr>
            <w:tcW w:w="13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247,000</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399,000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1,090,000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1,275,000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398,000</w:t>
            </w:r>
          </w:p>
        </w:tc>
        <w:tc>
          <w:tcPr>
            <w:tcW w:w="460" w:type="dxa"/>
            <w:vAlign w:val="bottom"/>
          </w:tcPr>
          <w:p>
            <w:pPr>
              <w:spacing w:after="0"/>
              <w:rPr>
                <w:sz w:val="18"/>
                <w:szCs w:val="18"/>
                <w:color w:val="auto"/>
              </w:rPr>
            </w:pPr>
          </w:p>
        </w:tc>
        <w:tc>
          <w:tcPr>
            <w:tcW w:w="1380" w:type="dxa"/>
            <w:vAlign w:val="bottom"/>
            <w:gridSpan w:val="2"/>
          </w:tcPr>
          <w:p>
            <w:pPr>
              <w:jc w:val="right"/>
              <w:ind w:right="321"/>
              <w:spacing w:after="0"/>
              <w:rPr>
                <w:sz w:val="20"/>
                <w:szCs w:val="20"/>
                <w:color w:val="auto"/>
              </w:rPr>
            </w:pPr>
            <w:r>
              <w:rPr>
                <w:rFonts w:ascii="Arial" w:cs="Arial" w:eastAsia="Arial" w:hAnsi="Arial"/>
                <w:sz w:val="18"/>
                <w:szCs w:val="18"/>
                <w:color w:val="auto"/>
              </w:rPr>
              <w:t>43,000</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1,200,000</w:t>
            </w: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122,000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 net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4,535,000</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2,926,000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13,377,000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11,606,000</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Other expenses, net</w:t>
            </w:r>
          </w:p>
        </w:tc>
        <w:tc>
          <w:tcPr>
            <w:tcW w:w="30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80" w:type="dxa"/>
            <w:vAlign w:val="bottom"/>
            <w:gridSpan w:val="2"/>
          </w:tcPr>
          <w:p>
            <w:pPr>
              <w:jc w:val="right"/>
              <w:ind w:right="141"/>
              <w:spacing w:after="0" w:line="230" w:lineRule="exact"/>
              <w:rPr>
                <w:sz w:val="20"/>
                <w:szCs w:val="20"/>
                <w:color w:val="auto"/>
              </w:rPr>
            </w:pPr>
            <w:r>
              <w:rPr>
                <w:rFonts w:ascii="Arial" w:cs="Arial" w:eastAsia="Arial" w:hAnsi="Arial"/>
                <w:sz w:val="16"/>
                <w:szCs w:val="16"/>
                <w:color w:val="auto"/>
              </w:rPr>
              <w:t>1,500,000</w:t>
            </w:r>
            <w:r>
              <w:rPr>
                <w:rFonts w:ascii="Arial" w:cs="Arial" w:eastAsia="Arial" w:hAnsi="Arial"/>
                <w:sz w:val="26"/>
                <w:szCs w:val="26"/>
                <w:color w:val="auto"/>
                <w:vertAlign w:val="superscript"/>
              </w:rPr>
              <w:t>(1)</w:t>
            </w:r>
          </w:p>
        </w:tc>
        <w:tc>
          <w:tcPr>
            <w:tcW w:w="3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60" w:type="dxa"/>
            <w:vAlign w:val="bottom"/>
            <w:gridSpan w:val="2"/>
          </w:tcPr>
          <w:p>
            <w:pPr>
              <w:jc w:val="right"/>
              <w:spacing w:after="0" w:line="230" w:lineRule="exact"/>
              <w:rPr>
                <w:sz w:val="20"/>
                <w:szCs w:val="20"/>
                <w:color w:val="auto"/>
              </w:rPr>
            </w:pPr>
            <w:r>
              <w:rPr>
                <w:rFonts w:ascii="Arial" w:cs="Arial" w:eastAsia="Arial" w:hAnsi="Arial"/>
                <w:sz w:val="16"/>
                <w:szCs w:val="16"/>
                <w:color w:val="auto"/>
              </w:rPr>
              <w:t>340,000</w:t>
            </w:r>
            <w:r>
              <w:rPr>
                <w:rFonts w:ascii="Arial" w:cs="Arial" w:eastAsia="Arial" w:hAnsi="Arial"/>
                <w:sz w:val="26"/>
                <w:szCs w:val="26"/>
                <w:color w:val="auto"/>
                <w:vertAlign w:val="superscript"/>
              </w:rPr>
              <w:t>(2)</w:t>
            </w:r>
          </w:p>
        </w:tc>
      </w:tr>
      <w:tr>
        <w:trPr>
          <w:trHeight w:val="229"/>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(78,000</w:t>
            </w:r>
          </w:p>
        </w:tc>
        <w:tc>
          <w:tcPr>
            <w:tcW w:w="400" w:type="dxa"/>
            <w:vAlign w:val="bottom"/>
            <w:tcBorders>
              <w:top w:val="single" w:sz="8" w:color="CCEEFF"/>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11,928,000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9,896,000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Includes $1,500,000 of litigation settlement expenses.</w:t>
      </w:r>
    </w:p>
    <w:p>
      <w:pPr>
        <w:spacing w:after="0" w:line="1"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Includes $756,000 for early extinguishment of loan, $1,500,000 of litigation settlement expenses, and a gain on forgiveness of debt of $1,976,000.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Core Results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Harrow Health Core Results, including core gross margin, core net (loss) income, core operating (loss) income, core basic and diluted loss per share,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preferred stock dividends, and gains/losses on forgiveness of debt. In other periods, Core Results may also exclude fair value adjustments of financial assets in the form of options to acquire a company carried at FVPL, obligations related to product recalls, certain acquisition-related items, the integration and divestment-related income and expenses, divestment gains and losses,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right="20" w:firstLine="648"/>
        <w:spacing w:after="0" w:line="277" w:lineRule="auto"/>
        <w:rPr>
          <w:sz w:val="20"/>
          <w:szCs w:val="20"/>
          <w:color w:val="auto"/>
        </w:rPr>
      </w:pPr>
      <w:r>
        <w:rPr>
          <w:rFonts w:ascii="Arial" w:cs="Arial" w:eastAsia="Arial" w:hAnsi="Arial"/>
          <w:sz w:val="18"/>
          <w:szCs w:val="18"/>
          <w:color w:val="auto"/>
        </w:rPr>
        <w:t>The following is a reconciliation of Core Results, a non-GAAP measure, to the most comparable GAAP measure for the three and nine months ended September 30, 2022, and for the same periods in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460"/>
              <w:spacing w:after="0" w:line="205" w:lineRule="exact"/>
              <w:rPr>
                <w:sz w:val="20"/>
                <w:szCs w:val="20"/>
                <w:color w:val="auto"/>
              </w:rPr>
            </w:pPr>
            <w:r>
              <w:rPr>
                <w:rFonts w:ascii="Arial" w:cs="Arial" w:eastAsia="Arial" w:hAnsi="Arial"/>
                <w:sz w:val="18"/>
                <w:szCs w:val="18"/>
                <w:b w:val="1"/>
                <w:bCs w:val="1"/>
                <w:color w:val="auto"/>
                <w:w w:val="94"/>
              </w:rPr>
              <w:t>Amortization</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16"/>
        </w:trPr>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GAAP</w:t>
            </w: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of Certain</w:t>
            </w:r>
          </w:p>
        </w:tc>
        <w:tc>
          <w:tcPr>
            <w:tcW w:w="200" w:type="dxa"/>
            <w:vAlign w:val="bottom"/>
          </w:tcPr>
          <w:p>
            <w:pPr>
              <w:spacing w:after="0"/>
              <w:rPr>
                <w:sz w:val="18"/>
                <w:szCs w:val="18"/>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Investment</w:t>
            </w:r>
          </w:p>
        </w:tc>
        <w:tc>
          <w:tcPr>
            <w:tcW w:w="26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Core</w:t>
            </w:r>
          </w:p>
        </w:tc>
      </w:tr>
      <w:tr>
        <w:trPr>
          <w:trHeight w:val="241"/>
        </w:trPr>
        <w:tc>
          <w:tcPr>
            <w:tcW w:w="3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6"/>
              </w:rPr>
              <w:t>Results</w:t>
            </w:r>
          </w:p>
        </w:tc>
        <w:tc>
          <w:tcPr>
            <w:tcW w:w="17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Intangible Assets</w:t>
            </w:r>
          </w:p>
        </w:tc>
        <w:tc>
          <w:tcPr>
            <w:tcW w:w="200" w:type="dxa"/>
            <w:vAlign w:val="bottom"/>
          </w:tcPr>
          <w:p>
            <w:pPr>
              <w:spacing w:after="0"/>
              <w:rPr>
                <w:sz w:val="20"/>
                <w:szCs w:val="20"/>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Results</w:t>
            </w: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16,102,000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16,443,000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Gross margin</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(94,000)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304,000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(6,429,000)</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398,000</w:t>
            </w: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4,535,000</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(1,496,000)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(loss) income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(6,464,000)</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398,000</w:t>
            </w: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4,535,000</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(1,531,000)</w:t>
            </w:r>
          </w:p>
        </w:tc>
      </w:tr>
      <w:tr>
        <w:trPr>
          <w:trHeight w:val="257"/>
        </w:trPr>
        <w:tc>
          <w:tcPr>
            <w:tcW w:w="3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Basic and diluted loss per share ($)</w:t>
            </w:r>
            <w:r>
              <w:rPr>
                <w:rFonts w:ascii="Arial" w:cs="Arial" w:eastAsia="Arial" w:hAnsi="Arial"/>
                <w:sz w:val="29"/>
                <w:szCs w:val="29"/>
                <w:color w:val="auto"/>
                <w:vertAlign w:val="superscript"/>
              </w:rPr>
              <w:t>(1)</w:t>
            </w: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of common stock outstanding –</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basic and diluted</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27,349,642</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27,349,642</w:t>
            </w:r>
          </w:p>
        </w:tc>
      </w:tr>
      <w:tr>
        <w:trPr>
          <w:trHeight w:val="439"/>
        </w:trPr>
        <w:tc>
          <w:tcPr>
            <w:tcW w:w="32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8"/>
                <w:szCs w:val="18"/>
                <w:b w:val="1"/>
                <w:bCs w:val="1"/>
                <w:color w:val="auto"/>
              </w:rPr>
              <w:t>For the Nine Months Ended September 30, 2022</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98"/>
        </w:trPr>
        <w:tc>
          <w:tcPr>
            <w:tcW w:w="3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of Certain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GAAP</w:t>
            </w: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Intangible</w:t>
            </w:r>
          </w:p>
        </w:tc>
        <w:tc>
          <w:tcPr>
            <w:tcW w:w="200" w:type="dxa"/>
            <w:vAlign w:val="bottom"/>
          </w:tcPr>
          <w:p>
            <w:pPr>
              <w:spacing w:after="0"/>
              <w:rPr>
                <w:sz w:val="18"/>
                <w:szCs w:val="18"/>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Investment</w:t>
            </w:r>
          </w:p>
        </w:tc>
        <w:tc>
          <w:tcPr>
            <w:tcW w:w="26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Core</w:t>
            </w:r>
          </w:p>
        </w:tc>
      </w:tr>
      <w:tr>
        <w:trPr>
          <w:trHeight w:val="241"/>
        </w:trPr>
        <w:tc>
          <w:tcPr>
            <w:tcW w:w="3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6"/>
              </w:rPr>
              <w:t>Results</w:t>
            </w:r>
          </w:p>
        </w:tc>
        <w:tc>
          <w:tcPr>
            <w:tcW w:w="14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0"/>
                <w:szCs w:val="20"/>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Results</w:t>
            </w: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49,048,000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50,071,000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Gross margin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3,697,000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1,200,000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4,897,000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(15,066,000)</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1,200,000</w:t>
            </w: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13,377,000</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(489,000)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(loss) income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(15,141,000)</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1,200,000</w:t>
            </w: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13,377,000</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(564,000)</w:t>
            </w:r>
          </w:p>
        </w:tc>
      </w:tr>
      <w:tr>
        <w:trPr>
          <w:trHeight w:val="257"/>
        </w:trPr>
        <w:tc>
          <w:tcPr>
            <w:tcW w:w="3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Basic and diluted loss per share ($)</w:t>
            </w:r>
            <w:r>
              <w:rPr>
                <w:rFonts w:ascii="Arial" w:cs="Arial" w:eastAsia="Arial" w:hAnsi="Arial"/>
                <w:sz w:val="29"/>
                <w:szCs w:val="29"/>
                <w:color w:val="auto"/>
                <w:vertAlign w:val="superscript"/>
              </w:rPr>
              <w:t>(1)</w:t>
            </w: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of common stock outstanding –</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basic and diluted</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27,293,756</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27,293,756</w:t>
            </w:r>
          </w:p>
        </w:tc>
      </w:tr>
      <w:tr>
        <w:trPr>
          <w:trHeight w:val="439"/>
        </w:trPr>
        <w:tc>
          <w:tcPr>
            <w:tcW w:w="32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8"/>
                <w:szCs w:val="18"/>
                <w:b w:val="1"/>
                <w:bCs w:val="1"/>
                <w:color w:val="auto"/>
              </w:rPr>
              <w:t>For the Three Months Ended September 30, 2021</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98"/>
        </w:trPr>
        <w:tc>
          <w:tcPr>
            <w:tcW w:w="3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of Certain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GAAP</w:t>
            </w: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Intangible</w:t>
            </w:r>
          </w:p>
        </w:tc>
        <w:tc>
          <w:tcPr>
            <w:tcW w:w="200" w:type="dxa"/>
            <w:vAlign w:val="bottom"/>
          </w:tcPr>
          <w:p>
            <w:pPr>
              <w:spacing w:after="0"/>
              <w:rPr>
                <w:sz w:val="18"/>
                <w:szCs w:val="18"/>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Investment</w:t>
            </w:r>
          </w:p>
        </w:tc>
        <w:tc>
          <w:tcPr>
            <w:tcW w:w="26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Core</w:t>
            </w:r>
          </w:p>
        </w:tc>
      </w:tr>
      <w:tr>
        <w:trPr>
          <w:trHeight w:val="241"/>
        </w:trPr>
        <w:tc>
          <w:tcPr>
            <w:tcW w:w="3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6"/>
              </w:rPr>
              <w:t>Results</w:t>
            </w:r>
          </w:p>
        </w:tc>
        <w:tc>
          <w:tcPr>
            <w:tcW w:w="14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0"/>
                <w:szCs w:val="20"/>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Results</w:t>
            </w: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13,764,000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13,764,000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Gross margin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(3,717,000)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(3,674,000)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(8,328,000)</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43,000</w:t>
            </w: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2,926,000</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(5,359,000)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(loss) income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(8,328,000)</w:t>
            </w: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43,000</w:t>
            </w: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2,926,000</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(5,359,000)</w:t>
            </w:r>
          </w:p>
        </w:tc>
      </w:tr>
      <w:tr>
        <w:trPr>
          <w:trHeight w:val="257"/>
        </w:trPr>
        <w:tc>
          <w:tcPr>
            <w:tcW w:w="3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Basic and diluted loss per share ($)</w:t>
            </w:r>
            <w:r>
              <w:rPr>
                <w:rFonts w:ascii="Arial" w:cs="Arial" w:eastAsia="Arial" w:hAnsi="Arial"/>
                <w:sz w:val="29"/>
                <w:szCs w:val="29"/>
                <w:color w:val="auto"/>
                <w:vertAlign w:val="superscript"/>
              </w:rPr>
              <w:t>(1)</w:t>
            </w: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of common stock outstanding –</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basic and diluted</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27,112,531</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27,112,531</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jc w:val="center"/>
              <w:ind w:right="320"/>
              <w:spacing w:after="0" w:line="205" w:lineRule="exact"/>
              <w:rPr>
                <w:sz w:val="20"/>
                <w:szCs w:val="20"/>
                <w:color w:val="auto"/>
              </w:rPr>
            </w:pPr>
            <w:r>
              <w:rPr>
                <w:rFonts w:ascii="Arial" w:cs="Arial" w:eastAsia="Arial" w:hAnsi="Arial"/>
                <w:sz w:val="18"/>
                <w:szCs w:val="18"/>
                <w:b w:val="1"/>
                <w:bCs w:val="1"/>
                <w:color w:val="auto"/>
                <w:w w:val="92"/>
              </w:rPr>
              <w:t>Amortization</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16"/>
        </w:trPr>
        <w:tc>
          <w:tcPr>
            <w:tcW w:w="2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of Certain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GAAP</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Intangible</w:t>
            </w:r>
          </w:p>
        </w:tc>
        <w:tc>
          <w:tcPr>
            <w:tcW w:w="12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Core</w:t>
            </w:r>
          </w:p>
        </w:tc>
      </w:tr>
      <w:tr>
        <w:trPr>
          <w:trHeight w:val="241"/>
        </w:trPr>
        <w:tc>
          <w:tcPr>
            <w:tcW w:w="2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Results</w:t>
            </w:r>
          </w:p>
        </w:tc>
        <w:tc>
          <w:tcPr>
            <w:tcW w:w="12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9"/>
              </w:rPr>
              <w:t>Other Items</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Results</w:t>
            </w:r>
          </w:p>
        </w:tc>
      </w:tr>
      <w:tr>
        <w:trPr>
          <w:trHeight w:val="21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39,154,000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39,154,000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29"/>
        </w:trPr>
        <w:tc>
          <w:tcPr>
            <w:tcW w:w="2880" w:type="dxa"/>
            <w:vAlign w:val="bottom"/>
          </w:tcPr>
          <w:p>
            <w:pPr>
              <w:spacing w:after="0"/>
              <w:rPr>
                <w:sz w:val="20"/>
                <w:szCs w:val="20"/>
                <w:color w:val="auto"/>
              </w:rPr>
            </w:pPr>
            <w:r>
              <w:rPr>
                <w:rFonts w:ascii="Arial" w:cs="Arial" w:eastAsia="Arial" w:hAnsi="Arial"/>
                <w:sz w:val="18"/>
                <w:szCs w:val="18"/>
                <w:color w:val="auto"/>
              </w:rPr>
              <w:t>Gross margin</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3,369,000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3,491,000</w:t>
            </w: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(Loss) income</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before taxes</w:t>
            </w:r>
          </w:p>
        </w:tc>
        <w:tc>
          <w:tcPr>
            <w:tcW w:w="2800" w:type="dxa"/>
            <w:vAlign w:val="bottom"/>
            <w:gridSpan w:val="3"/>
          </w:tcPr>
          <w:p>
            <w:pPr>
              <w:jc w:val="right"/>
              <w:ind w:right="320"/>
              <w:spacing w:after="0"/>
              <w:rPr>
                <w:sz w:val="20"/>
                <w:szCs w:val="20"/>
                <w:color w:val="auto"/>
              </w:rPr>
            </w:pPr>
            <w:r>
              <w:rPr>
                <w:rFonts w:ascii="Arial" w:cs="Arial" w:eastAsia="Arial" w:hAnsi="Arial"/>
                <w:sz w:val="18"/>
                <w:szCs w:val="18"/>
                <w:color w:val="auto"/>
              </w:rPr>
              <w:t>(10,589,000)</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122,000</w:t>
            </w: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11,606,000</w:t>
            </w:r>
          </w:p>
        </w:tc>
        <w:tc>
          <w:tcPr>
            <w:tcW w:w="2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(1,967,000)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(828,000)</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Net (loss) income</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attributable to</w:t>
            </w: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common stockholders</w:t>
            </w:r>
          </w:p>
        </w:tc>
        <w:tc>
          <w:tcPr>
            <w:tcW w:w="2800" w:type="dxa"/>
            <w:vAlign w:val="bottom"/>
            <w:gridSpan w:val="3"/>
          </w:tcPr>
          <w:p>
            <w:pPr>
              <w:jc w:val="right"/>
              <w:ind w:right="320"/>
              <w:spacing w:after="0"/>
              <w:rPr>
                <w:sz w:val="20"/>
                <w:szCs w:val="20"/>
                <w:color w:val="auto"/>
              </w:rPr>
            </w:pPr>
            <w:r>
              <w:rPr>
                <w:rFonts w:ascii="Arial" w:cs="Arial" w:eastAsia="Arial" w:hAnsi="Arial"/>
                <w:sz w:val="18"/>
                <w:szCs w:val="18"/>
                <w:color w:val="auto"/>
              </w:rPr>
              <w:t>(11,061,000)</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122,000</w:t>
            </w: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11,606,000</w:t>
            </w:r>
          </w:p>
        </w:tc>
        <w:tc>
          <w:tcPr>
            <w:tcW w:w="2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(1,495,000)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(828,000)</w:t>
            </w:r>
          </w:p>
        </w:tc>
      </w:tr>
      <w:tr>
        <w:trPr>
          <w:trHeight w:val="205"/>
        </w:trPr>
        <w:tc>
          <w:tcPr>
            <w:tcW w:w="2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Basic and diluted loss</w:t>
            </w:r>
          </w:p>
        </w:tc>
        <w:tc>
          <w:tcPr>
            <w:tcW w:w="1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7"/>
        </w:trPr>
        <w:tc>
          <w:tcPr>
            <w:tcW w:w="2880" w:type="dxa"/>
            <w:vAlign w:val="bottom"/>
            <w:shd w:val="clear" w:color="auto" w:fill="CCEEFF"/>
          </w:tcPr>
          <w:p>
            <w:pPr>
              <w:spacing w:after="0" w:line="267" w:lineRule="exact"/>
              <w:rPr>
                <w:sz w:val="20"/>
                <w:szCs w:val="20"/>
                <w:color w:val="auto"/>
              </w:rPr>
            </w:pPr>
            <w:r>
              <w:rPr>
                <w:rFonts w:ascii="Arial" w:cs="Arial" w:eastAsia="Arial" w:hAnsi="Arial"/>
                <w:sz w:val="18"/>
                <w:szCs w:val="18"/>
                <w:color w:val="auto"/>
              </w:rPr>
              <w:t>per share ($)</w:t>
            </w:r>
            <w:r>
              <w:rPr>
                <w:rFonts w:ascii="Arial" w:cs="Arial" w:eastAsia="Arial" w:hAnsi="Arial"/>
                <w:sz w:val="29"/>
                <w:szCs w:val="29"/>
                <w:color w:val="auto"/>
                <w:vertAlign w:val="superscript"/>
              </w:rPr>
              <w:t>(1)</w:t>
            </w:r>
          </w:p>
        </w:tc>
        <w:tc>
          <w:tcPr>
            <w:tcW w:w="2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Weighted average</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number of shares</w:t>
            </w: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of common stock</w:t>
            </w: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outstanding –</w:t>
            </w: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basic and diluted</w:t>
            </w:r>
          </w:p>
        </w:tc>
        <w:tc>
          <w:tcPr>
            <w:tcW w:w="2800" w:type="dxa"/>
            <w:vAlign w:val="bottom"/>
            <w:gridSpan w:val="3"/>
          </w:tcPr>
          <w:p>
            <w:pPr>
              <w:jc w:val="right"/>
              <w:ind w:right="380"/>
              <w:spacing w:after="0"/>
              <w:rPr>
                <w:sz w:val="20"/>
                <w:szCs w:val="20"/>
                <w:color w:val="auto"/>
              </w:rPr>
            </w:pPr>
            <w:r>
              <w:rPr>
                <w:rFonts w:ascii="Arial" w:cs="Arial" w:eastAsia="Arial" w:hAnsi="Arial"/>
                <w:sz w:val="18"/>
                <w:szCs w:val="18"/>
                <w:color w:val="auto"/>
              </w:rPr>
              <w:t>26,626,722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26,626,722</w:t>
            </w:r>
          </w:p>
        </w:tc>
      </w:tr>
    </w:tbl>
    <w:p>
      <w:pPr>
        <w:spacing w:after="0" w:line="188" w:lineRule="exact"/>
        <w:rPr>
          <w:sz w:val="20"/>
          <w:szCs w:val="20"/>
          <w:color w:val="auto"/>
        </w:rPr>
      </w:pPr>
    </w:p>
    <w:p>
      <w:pPr>
        <w:jc w:val="both"/>
        <w:ind w:left="340" w:right="20" w:hanging="332"/>
        <w:spacing w:after="0" w:line="218"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Core basic and diluted loss per share is calculated using the weighted-average number of shares of common stock outstanding during the period. Core basic and diluted loss per share also contemplates dilutive shares associated with equity-based awards and warrants as described in Note 2 and elsewhere in the Condensed Consolidated Interim Financial Statements filed with the Company’s Quarterly Report on Form 10-Q for the quarterly period ended September 30, 2022.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(includes Non-GAAP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 2022</w:t>
            </w:r>
          </w:p>
        </w:tc>
      </w:tr>
      <w:tr>
        <w:trPr>
          <w:trHeight w:val="198"/>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0"/>
              </w:rPr>
              <w:t>Management</w:t>
            </w:r>
          </w:p>
        </w:tc>
        <w:tc>
          <w:tcPr>
            <w:tcW w:w="180" w:type="dxa"/>
            <w:vAlign w:val="bottom"/>
          </w:tcPr>
          <w:p>
            <w:pPr>
              <w:spacing w:after="0"/>
              <w:rPr>
                <w:sz w:val="17"/>
                <w:szCs w:val="17"/>
                <w:color w:val="auto"/>
              </w:rPr>
            </w:pPr>
          </w:p>
        </w:tc>
      </w:tr>
      <w:tr>
        <w:trPr>
          <w:trHeight w:val="216"/>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r>
      <w:tr>
        <w:trPr>
          <w:trHeight w:val="241"/>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of Common Stock</w:t>
            </w:r>
          </w:p>
        </w:tc>
        <w:tc>
          <w:tcPr>
            <w:tcW w:w="16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7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4,162,200</w:t>
            </w:r>
          </w:p>
        </w:tc>
        <w:tc>
          <w:tcPr>
            <w:tcW w:w="180" w:type="dxa"/>
            <w:vAlign w:val="bottom"/>
            <w:tcBorders>
              <w:top w:val="single" w:sz="8" w:color="CCEEFF"/>
            </w:tcBorders>
            <w:shd w:val="clear" w:color="auto" w:fill="CCEEFF"/>
          </w:tcPr>
          <w:p>
            <w:pPr>
              <w:spacing w:after="0"/>
              <w:rPr>
                <w:sz w:val="18"/>
                <w:szCs w:val="18"/>
                <w:color w:val="auto"/>
              </w:rPr>
            </w:pPr>
          </w:p>
        </w:tc>
      </w:tr>
      <w:tr>
        <w:trPr>
          <w:trHeight w:val="15"/>
        </w:trPr>
        <w:tc>
          <w:tcPr>
            <w:tcW w:w="7860" w:type="dxa"/>
            <w:vAlign w:val="bottom"/>
            <w:gridSpan w:val="2"/>
          </w:tcPr>
          <w:p>
            <w:pPr>
              <w:spacing w:after="0"/>
              <w:rPr>
                <w:sz w:val="20"/>
                <w:szCs w:val="20"/>
                <w:color w:val="auto"/>
              </w:rPr>
            </w:pPr>
            <w:r>
              <w:rPr>
                <w:rFonts w:ascii="Arial" w:cs="Arial" w:eastAsia="Arial" w:hAnsi="Arial"/>
                <w:sz w:val="1"/>
                <w:szCs w:val="1"/>
                <w:color w:val="auto"/>
              </w:rPr>
              <w:t>Surface Ophthalmics</w:t>
            </w:r>
          </w:p>
        </w:tc>
        <w:tc>
          <w:tcPr>
            <w:tcW w:w="1760" w:type="dxa"/>
            <w:vAlign w:val="bottom"/>
            <w:gridSpan w:val="2"/>
          </w:tcPr>
          <w:p>
            <w:pPr>
              <w:jc w:val="right"/>
              <w:ind w:right="320"/>
              <w:spacing w:after="0"/>
              <w:rPr>
                <w:sz w:val="20"/>
                <w:szCs w:val="20"/>
                <w:color w:val="auto"/>
              </w:rPr>
            </w:pPr>
            <w:r>
              <w:rPr>
                <w:rFonts w:ascii="Arial" w:cs="Arial" w:eastAsia="Arial" w:hAnsi="Arial"/>
                <w:sz w:val="1"/>
                <w:szCs w:val="1"/>
                <w:color w:val="auto"/>
              </w:rPr>
              <w:t>3,500,000</w:t>
            </w:r>
          </w:p>
        </w:tc>
        <w:tc>
          <w:tcPr>
            <w:tcW w:w="160" w:type="dxa"/>
            <w:vAlign w:val="bottom"/>
          </w:tcPr>
          <w:p>
            <w:pPr>
              <w:spacing w:after="0" w:line="20" w:lineRule="exact"/>
              <w:rPr>
                <w:sz w:val="1"/>
                <w:szCs w:val="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
                <w:szCs w:val="1"/>
                <w:color w:val="auto"/>
              </w:rPr>
              <w:t>15,750,000</w:t>
            </w:r>
          </w:p>
        </w:tc>
      </w:tr>
      <w:tr>
        <w:trPr>
          <w:trHeight w:val="195"/>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1"/>
        </w:trPr>
        <w:tc>
          <w:tcPr>
            <w:tcW w:w="786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Melt Pharmaceuticals</w:t>
            </w:r>
          </w:p>
        </w:tc>
        <w:tc>
          <w:tcPr>
            <w:tcW w:w="176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3,500,000</w:t>
            </w:r>
          </w:p>
        </w:tc>
        <w:tc>
          <w:tcPr>
            <w:tcW w:w="16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180"/>
              <w:spacing w:after="0" w:line="21" w:lineRule="exact"/>
              <w:rPr>
                <w:sz w:val="20"/>
                <w:szCs w:val="20"/>
                <w:color w:val="auto"/>
              </w:rPr>
            </w:pPr>
            <w:r>
              <w:rPr>
                <w:rFonts w:ascii="Arial" w:cs="Arial" w:eastAsia="Arial" w:hAnsi="Arial"/>
                <w:sz w:val="2"/>
                <w:szCs w:val="2"/>
                <w:color w:val="auto"/>
              </w:rPr>
              <w:t>17,500,000</w:t>
            </w:r>
          </w:p>
        </w:tc>
      </w:tr>
      <w:tr>
        <w:trPr>
          <w:trHeight w:val="201"/>
        </w:trPr>
        <w:tc>
          <w:tcPr>
            <w:tcW w:w="7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37"/>
        </w:trPr>
        <w:tc>
          <w:tcPr>
            <w:tcW w:w="7860" w:type="dxa"/>
            <w:vAlign w:val="bottom"/>
            <w:gridSpan w:val="2"/>
          </w:tcPr>
          <w:p>
            <w:pPr>
              <w:spacing w:after="0"/>
              <w:rPr>
                <w:sz w:val="20"/>
                <w:szCs w:val="20"/>
                <w:color w:val="auto"/>
              </w:rPr>
            </w:pPr>
            <w:r>
              <w:rPr>
                <w:rFonts w:ascii="Arial" w:cs="Arial" w:eastAsia="Arial" w:hAnsi="Arial"/>
                <w:sz w:val="18"/>
                <w:szCs w:val="18"/>
                <w:color w:val="auto"/>
              </w:rPr>
              <w:t>Melt Pharmaceuticals – Secured Loan + PIK</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gridSpan w:val="2"/>
          </w:tcPr>
          <w:p>
            <w:pPr>
              <w:jc w:val="right"/>
              <w:spacing w:after="0" w:line="230" w:lineRule="exact"/>
              <w:rPr>
                <w:sz w:val="20"/>
                <w:szCs w:val="20"/>
                <w:color w:val="auto"/>
              </w:rPr>
            </w:pPr>
            <w:r>
              <w:rPr>
                <w:rFonts w:ascii="Arial" w:cs="Arial" w:eastAsia="Arial" w:hAnsi="Arial"/>
                <w:sz w:val="16"/>
                <w:szCs w:val="16"/>
                <w:color w:val="auto"/>
              </w:rPr>
              <w:t>15,495,000</w:t>
            </w:r>
            <w:r>
              <w:rPr>
                <w:rFonts w:ascii="Arial" w:cs="Arial" w:eastAsia="Arial" w:hAnsi="Arial"/>
                <w:sz w:val="26"/>
                <w:szCs w:val="26"/>
                <w:color w:val="auto"/>
                <w:vertAlign w:val="superscript"/>
              </w:rPr>
              <w:t>(3)</w:t>
            </w:r>
          </w:p>
        </w:tc>
      </w:tr>
      <w:tr>
        <w:trPr>
          <w:trHeight w:val="230"/>
        </w:trPr>
        <w:tc>
          <w:tcPr>
            <w:tcW w:w="7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Total Value</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52,907,200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calculated as the purchase and conversion price ($4.50) of the Series A-1 Preferred Stock (the most recent equity offering) multiplied by the number of common shares owned by Harrow at September 30, 2022.</w:t>
      </w:r>
    </w:p>
    <w:p>
      <w:pPr>
        <w:ind w:left="340" w:hanging="332"/>
        <w:spacing w:after="0" w:line="187"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calculated as the purchase and conversion price ($5.00) of the Series A Preferred Stock (the most recent equity offering) multiplied by the number of common shares owned by Harrow at September 30, 2022.</w:t>
      </w:r>
    </w:p>
    <w:p>
      <w:pPr>
        <w:spacing w:after="0" w:line="1" w:lineRule="exact"/>
        <w:rPr>
          <w:rFonts w:ascii="Arial" w:cs="Arial" w:eastAsia="Arial" w:hAnsi="Arial"/>
          <w:sz w:val="30"/>
          <w:szCs w:val="30"/>
          <w:color w:val="auto"/>
          <w:vertAlign w:val="superscript"/>
        </w:rPr>
      </w:pPr>
    </w:p>
    <w:p>
      <w:pPr>
        <w:jc w:val="both"/>
        <w:ind w:left="340" w:hanging="332"/>
        <w:spacing w:after="0" w:line="20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Represents the principal balance owed under the loan agreement, including interest paid in kind (or PIK). In accordance with ASC 323, Harrow’s presentation of this loan receivable on its consolidated balance sheet is presented at its carry value less reductions in the carrying value related to Harrow’s share of Melt equity losses.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2022-11-14T23:52:13Z</dcterms:created>
  <dcterms:modified xsi:type="dcterms:W3CDTF">2022-11-14T23:52:13Z</dcterms:modified>
</cp:coreProperties>
</file>