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right="1920" w:firstLine="8"/>
        <w:spacing w:after="0" w:line="501"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2013</w:t>
      </w:r>
    </w:p>
    <w:p>
      <w:pPr>
        <w:ind w:right="1960"/>
        <w:spacing w:after="0" w:line="501" w:lineRule="auto"/>
        <w:rPr>
          <w:rFonts w:ascii="Arial" w:cs="Arial" w:eastAsia="Arial" w:hAnsi="Arial"/>
          <w:sz w:val="18"/>
          <w:szCs w:val="18"/>
          <w:b w:val="1"/>
          <w:bCs w:val="1"/>
          <w:color w:val="auto"/>
        </w:rPr>
      </w:pPr>
      <w:r>
        <w:rPr>
          <w:rFonts w:ascii="Arial" w:cs="Arial" w:eastAsia="Arial" w:hAnsi="Arial"/>
          <w:sz w:val="18"/>
          <w:szCs w:val="18"/>
          <w:b w:val="1"/>
          <w:bCs w:val="1"/>
          <w:color w:val="auto"/>
        </w:rPr>
        <w:t>[ ] TRANSITION REPORT PURSUANT TO SECTION 13 OR 15(d) OF THE SECURITIES EXCHANGE ACT OF 1934 For the transition period from ___________ to _____________</w:t>
      </w:r>
    </w:p>
    <w:p>
      <w:pPr>
        <w:jc w:val="center"/>
        <w:ind w:right="-19"/>
        <w:spacing w:after="0"/>
        <w:rPr>
          <w:sz w:val="20"/>
          <w:szCs w:val="20"/>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20" w:type="dxa"/>
        <w:tblCellMar>
          <w:top w:w="0" w:type="dxa"/>
          <w:left w:w="0" w:type="dxa"/>
          <w:bottom w:w="0" w:type="dxa"/>
          <w:right w:w="0" w:type="dxa"/>
        </w:tblCellMar>
      </w:tblPr>
      <w:tr>
        <w:trPr>
          <w:trHeight w:val="220"/>
        </w:trPr>
        <w:tc>
          <w:tcPr>
            <w:tcW w:w="6500" w:type="dxa"/>
            <w:vAlign w:val="bottom"/>
          </w:tcPr>
          <w:p>
            <w:pPr>
              <w:jc w:val="center"/>
              <w:ind w:right="3550"/>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500" w:type="dxa"/>
            <w:vAlign w:val="bottom"/>
          </w:tcPr>
          <w:p>
            <w:pPr>
              <w:jc w:val="center"/>
              <w:ind w:right="355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6500" w:type="dxa"/>
            <w:vAlign w:val="bottom"/>
          </w:tcPr>
          <w:p>
            <w:pPr>
              <w:jc w:val="center"/>
              <w:ind w:right="355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00" w:type="dxa"/>
            <w:vAlign w:val="bottom"/>
          </w:tcPr>
          <w:p>
            <w:pPr>
              <w:jc w:val="center"/>
              <w:ind w:right="3550"/>
              <w:spacing w:after="0"/>
              <w:rPr>
                <w:sz w:val="20"/>
                <w:szCs w:val="20"/>
                <w:color w:val="auto"/>
              </w:rPr>
            </w:pPr>
            <w:r>
              <w:rPr>
                <w:rFonts w:ascii="Arial" w:cs="Arial" w:eastAsia="Arial" w:hAnsi="Arial"/>
                <w:sz w:val="18"/>
                <w:szCs w:val="18"/>
                <w:b w:val="1"/>
                <w:bCs w:val="1"/>
                <w:color w:val="auto"/>
                <w:w w:val="91"/>
              </w:rPr>
              <w:t>12626 High Bluff Dr., Suite 150</w:t>
            </w:r>
          </w:p>
        </w:tc>
        <w:tc>
          <w:tcPr>
            <w:tcW w:w="1540" w:type="dxa"/>
            <w:vAlign w:val="bottom"/>
          </w:tcPr>
          <w:p>
            <w:pPr>
              <w:spacing w:after="0"/>
              <w:rPr>
                <w:sz w:val="24"/>
                <w:szCs w:val="24"/>
                <w:color w:val="auto"/>
              </w:rPr>
            </w:pPr>
          </w:p>
        </w:tc>
      </w:tr>
      <w:tr>
        <w:trPr>
          <w:trHeight w:val="220"/>
        </w:trPr>
        <w:tc>
          <w:tcPr>
            <w:tcW w:w="6500" w:type="dxa"/>
            <w:vAlign w:val="bottom"/>
          </w:tcPr>
          <w:p>
            <w:pPr>
              <w:jc w:val="center"/>
              <w:ind w:right="3550"/>
              <w:spacing w:after="0"/>
              <w:rPr>
                <w:sz w:val="20"/>
                <w:szCs w:val="20"/>
                <w:color w:val="auto"/>
              </w:rPr>
            </w:pPr>
            <w:r>
              <w:rPr>
                <w:rFonts w:ascii="Arial" w:cs="Arial" w:eastAsia="Arial" w:hAnsi="Arial"/>
                <w:sz w:val="18"/>
                <w:szCs w:val="18"/>
                <w:b w:val="1"/>
                <w:bCs w:val="1"/>
                <w:color w:val="auto"/>
                <w:w w:val="91"/>
              </w:rPr>
              <w:t>San Diego, CA</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6500" w:type="dxa"/>
            <w:vAlign w:val="bottom"/>
          </w:tcPr>
          <w:p>
            <w:pPr>
              <w:jc w:val="center"/>
              <w:ind w:right="355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3"/>
              </w:rPr>
              <w:t>(Zip code)</w:t>
            </w:r>
          </w:p>
        </w:tc>
      </w:tr>
      <w:tr>
        <w:trPr>
          <w:trHeight w:val="418"/>
        </w:trPr>
        <w:tc>
          <w:tcPr>
            <w:tcW w:w="6500" w:type="dxa"/>
            <w:vAlign w:val="bottom"/>
          </w:tcPr>
          <w:p>
            <w:pPr>
              <w:jc w:val="right"/>
              <w:ind w:right="1450"/>
              <w:spacing w:after="0"/>
              <w:rPr>
                <w:sz w:val="20"/>
                <w:szCs w:val="20"/>
                <w:color w:val="auto"/>
              </w:rPr>
            </w:pPr>
            <w:r>
              <w:rPr>
                <w:rFonts w:ascii="Arial" w:cs="Arial" w:eastAsia="Arial" w:hAnsi="Arial"/>
                <w:sz w:val="18"/>
                <w:szCs w:val="18"/>
                <w:b w:val="1"/>
                <w:bCs w:val="1"/>
                <w:color w:val="auto"/>
              </w:rPr>
              <w:t>(858) 704-4040</w:t>
            </w:r>
          </w:p>
        </w:tc>
        <w:tc>
          <w:tcPr>
            <w:tcW w:w="1540" w:type="dxa"/>
            <w:vAlign w:val="bottom"/>
          </w:tcPr>
          <w:p>
            <w:pPr>
              <w:spacing w:after="0"/>
              <w:rPr>
                <w:sz w:val="24"/>
                <w:szCs w:val="24"/>
                <w:color w:val="auto"/>
              </w:rPr>
            </w:pPr>
          </w:p>
        </w:tc>
      </w:tr>
      <w:tr>
        <w:trPr>
          <w:trHeight w:val="230"/>
        </w:trPr>
        <w:tc>
          <w:tcPr>
            <w:tcW w:w="6500" w:type="dxa"/>
            <w:vAlign w:val="bottom"/>
          </w:tcPr>
          <w:p>
            <w:pPr>
              <w:jc w:val="center"/>
              <w:ind w:left="2190"/>
              <w:spacing w:after="0"/>
              <w:rPr>
                <w:sz w:val="20"/>
                <w:szCs w:val="20"/>
                <w:color w:val="auto"/>
              </w:rPr>
            </w:pPr>
            <w:r>
              <w:rPr>
                <w:rFonts w:ascii="Arial" w:cs="Arial" w:eastAsia="Arial" w:hAnsi="Arial"/>
                <w:sz w:val="18"/>
                <w:szCs w:val="18"/>
                <w:color w:val="auto"/>
                <w:w w:val="90"/>
              </w:rPr>
              <w:t>(Registrant’s telephone number, including area code)</w:t>
            </w:r>
          </w:p>
        </w:tc>
        <w:tc>
          <w:tcPr>
            <w:tcW w:w="15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747" w:right="239" w:bottom="1440" w:gutter="0" w:footer="0" w:header="0"/>
        </w:sectPr>
      </w:pPr>
    </w:p>
    <w:p>
      <w:pPr>
        <w:spacing w:after="0" w:line="237"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10" w:lineRule="exact"/>
        <w:rPr>
          <w:sz w:val="24"/>
          <w:szCs w:val="24"/>
          <w:color w:val="auto"/>
        </w:rPr>
      </w:pPr>
    </w:p>
    <w:p>
      <w:pPr>
        <w:sectPr>
          <w:pgSz w:w="11900" w:h="16838" w:orient="portrait"/>
          <w:cols w:equalWidth="0" w:num="5">
            <w:col w:w="1920" w:space="720"/>
            <w:col w:w="220" w:space="160"/>
            <w:col w:w="3920" w:space="720"/>
            <w:col w:w="2300" w:space="720"/>
            <w:col w:w="740"/>
          </w:cols>
          <w:pgMar w:left="240" w:top="747"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ISSUERS INVOLVED IN BANKRUPTCY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PROCEEDINGS DURING THE PRECEDING FIVE YEARS</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whether the registrant filed all documents and reports required to be filed by Section 12, 13, or 15(d) of the Exchange Act of 1934 after the distribution of securities under a plan confirmed by a court. Yes [ ] No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5, 2013, 8,970,364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9700" w:type="dxa"/>
            <w:vAlign w:val="bottom"/>
            <w:gridSpan w:val="13"/>
            <w:shd w:val="clear" w:color="auto" w:fill="CCEEFF"/>
          </w:tcPr>
          <w:p>
            <w:pPr>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13"/>
            <w:shd w:val="clear" w:color="auto" w:fill="CCEEFF"/>
          </w:tcPr>
          <w:p>
            <w:pPr>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13"/>
            <w:shd w:val="clear" w:color="auto" w:fill="CCEEFF"/>
          </w:tcPr>
          <w:p>
            <w:pPr>
              <w:spacing w:after="0" w:line="176" w:lineRule="exact"/>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9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100" w:type="dxa"/>
            <w:vAlign w:val="bottom"/>
            <w:tcBorders>
              <w:top w:val="single" w:sz="8" w:color="0000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13"/>
            <w:shd w:val="clear" w:color="auto" w:fill="CCEEFF"/>
          </w:tcPr>
          <w:p>
            <w:pPr>
              <w:spacing w:after="0" w:line="176" w:lineRule="exact"/>
              <w:rPr>
                <w:rFonts w:ascii="Arial" w:cs="Arial" w:eastAsia="Arial" w:hAnsi="Arial"/>
                <w:sz w:val="18"/>
                <w:szCs w:val="18"/>
                <w:color w:val="0000FF"/>
              </w:rPr>
            </w:pPr>
            <w:hyperlink w:anchor="page30">
              <w:r>
                <w:rPr>
                  <w:rFonts w:ascii="Arial" w:cs="Arial" w:eastAsia="Arial" w:hAnsi="Arial"/>
                  <w:sz w:val="18"/>
                  <w:szCs w:val="18"/>
                  <w:color w:val="0000FF"/>
                </w:rPr>
                <w:t>Quantitative and Qualitative Disclosures About Market Risk</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9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13"/>
            <w:shd w:val="clear" w:color="auto" w:fill="CCEEFF"/>
          </w:tcPr>
          <w:p>
            <w:pPr>
              <w:spacing w:after="0" w:line="176" w:lineRule="exact"/>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700" w:type="dxa"/>
            <w:vAlign w:val="bottom"/>
            <w:gridSpan w:val="13"/>
            <w:shd w:val="clear" w:color="auto" w:fill="CCEEFF"/>
          </w:tcPr>
          <w:p>
            <w:pPr>
              <w:spacing w:after="0" w:line="176" w:lineRule="exact"/>
              <w:rPr>
                <w:rFonts w:ascii="Arial" w:cs="Arial" w:eastAsia="Arial" w:hAnsi="Arial"/>
                <w:sz w:val="18"/>
                <w:szCs w:val="18"/>
                <w:color w:val="0000FF"/>
              </w:rPr>
            </w:pPr>
            <w:hyperlink w:anchor="page32">
              <w:r>
                <w:rPr>
                  <w:rFonts w:ascii="Arial" w:cs="Arial" w:eastAsia="Arial" w:hAnsi="Arial"/>
                  <w:sz w:val="18"/>
                  <w:szCs w:val="18"/>
                  <w:color w:val="0000FF"/>
                </w:rPr>
                <w:t>OTHER INFORMATION</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13"/>
            <w:shd w:val="clear" w:color="auto" w:fill="CCEEFF"/>
          </w:tcPr>
          <w:p>
            <w:pPr>
              <w:spacing w:after="0" w:line="176" w:lineRule="exact"/>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00" w:type="dxa"/>
            <w:vAlign w:val="bottom"/>
            <w:gridSpan w:val="13"/>
            <w:shd w:val="clear" w:color="auto" w:fill="CCEEFF"/>
          </w:tcPr>
          <w:p>
            <w:pPr>
              <w:spacing w:after="0" w:line="176" w:lineRule="exact"/>
              <w:rPr>
                <w:rFonts w:ascii="Arial" w:cs="Arial" w:eastAsia="Arial" w:hAnsi="Arial"/>
                <w:sz w:val="18"/>
                <w:szCs w:val="18"/>
                <w:color w:val="0000FF"/>
              </w:rPr>
            </w:pPr>
            <w:hyperlink w:anchor="page32">
              <w:r>
                <w:rPr>
                  <w:rFonts w:ascii="Arial" w:cs="Arial" w:eastAsia="Arial" w:hAnsi="Arial"/>
                  <w:sz w:val="18"/>
                  <w:szCs w:val="18"/>
                  <w:color w:val="0000FF"/>
                </w:rPr>
                <w:t>Risk Factors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13"/>
            <w:shd w:val="clear" w:color="auto" w:fill="CCEEFF"/>
          </w:tcPr>
          <w:p>
            <w:pPr>
              <w:spacing w:after="0" w:line="176" w:lineRule="exact"/>
              <w:rPr>
                <w:rFonts w:ascii="Arial" w:cs="Arial" w:eastAsia="Arial" w:hAnsi="Arial"/>
                <w:sz w:val="18"/>
                <w:szCs w:val="18"/>
                <w:color w:val="0000FF"/>
              </w:rPr>
            </w:pPr>
            <w:hyperlink w:anchor="page46">
              <w:r>
                <w:rPr>
                  <w:rFonts w:ascii="Arial" w:cs="Arial" w:eastAsia="Arial" w:hAnsi="Arial"/>
                  <w:sz w:val="18"/>
                  <w:szCs w:val="18"/>
                  <w:color w:val="0000FF"/>
                </w:rPr>
                <w:t>Unregistered Sales of Equity Securities and Use of Proceeds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9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700" w:type="dxa"/>
            <w:vAlign w:val="bottom"/>
            <w:gridSpan w:val="13"/>
            <w:shd w:val="clear" w:color="auto" w:fill="CCEEFF"/>
          </w:tcPr>
          <w:p>
            <w:pPr>
              <w:spacing w:after="0" w:line="176" w:lineRule="exact"/>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700" w:type="dxa"/>
            <w:vAlign w:val="bottom"/>
            <w:gridSpan w:val="13"/>
            <w:shd w:val="clear" w:color="auto" w:fill="CCEEFF"/>
          </w:tcPr>
          <w:p>
            <w:pPr>
              <w:spacing w:after="0" w:line="176" w:lineRule="exact"/>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FF"/>
            </w:tcBorders>
            <w:gridSpan w:val="2"/>
            <w:shd w:val="clear" w:color="auto" w:fill="CCEEFF"/>
          </w:tcPr>
          <w:p>
            <w:pPr>
              <w:spacing w:after="0" w:line="176" w:lineRule="exact"/>
              <w:rPr>
                <w:rFonts w:ascii="Arial" w:cs="Arial" w:eastAsia="Arial" w:hAnsi="Arial"/>
                <w:sz w:val="18"/>
                <w:szCs w:val="18"/>
                <w:color w:val="0000FF"/>
                <w:w w:val="85"/>
              </w:rPr>
            </w:pPr>
            <w:hyperlink w:anchor="page49">
              <w:r>
                <w:rPr>
                  <w:rFonts w:ascii="Arial" w:cs="Arial" w:eastAsia="Arial" w:hAnsi="Arial"/>
                  <w:sz w:val="18"/>
                  <w:szCs w:val="18"/>
                  <w:color w:val="0000FF"/>
                  <w:w w:val="85"/>
                </w:rPr>
                <w:t>Signatures</w:t>
              </w:r>
            </w:hyperlink>
          </w:p>
        </w:tc>
        <w:tc>
          <w:tcPr>
            <w:tcW w:w="8940" w:type="dxa"/>
            <w:vAlign w:val="bottom"/>
            <w:tcBorders>
              <w:bottom w:val="single" w:sz="8" w:color="CCEEFF"/>
            </w:tcBorders>
            <w:gridSpan w:val="11"/>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12"/>
          </w:tcPr>
          <w:p>
            <w:pPr>
              <w:ind w:left="4500"/>
              <w:spacing w:after="0"/>
              <w:rPr>
                <w:sz w:val="20"/>
                <w:szCs w:val="20"/>
                <w:color w:val="auto"/>
              </w:rPr>
            </w:pPr>
            <w:r>
              <w:rPr>
                <w:rFonts w:ascii="Arial" w:cs="Arial" w:eastAsia="Arial" w:hAnsi="Arial"/>
                <w:sz w:val="18"/>
                <w:szCs w:val="18"/>
                <w:color w:val="auto"/>
              </w:rPr>
              <w:t>2</w:t>
            </w:r>
          </w:p>
        </w:tc>
        <w:tc>
          <w:tcPr>
            <w:tcW w:w="3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September 30, 2013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 2012</w:t>
            </w:r>
          </w:p>
        </w:tc>
        <w:tc>
          <w:tcPr>
            <w:tcW w:w="0" w:type="dxa"/>
            <w:vAlign w:val="bottom"/>
          </w:tcPr>
          <w:p>
            <w:pPr>
              <w:spacing w:after="0"/>
              <w:rPr>
                <w:sz w:val="1"/>
                <w:szCs w:val="1"/>
                <w:color w:val="auto"/>
              </w:rPr>
            </w:pPr>
          </w:p>
        </w:tc>
      </w:tr>
      <w:tr>
        <w:trPr>
          <w:trHeight w:val="216"/>
        </w:trPr>
        <w:tc>
          <w:tcPr>
            <w:tcW w:w="6920" w:type="dxa"/>
            <w:vAlign w:val="bottom"/>
            <w:tcBorders>
              <w:top w:val="single" w:sz="8" w:color="CCEEFF"/>
            </w:tcBorders>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16,827,617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10,035,615</w:t>
            </w: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Restricted short-term investment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50,066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506,062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61,552</w:t>
            </w:r>
          </w:p>
        </w:tc>
        <w:tc>
          <w:tcPr>
            <w:tcW w:w="0" w:type="dxa"/>
            <w:vAlign w:val="bottom"/>
          </w:tcPr>
          <w:p>
            <w:pPr>
              <w:spacing w:after="0"/>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Deferred offering costs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596,281</w:t>
            </w:r>
          </w:p>
        </w:tc>
        <w:tc>
          <w:tcPr>
            <w:tcW w:w="0" w:type="dxa"/>
            <w:vAlign w:val="bottom"/>
          </w:tcPr>
          <w:p>
            <w:pPr>
              <w:spacing w:after="0"/>
              <w:rPr>
                <w:sz w:val="1"/>
                <w:szCs w:val="1"/>
                <w:color w:val="auto"/>
              </w:rPr>
            </w:pPr>
          </w:p>
        </w:tc>
      </w:tr>
      <w:tr>
        <w:trPr>
          <w:trHeight w:val="216"/>
        </w:trPr>
        <w:tc>
          <w:tcPr>
            <w:tcW w:w="6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17,383,745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10,693,448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19,547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12,548</w:t>
            </w:r>
          </w:p>
        </w:tc>
        <w:tc>
          <w:tcPr>
            <w:tcW w:w="0" w:type="dxa"/>
            <w:vAlign w:val="bottom"/>
          </w:tcPr>
          <w:p>
            <w:pPr>
              <w:spacing w:after="0"/>
              <w:rPr>
                <w:sz w:val="1"/>
                <w:szCs w:val="1"/>
                <w:color w:val="auto"/>
              </w:rPr>
            </w:pPr>
          </w:p>
        </w:tc>
      </w:tr>
      <w:tr>
        <w:trPr>
          <w:trHeight w:val="230"/>
        </w:trPr>
        <w:tc>
          <w:tcPr>
            <w:tcW w:w="6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17,403,292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10,705,996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ind w:left="1580"/>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725,503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635,384</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Phase 3 expenses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55,784</w:t>
            </w: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274,758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5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2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1,058,545</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709,559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$0.001 par value, 395,000,000 shares authorized, 8,970,364 and 6,772,066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shares issued and outstanding at September 30, 2013 and December 31, 2012, respectively</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6,772</w:t>
            </w: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46,201,042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34,093,933</w:t>
            </w:r>
          </w:p>
        </w:tc>
        <w:tc>
          <w:tcPr>
            <w:tcW w:w="0" w:type="dxa"/>
            <w:vAlign w:val="bottom"/>
          </w:tcPr>
          <w:p>
            <w:pPr>
              <w:spacing w:after="0"/>
              <w:rPr>
                <w:sz w:val="1"/>
                <w:szCs w:val="1"/>
                <w:color w:val="auto"/>
              </w:rPr>
            </w:pPr>
          </w:p>
        </w:tc>
      </w:tr>
      <w:tr>
        <w:trPr>
          <w:trHeight w:val="25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 accumulated during the development stage</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(29,865,265)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(24,104,268)</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16,344,747</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9,996,437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17,403,292</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10,705,996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239"/>
              <w:spacing w:after="0"/>
              <w:rPr>
                <w:sz w:val="20"/>
                <w:szCs w:val="20"/>
                <w:color w:val="auto"/>
              </w:rPr>
            </w:pPr>
            <w:r>
              <w:rPr>
                <w:rFonts w:ascii="Arial" w:cs="Arial" w:eastAsia="Arial" w:hAnsi="Arial"/>
                <w:sz w:val="14"/>
                <w:szCs w:val="14"/>
                <w:color w:val="auto"/>
                <w:w w:val="95"/>
              </w:rPr>
              <w:t>For the Period From</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w w:val="93"/>
              </w:rPr>
              <w:t>For The Three Months</w:t>
            </w:r>
          </w:p>
        </w:tc>
        <w:tc>
          <w:tcPr>
            <w:tcW w:w="200" w:type="dxa"/>
            <w:vAlign w:val="bottom"/>
          </w:tcPr>
          <w:p>
            <w:pPr>
              <w:spacing w:after="0"/>
              <w:rPr>
                <w:sz w:val="12"/>
                <w:szCs w:val="12"/>
                <w:color w:val="auto"/>
              </w:rPr>
            </w:pPr>
          </w:p>
        </w:tc>
        <w:tc>
          <w:tcPr>
            <w:tcW w:w="15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w w:val="93"/>
              </w:rPr>
              <w:t>For The Three Months</w:t>
            </w:r>
          </w:p>
        </w:tc>
        <w:tc>
          <w:tcPr>
            <w:tcW w:w="200" w:type="dxa"/>
            <w:vAlign w:val="bottom"/>
          </w:tcPr>
          <w:p>
            <w:pPr>
              <w:spacing w:after="0"/>
              <w:rPr>
                <w:sz w:val="12"/>
                <w:szCs w:val="12"/>
                <w:color w:val="auto"/>
              </w:rPr>
            </w:pPr>
          </w:p>
        </w:tc>
        <w:tc>
          <w:tcPr>
            <w:tcW w:w="14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For The Nine Months</w:t>
            </w:r>
          </w:p>
        </w:tc>
        <w:tc>
          <w:tcPr>
            <w:tcW w:w="20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For The Nine Months</w:t>
            </w:r>
          </w:p>
        </w:tc>
        <w:tc>
          <w:tcPr>
            <w:tcW w:w="16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July 24, 1998 (Inception)</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659"/>
              <w:spacing w:after="0"/>
              <w:rPr>
                <w:sz w:val="20"/>
                <w:szCs w:val="20"/>
                <w:color w:val="auto"/>
              </w:rPr>
            </w:pPr>
            <w:r>
              <w:rPr>
                <w:rFonts w:ascii="Arial" w:cs="Arial" w:eastAsia="Arial" w:hAnsi="Arial"/>
                <w:sz w:val="14"/>
                <w:szCs w:val="14"/>
                <w:color w:val="auto"/>
              </w:rPr>
              <w:t>Ended</w:t>
            </w:r>
          </w:p>
        </w:tc>
        <w:tc>
          <w:tcPr>
            <w:tcW w:w="200" w:type="dxa"/>
            <w:vAlign w:val="bottom"/>
          </w:tcPr>
          <w:p>
            <w:pPr>
              <w:spacing w:after="0"/>
              <w:rPr>
                <w:sz w:val="14"/>
                <w:szCs w:val="14"/>
                <w:color w:val="auto"/>
              </w:rPr>
            </w:pPr>
          </w:p>
        </w:tc>
        <w:tc>
          <w:tcPr>
            <w:tcW w:w="1540" w:type="dxa"/>
            <w:vAlign w:val="bottom"/>
            <w:gridSpan w:val="2"/>
          </w:tcPr>
          <w:p>
            <w:pPr>
              <w:jc w:val="right"/>
              <w:ind w:right="659"/>
              <w:spacing w:after="0"/>
              <w:rPr>
                <w:sz w:val="20"/>
                <w:szCs w:val="20"/>
                <w:color w:val="auto"/>
              </w:rPr>
            </w:pPr>
            <w:r>
              <w:rPr>
                <w:rFonts w:ascii="Arial" w:cs="Arial" w:eastAsia="Arial" w:hAnsi="Arial"/>
                <w:sz w:val="14"/>
                <w:szCs w:val="14"/>
                <w:color w:val="auto"/>
              </w:rPr>
              <w:t>Ended</w:t>
            </w:r>
          </w:p>
        </w:tc>
        <w:tc>
          <w:tcPr>
            <w:tcW w:w="200" w:type="dxa"/>
            <w:vAlign w:val="bottom"/>
          </w:tcPr>
          <w:p>
            <w:pPr>
              <w:spacing w:after="0"/>
              <w:rPr>
                <w:sz w:val="14"/>
                <w:szCs w:val="14"/>
                <w:color w:val="auto"/>
              </w:rPr>
            </w:pPr>
          </w:p>
        </w:tc>
        <w:tc>
          <w:tcPr>
            <w:tcW w:w="1480" w:type="dxa"/>
            <w:vAlign w:val="bottom"/>
            <w:gridSpan w:val="2"/>
          </w:tcPr>
          <w:p>
            <w:pPr>
              <w:ind w:left="460"/>
              <w:spacing w:after="0"/>
              <w:rPr>
                <w:sz w:val="20"/>
                <w:szCs w:val="20"/>
                <w:color w:val="auto"/>
              </w:rPr>
            </w:pPr>
            <w:r>
              <w:rPr>
                <w:rFonts w:ascii="Arial" w:cs="Arial" w:eastAsia="Arial" w:hAnsi="Arial"/>
                <w:sz w:val="14"/>
                <w:szCs w:val="14"/>
                <w:color w:val="auto"/>
              </w:rPr>
              <w:t>Ended</w:t>
            </w:r>
          </w:p>
        </w:tc>
        <w:tc>
          <w:tcPr>
            <w:tcW w:w="200" w:type="dxa"/>
            <w:vAlign w:val="bottom"/>
          </w:tcPr>
          <w:p>
            <w:pPr>
              <w:spacing w:after="0"/>
              <w:rPr>
                <w:sz w:val="14"/>
                <w:szCs w:val="14"/>
                <w:color w:val="auto"/>
              </w:rPr>
            </w:pPr>
          </w:p>
        </w:tc>
        <w:tc>
          <w:tcPr>
            <w:tcW w:w="1500" w:type="dxa"/>
            <w:vAlign w:val="bottom"/>
            <w:gridSpan w:val="3"/>
          </w:tcPr>
          <w:p>
            <w:pPr>
              <w:jc w:val="right"/>
              <w:ind w:right="660"/>
              <w:spacing w:after="0"/>
              <w:rPr>
                <w:sz w:val="20"/>
                <w:szCs w:val="20"/>
                <w:color w:val="auto"/>
              </w:rPr>
            </w:pPr>
            <w:r>
              <w:rPr>
                <w:rFonts w:ascii="Arial" w:cs="Arial" w:eastAsia="Arial" w:hAnsi="Arial"/>
                <w:sz w:val="14"/>
                <w:szCs w:val="14"/>
                <w:color w:val="auto"/>
              </w:rPr>
              <w:t>Ended</w:t>
            </w:r>
          </w:p>
        </w:tc>
        <w:tc>
          <w:tcPr>
            <w:tcW w:w="180" w:type="dxa"/>
            <w:vAlign w:val="bottom"/>
          </w:tcPr>
          <w:p>
            <w:pPr>
              <w:spacing w:after="0"/>
              <w:rPr>
                <w:sz w:val="14"/>
                <w:szCs w:val="14"/>
                <w:color w:val="auto"/>
              </w:rPr>
            </w:pPr>
          </w:p>
        </w:tc>
        <w:tc>
          <w:tcPr>
            <w:tcW w:w="1500" w:type="dxa"/>
            <w:vAlign w:val="bottom"/>
            <w:gridSpan w:val="2"/>
          </w:tcPr>
          <w:p>
            <w:pPr>
              <w:jc w:val="right"/>
              <w:ind w:right="579"/>
              <w:spacing w:after="0"/>
              <w:rPr>
                <w:sz w:val="20"/>
                <w:szCs w:val="20"/>
                <w:color w:val="auto"/>
              </w:rPr>
            </w:pPr>
            <w:r>
              <w:rPr>
                <w:rFonts w:ascii="Arial" w:cs="Arial" w:eastAsia="Arial" w:hAnsi="Arial"/>
                <w:sz w:val="14"/>
                <w:szCs w:val="14"/>
                <w:color w:val="auto"/>
              </w:rPr>
              <w:t>through</w:t>
            </w: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right"/>
              <w:ind w:right="319"/>
              <w:spacing w:after="0"/>
              <w:rPr>
                <w:sz w:val="20"/>
                <w:szCs w:val="20"/>
                <w:color w:val="auto"/>
              </w:rPr>
            </w:pPr>
            <w:r>
              <w:rPr>
                <w:rFonts w:ascii="Arial" w:cs="Arial" w:eastAsia="Arial" w:hAnsi="Arial"/>
                <w:sz w:val="14"/>
                <w:szCs w:val="14"/>
                <w:color w:val="auto"/>
                <w:w w:val="91"/>
              </w:rPr>
              <w:t>September 30, 2013</w:t>
            </w:r>
          </w:p>
        </w:tc>
        <w:tc>
          <w:tcPr>
            <w:tcW w:w="200" w:type="dxa"/>
            <w:vAlign w:val="bottom"/>
          </w:tcPr>
          <w:p>
            <w:pPr>
              <w:spacing w:after="0"/>
              <w:rPr>
                <w:sz w:val="15"/>
                <w:szCs w:val="15"/>
                <w:color w:val="auto"/>
              </w:rPr>
            </w:pPr>
          </w:p>
        </w:tc>
        <w:tc>
          <w:tcPr>
            <w:tcW w:w="1540" w:type="dxa"/>
            <w:vAlign w:val="bottom"/>
            <w:gridSpan w:val="2"/>
          </w:tcPr>
          <w:p>
            <w:pPr>
              <w:jc w:val="right"/>
              <w:ind w:right="319"/>
              <w:spacing w:after="0"/>
              <w:rPr>
                <w:sz w:val="20"/>
                <w:szCs w:val="20"/>
                <w:color w:val="auto"/>
              </w:rPr>
            </w:pPr>
            <w:r>
              <w:rPr>
                <w:rFonts w:ascii="Arial" w:cs="Arial" w:eastAsia="Arial" w:hAnsi="Arial"/>
                <w:sz w:val="14"/>
                <w:szCs w:val="14"/>
                <w:color w:val="auto"/>
                <w:w w:val="91"/>
              </w:rPr>
              <w:t>September 30, 2012</w:t>
            </w:r>
          </w:p>
        </w:tc>
        <w:tc>
          <w:tcPr>
            <w:tcW w:w="200" w:type="dxa"/>
            <w:vAlign w:val="bottom"/>
          </w:tcPr>
          <w:p>
            <w:pPr>
              <w:spacing w:after="0"/>
              <w:rPr>
                <w:sz w:val="15"/>
                <w:szCs w:val="15"/>
                <w:color w:val="auto"/>
              </w:rPr>
            </w:pPr>
          </w:p>
        </w:tc>
        <w:tc>
          <w:tcPr>
            <w:tcW w:w="1480" w:type="dxa"/>
            <w:vAlign w:val="bottom"/>
            <w:gridSpan w:val="2"/>
          </w:tcPr>
          <w:p>
            <w:pPr>
              <w:spacing w:after="0"/>
              <w:rPr>
                <w:sz w:val="20"/>
                <w:szCs w:val="20"/>
                <w:color w:val="auto"/>
              </w:rPr>
            </w:pPr>
            <w:r>
              <w:rPr>
                <w:rFonts w:ascii="Arial" w:cs="Arial" w:eastAsia="Arial" w:hAnsi="Arial"/>
                <w:sz w:val="14"/>
                <w:szCs w:val="14"/>
                <w:color w:val="auto"/>
              </w:rPr>
              <w:t>September 30, 2013</w:t>
            </w:r>
          </w:p>
        </w:tc>
        <w:tc>
          <w:tcPr>
            <w:tcW w:w="20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September 30, 2012</w:t>
            </w:r>
          </w:p>
        </w:tc>
        <w:tc>
          <w:tcPr>
            <w:tcW w:w="180" w:type="dxa"/>
            <w:vAlign w:val="bottom"/>
          </w:tcPr>
          <w:p>
            <w:pPr>
              <w:spacing w:after="0"/>
              <w:rPr>
                <w:sz w:val="15"/>
                <w:szCs w:val="15"/>
                <w:color w:val="auto"/>
              </w:rPr>
            </w:pPr>
          </w:p>
        </w:tc>
        <w:tc>
          <w:tcPr>
            <w:tcW w:w="1500" w:type="dxa"/>
            <w:vAlign w:val="bottom"/>
            <w:gridSpan w:val="2"/>
          </w:tcPr>
          <w:p>
            <w:pPr>
              <w:jc w:val="right"/>
              <w:ind w:right="279"/>
              <w:spacing w:after="0"/>
              <w:rPr>
                <w:sz w:val="20"/>
                <w:szCs w:val="20"/>
                <w:color w:val="auto"/>
              </w:rPr>
            </w:pPr>
            <w:r>
              <w:rPr>
                <w:rFonts w:ascii="Arial" w:cs="Arial" w:eastAsia="Arial" w:hAnsi="Arial"/>
                <w:sz w:val="14"/>
                <w:szCs w:val="14"/>
                <w:color w:val="auto"/>
                <w:w w:val="91"/>
              </w:rPr>
              <w:t>September 30, 2013</w:t>
            </w:r>
          </w:p>
        </w:tc>
        <w:tc>
          <w:tcPr>
            <w:tcW w:w="0" w:type="dxa"/>
            <w:vAlign w:val="bottom"/>
          </w:tcPr>
          <w:p>
            <w:pPr>
              <w:spacing w:after="0"/>
              <w:rPr>
                <w:sz w:val="1"/>
                <w:szCs w:val="1"/>
                <w:color w:val="auto"/>
              </w:rPr>
            </w:pPr>
          </w:p>
        </w:tc>
      </w:tr>
      <w:tr>
        <w:trPr>
          <w:trHeight w:val="149"/>
        </w:trPr>
        <w:tc>
          <w:tcPr>
            <w:tcW w:w="288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20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License revenues</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2,500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7,500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107,500</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Selling, general and administrative</w:t>
            </w:r>
          </w:p>
        </w:tc>
        <w:tc>
          <w:tcPr>
            <w:tcW w:w="200" w:type="dxa"/>
            <w:vAlign w:val="bottom"/>
          </w:tcPr>
          <w:p>
            <w:pPr>
              <w:spacing w:after="0"/>
              <w:rPr>
                <w:sz w:val="12"/>
                <w:szCs w:val="12"/>
                <w:color w:val="auto"/>
              </w:rPr>
            </w:pPr>
          </w:p>
        </w:tc>
        <w:tc>
          <w:tcPr>
            <w:tcW w:w="15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1,622,924</w:t>
            </w:r>
          </w:p>
        </w:tc>
        <w:tc>
          <w:tcPr>
            <w:tcW w:w="200" w:type="dxa"/>
            <w:vAlign w:val="bottom"/>
          </w:tcPr>
          <w:p>
            <w:pPr>
              <w:spacing w:after="0"/>
              <w:rPr>
                <w:sz w:val="12"/>
                <w:szCs w:val="12"/>
                <w:color w:val="auto"/>
              </w:rPr>
            </w:pPr>
          </w:p>
        </w:tc>
        <w:tc>
          <w:tcPr>
            <w:tcW w:w="15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946,381</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4,199,018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2,240,004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16,752,719</w:t>
            </w:r>
          </w:p>
        </w:tc>
        <w:tc>
          <w:tcPr>
            <w:tcW w:w="0" w:type="dxa"/>
            <w:vAlign w:val="bottom"/>
          </w:tcPr>
          <w:p>
            <w:pPr>
              <w:spacing w:after="0"/>
              <w:rPr>
                <w:sz w:val="1"/>
                <w:szCs w:val="1"/>
                <w:color w:val="auto"/>
              </w:rPr>
            </w:pPr>
          </w:p>
        </w:tc>
      </w:tr>
      <w:tr>
        <w:trPr>
          <w:trHeight w:val="182"/>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469,480</w:t>
            </w:r>
          </w:p>
        </w:tc>
        <w:tc>
          <w:tcPr>
            <w:tcW w:w="2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303,666</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1,601,927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580,240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10,720,688</w:t>
            </w:r>
          </w:p>
        </w:tc>
        <w:tc>
          <w:tcPr>
            <w:tcW w:w="0" w:type="dxa"/>
            <w:vAlign w:val="bottom"/>
          </w:tcPr>
          <w:p>
            <w:pPr>
              <w:spacing w:after="0"/>
              <w:rPr>
                <w:sz w:val="1"/>
                <w:szCs w:val="1"/>
                <w:color w:val="auto"/>
              </w:rPr>
            </w:pPr>
          </w:p>
        </w:tc>
      </w:tr>
      <w:tr>
        <w:trPr>
          <w:trHeight w:val="136"/>
        </w:trPr>
        <w:tc>
          <w:tcPr>
            <w:tcW w:w="2880" w:type="dxa"/>
            <w:vAlign w:val="bottom"/>
            <w:tcBorders>
              <w:top w:val="single" w:sz="8" w:color="CCEEFF"/>
            </w:tcBorders>
          </w:tcPr>
          <w:p>
            <w:pPr>
              <w:spacing w:after="0" w:line="136" w:lineRule="exact"/>
              <w:rPr>
                <w:sz w:val="20"/>
                <w:szCs w:val="20"/>
                <w:color w:val="auto"/>
              </w:rPr>
            </w:pPr>
            <w:r>
              <w:rPr>
                <w:rFonts w:ascii="Arial" w:cs="Arial" w:eastAsia="Arial" w:hAnsi="Arial"/>
                <w:sz w:val="14"/>
                <w:szCs w:val="14"/>
                <w:color w:val="auto"/>
              </w:rPr>
              <w:t>Loss from operations</w:t>
            </w: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(2,089,904)</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(1,250,047)</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(5,793,445)</w:t>
            </w: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(2,720,244)</w:t>
            </w:r>
          </w:p>
        </w:tc>
        <w:tc>
          <w:tcPr>
            <w:tcW w:w="120" w:type="dxa"/>
            <w:vAlign w:val="bottom"/>
            <w:tcBorders>
              <w:top w:val="single" w:sz="8" w:color="CCEEFF"/>
            </w:tcBorders>
            <w:gridSpan w:val="2"/>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(27,365,907)</w:t>
            </w: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2"/>
                <w:szCs w:val="12"/>
                <w:color w:val="auto"/>
              </w:rPr>
            </w:pPr>
          </w:p>
        </w:tc>
        <w:tc>
          <w:tcPr>
            <w:tcW w:w="15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(24,658)</w:t>
            </w:r>
          </w:p>
        </w:tc>
        <w:tc>
          <w:tcPr>
            <w:tcW w:w="180" w:type="dxa"/>
            <w:vAlign w:val="bottom"/>
          </w:tcPr>
          <w:p>
            <w:pPr>
              <w:spacing w:after="0"/>
              <w:rPr>
                <w:sz w:val="12"/>
                <w:szCs w:val="12"/>
                <w:color w:val="auto"/>
              </w:rPr>
            </w:pPr>
          </w:p>
        </w:tc>
        <w:tc>
          <w:tcPr>
            <w:tcW w:w="15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(1,730,892)</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income</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12,440</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4,221</w:t>
            </w: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32,448</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9,805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175,439</w:t>
            </w: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2"/>
                <w:szCs w:val="12"/>
                <w:color w:val="auto"/>
              </w:rPr>
            </w:pPr>
          </w:p>
        </w:tc>
        <w:tc>
          <w:tcPr>
            <w:tcW w:w="15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(1,195,410)</w:t>
            </w:r>
          </w:p>
        </w:tc>
        <w:tc>
          <w:tcPr>
            <w:tcW w:w="180" w:type="dxa"/>
            <w:vAlign w:val="bottom"/>
          </w:tcPr>
          <w:p>
            <w:pPr>
              <w:spacing w:after="0"/>
              <w:rPr>
                <w:sz w:val="12"/>
                <w:szCs w:val="12"/>
                <w:color w:val="auto"/>
              </w:rPr>
            </w:pPr>
          </w:p>
        </w:tc>
        <w:tc>
          <w:tcPr>
            <w:tcW w:w="15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(1,195,410)</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Gain on settlement</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375,000</w:t>
            </w:r>
          </w:p>
        </w:tc>
        <w:tc>
          <w:tcPr>
            <w:tcW w:w="0" w:type="dxa"/>
            <w:vAlign w:val="bottom"/>
          </w:tcPr>
          <w:p>
            <w:pPr>
              <w:spacing w:after="0"/>
              <w:rPr>
                <w:sz w:val="1"/>
                <w:szCs w:val="1"/>
                <w:color w:val="auto"/>
              </w:rPr>
            </w:pPr>
          </w:p>
        </w:tc>
      </w:tr>
      <w:tr>
        <w:trPr>
          <w:trHeight w:val="169"/>
        </w:trPr>
        <w:tc>
          <w:tcPr>
            <w:tcW w:w="2880" w:type="dxa"/>
            <w:vAlign w:val="bottom"/>
          </w:tcPr>
          <w:p>
            <w:pPr>
              <w:ind w:left="180"/>
              <w:spacing w:after="0"/>
              <w:rPr>
                <w:sz w:val="20"/>
                <w:szCs w:val="20"/>
                <w:color w:val="auto"/>
              </w:rPr>
            </w:pPr>
            <w:r>
              <w:rPr>
                <w:rFonts w:ascii="Arial" w:cs="Arial" w:eastAsia="Arial" w:hAnsi="Arial"/>
                <w:sz w:val="14"/>
                <w:szCs w:val="14"/>
                <w:color w:val="auto"/>
              </w:rPr>
              <w:t>Gain on forgiveness of liabilities</w:t>
            </w:r>
          </w:p>
        </w:tc>
        <w:tc>
          <w:tcPr>
            <w:tcW w:w="200" w:type="dxa"/>
            <w:vAlign w:val="bottom"/>
          </w:tcPr>
          <w:p>
            <w:pPr>
              <w:spacing w:after="0"/>
              <w:rPr>
                <w:sz w:val="14"/>
                <w:szCs w:val="14"/>
                <w:color w:val="auto"/>
              </w:rPr>
            </w:pPr>
          </w:p>
        </w:tc>
        <w:tc>
          <w:tcPr>
            <w:tcW w:w="15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5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4"/>
                <w:szCs w:val="14"/>
                <w:color w:val="auto"/>
              </w:rPr>
              <w:t>176,505</w:t>
            </w:r>
          </w:p>
        </w:tc>
        <w:tc>
          <w:tcPr>
            <w:tcW w:w="0" w:type="dxa"/>
            <w:vAlign w:val="bottom"/>
          </w:tcPr>
          <w:p>
            <w:pPr>
              <w:spacing w:after="0"/>
              <w:rPr>
                <w:sz w:val="1"/>
                <w:szCs w:val="1"/>
                <w:color w:val="auto"/>
              </w:rPr>
            </w:pPr>
          </w:p>
        </w:tc>
      </w:tr>
      <w:tr>
        <w:trPr>
          <w:trHeight w:val="169"/>
        </w:trPr>
        <w:tc>
          <w:tcPr>
            <w:tcW w:w="288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other income (expense), net</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12,440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32,448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(1,210,263</w:t>
            </w:r>
          </w:p>
        </w:tc>
        <w:tc>
          <w:tcPr>
            <w:tcW w:w="120" w:type="dxa"/>
            <w:vAlign w:val="bottom"/>
            <w:tcBorders>
              <w:top w:val="single" w:sz="8" w:color="CCEEFF"/>
              <w:bottom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(2,199,358</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36"/>
        </w:trPr>
        <w:tc>
          <w:tcPr>
            <w:tcW w:w="2880" w:type="dxa"/>
            <w:vAlign w:val="bottom"/>
          </w:tcPr>
          <w:p>
            <w:pPr>
              <w:spacing w:after="0" w:line="136" w:lineRule="exact"/>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1"/>
                <w:szCs w:val="11"/>
                <w:color w:val="auto"/>
              </w:rPr>
            </w:pPr>
          </w:p>
        </w:tc>
        <w:tc>
          <w:tcPr>
            <w:tcW w:w="1420" w:type="dxa"/>
            <w:vAlign w:val="bottom"/>
          </w:tcPr>
          <w:p>
            <w:pPr>
              <w:jc w:val="right"/>
              <w:spacing w:after="0" w:line="136" w:lineRule="exact"/>
              <w:rPr>
                <w:sz w:val="20"/>
                <w:szCs w:val="20"/>
                <w:color w:val="auto"/>
              </w:rPr>
            </w:pPr>
            <w:r>
              <w:rPr>
                <w:rFonts w:ascii="Arial" w:cs="Arial" w:eastAsia="Arial" w:hAnsi="Arial"/>
                <w:sz w:val="14"/>
                <w:szCs w:val="14"/>
                <w:color w:val="auto"/>
              </w:rPr>
              <w:t>(2,077,464)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jc w:val="right"/>
              <w:spacing w:after="0" w:line="136" w:lineRule="exact"/>
              <w:rPr>
                <w:sz w:val="20"/>
                <w:szCs w:val="20"/>
                <w:color w:val="auto"/>
              </w:rPr>
            </w:pPr>
            <w:r>
              <w:rPr>
                <w:rFonts w:ascii="Arial" w:cs="Arial" w:eastAsia="Arial" w:hAnsi="Arial"/>
                <w:sz w:val="14"/>
                <w:szCs w:val="14"/>
                <w:color w:val="auto"/>
              </w:rPr>
              <w:t>(1,245,826)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jc w:val="right"/>
              <w:spacing w:after="0" w:line="136" w:lineRule="exact"/>
              <w:rPr>
                <w:sz w:val="20"/>
                <w:szCs w:val="20"/>
                <w:color w:val="auto"/>
              </w:rPr>
            </w:pPr>
            <w:r>
              <w:rPr>
                <w:rFonts w:ascii="Arial" w:cs="Arial" w:eastAsia="Arial" w:hAnsi="Arial"/>
                <w:sz w:val="14"/>
                <w:szCs w:val="14"/>
                <w:color w:val="auto"/>
              </w:rPr>
              <w:t>(5,760,997)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jc w:val="right"/>
              <w:spacing w:after="0" w:line="136" w:lineRule="exact"/>
              <w:rPr>
                <w:sz w:val="20"/>
                <w:szCs w:val="20"/>
                <w:color w:val="auto"/>
              </w:rPr>
            </w:pPr>
            <w:r>
              <w:rPr>
                <w:rFonts w:ascii="Arial" w:cs="Arial" w:eastAsia="Arial" w:hAnsi="Arial"/>
                <w:sz w:val="14"/>
                <w:szCs w:val="14"/>
                <w:color w:val="auto"/>
              </w:rPr>
              <w:t>(3,930,507)</w:t>
            </w:r>
          </w:p>
        </w:tc>
        <w:tc>
          <w:tcPr>
            <w:tcW w:w="1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4"/>
                <w:szCs w:val="14"/>
                <w:color w:val="auto"/>
              </w:rPr>
              <w:t>(29,565,265)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to preferred stockholders</w:t>
            </w:r>
          </w:p>
        </w:tc>
        <w:tc>
          <w:tcPr>
            <w:tcW w:w="2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(200,000)</w:t>
            </w:r>
          </w:p>
        </w:tc>
        <w:tc>
          <w:tcPr>
            <w:tcW w:w="1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89"/>
        </w:trPr>
        <w:tc>
          <w:tcPr>
            <w:tcW w:w="2880" w:type="dxa"/>
            <w:vAlign w:val="bottom"/>
            <w:tcBorders>
              <w:top w:val="single" w:sz="8" w:color="CCEEFF"/>
              <w:bottom w:val="single" w:sz="8" w:color="CCEEFF"/>
            </w:tcBorders>
          </w:tcPr>
          <w:p>
            <w:pPr>
              <w:spacing w:after="0" w:line="149" w:lineRule="exact"/>
              <w:rPr>
                <w:sz w:val="20"/>
                <w:szCs w:val="20"/>
                <w:color w:val="auto"/>
              </w:rPr>
            </w:pPr>
            <w:r>
              <w:rPr>
                <w:rFonts w:ascii="Arial" w:cs="Arial" w:eastAsia="Arial" w:hAnsi="Arial"/>
                <w:sz w:val="14"/>
                <w:szCs w:val="14"/>
                <w:color w:val="auto"/>
              </w:rPr>
              <w:t>Net loss attributable to common stockholders</w:t>
            </w:r>
          </w:p>
        </w:tc>
        <w:tc>
          <w:tcPr>
            <w:tcW w:w="2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(2,077,464</w:t>
            </w:r>
          </w:p>
        </w:tc>
        <w:tc>
          <w:tcPr>
            <w:tcW w:w="120" w:type="dxa"/>
            <w:vAlign w:val="bottom"/>
            <w:tcBorders>
              <w:top w:val="single" w:sz="8" w:color="CCEEFF"/>
              <w:bottom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(1,245,826</w:t>
            </w:r>
          </w:p>
        </w:tc>
        <w:tc>
          <w:tcPr>
            <w:tcW w:w="120" w:type="dxa"/>
            <w:vAlign w:val="bottom"/>
            <w:tcBorders>
              <w:top w:val="single" w:sz="8" w:color="CCEEFF"/>
              <w:bottom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(5,760,997</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(4,130,507</w:t>
            </w:r>
          </w:p>
        </w:tc>
        <w:tc>
          <w:tcPr>
            <w:tcW w:w="120" w:type="dxa"/>
            <w:vAlign w:val="bottom"/>
            <w:tcBorders>
              <w:top w:val="single" w:sz="8" w:color="CCEEFF"/>
              <w:bottom w:val="single" w:sz="8" w:color="CCEEFF"/>
            </w:tcBorders>
            <w:gridSpan w:val="2"/>
          </w:tcPr>
          <w:p>
            <w:pPr>
              <w:jc w:val="right"/>
              <w:ind w:right="60"/>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(29,865,265</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83"/>
        </w:trPr>
        <w:tc>
          <w:tcPr>
            <w:tcW w:w="2880" w:type="dxa"/>
            <w:vAlign w:val="bottom"/>
            <w:shd w:val="clear" w:color="auto" w:fill="CCEEFF"/>
          </w:tcPr>
          <w:p>
            <w:pPr>
              <w:spacing w:after="0" w:line="84" w:lineRule="exact"/>
              <w:rPr>
                <w:sz w:val="20"/>
                <w:szCs w:val="20"/>
                <w:color w:val="auto"/>
              </w:rPr>
            </w:pPr>
            <w:r>
              <w:rPr>
                <w:rFonts w:ascii="Arial" w:cs="Arial" w:eastAsia="Arial" w:hAnsi="Arial"/>
                <w:sz w:val="9"/>
                <w:szCs w:val="9"/>
                <w:color w:val="auto"/>
              </w:rPr>
              <w:t>Net loss attributable to common stockholders per</w:t>
            </w:r>
          </w:p>
        </w:tc>
        <w:tc>
          <w:tcPr>
            <w:tcW w:w="2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share of common stock, basic and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39"/>
              <w:spacing w:after="0" w:line="194" w:lineRule="exact"/>
              <w:rPr>
                <w:sz w:val="20"/>
                <w:szCs w:val="20"/>
                <w:color w:val="auto"/>
              </w:rPr>
            </w:pPr>
            <w:r>
              <w:rPr>
                <w:rFonts w:ascii="Arial" w:cs="Arial" w:eastAsia="Arial" w:hAnsi="Arial"/>
                <w:sz w:val="12"/>
                <w:szCs w:val="12"/>
                <w:color w:val="auto"/>
              </w:rPr>
              <w:t>(0.23</w:t>
            </w:r>
            <w:r>
              <w:rPr>
                <w:rFonts w:ascii="Arial" w:cs="Arial" w:eastAsia="Arial" w:hAnsi="Arial"/>
                <w:sz w:val="22"/>
                <w:szCs w:val="22"/>
                <w:color w:val="auto"/>
                <w:vertAlign w:val="super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39"/>
              <w:spacing w:after="0" w:line="194" w:lineRule="exact"/>
              <w:rPr>
                <w:sz w:val="20"/>
                <w:szCs w:val="20"/>
                <w:color w:val="auto"/>
              </w:rPr>
            </w:pPr>
            <w:r>
              <w:rPr>
                <w:rFonts w:ascii="Arial" w:cs="Arial" w:eastAsia="Arial" w:hAnsi="Arial"/>
                <w:sz w:val="12"/>
                <w:szCs w:val="12"/>
                <w:color w:val="auto"/>
              </w:rPr>
              <w:t>(0.20</w:t>
            </w:r>
            <w:r>
              <w:rPr>
                <w:rFonts w:ascii="Arial" w:cs="Arial" w:eastAsia="Arial" w:hAnsi="Arial"/>
                <w:sz w:val="22"/>
                <w:szCs w:val="22"/>
                <w:color w:val="auto"/>
                <w:vertAlign w:val="super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9"/>
              <w:spacing w:after="0" w:line="194" w:lineRule="exact"/>
              <w:rPr>
                <w:sz w:val="20"/>
                <w:szCs w:val="20"/>
                <w:color w:val="auto"/>
              </w:rPr>
            </w:pPr>
            <w:r>
              <w:rPr>
                <w:rFonts w:ascii="Arial" w:cs="Arial" w:eastAsia="Arial" w:hAnsi="Arial"/>
                <w:sz w:val="12"/>
                <w:szCs w:val="12"/>
                <w:color w:val="auto"/>
              </w:rPr>
              <w:t>(0.67</w:t>
            </w:r>
            <w:r>
              <w:rPr>
                <w:rFonts w:ascii="Arial" w:cs="Arial" w:eastAsia="Arial" w:hAnsi="Arial"/>
                <w:sz w:val="22"/>
                <w:szCs w:val="22"/>
                <w:color w:val="auto"/>
                <w:vertAlign w:val="super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2"/>
                <w:szCs w:val="12"/>
                <w:color w:val="auto"/>
              </w:rPr>
              <w:t>(1.11</w:t>
            </w:r>
            <w:r>
              <w:rPr>
                <w:rFonts w:ascii="Arial" w:cs="Arial" w:eastAsia="Arial" w:hAnsi="Arial"/>
                <w:sz w:val="22"/>
                <w:szCs w:val="22"/>
                <w:color w:val="auto"/>
                <w:vertAlign w:val="superscript"/>
              </w:rPr>
              <w:t>)</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line="123" w:lineRule="exact"/>
              <w:rPr>
                <w:sz w:val="20"/>
                <w:szCs w:val="20"/>
                <w:color w:val="auto"/>
              </w:rPr>
            </w:pPr>
            <w:r>
              <w:rPr>
                <w:rFonts w:ascii="Arial" w:cs="Arial" w:eastAsia="Arial" w:hAnsi="Arial"/>
                <w:sz w:val="14"/>
                <w:szCs w:val="14"/>
                <w:color w:val="auto"/>
                <w:w w:val="95"/>
              </w:rPr>
              <w:t>Weighted average number of shares of common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8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880" w:type="dxa"/>
            <w:vAlign w:val="bottom"/>
          </w:tcPr>
          <w:p>
            <w:pPr>
              <w:spacing w:after="0"/>
              <w:rPr>
                <w:sz w:val="20"/>
                <w:szCs w:val="20"/>
                <w:color w:val="auto"/>
              </w:rPr>
            </w:pPr>
            <w:r>
              <w:rPr>
                <w:rFonts w:ascii="Arial" w:cs="Arial" w:eastAsia="Arial" w:hAnsi="Arial"/>
                <w:sz w:val="14"/>
                <w:szCs w:val="14"/>
                <w:color w:val="auto"/>
              </w:rPr>
              <w:t>stock outstanding, basic and diluted</w:t>
            </w:r>
          </w:p>
        </w:tc>
        <w:tc>
          <w:tcPr>
            <w:tcW w:w="200" w:type="dxa"/>
            <w:vAlign w:val="bottom"/>
          </w:tcPr>
          <w:p>
            <w:pPr>
              <w:spacing w:after="0"/>
              <w:rPr>
                <w:sz w:val="16"/>
                <w:szCs w:val="16"/>
                <w:color w:val="auto"/>
              </w:rPr>
            </w:pPr>
          </w:p>
        </w:tc>
        <w:tc>
          <w:tcPr>
            <w:tcW w:w="1540" w:type="dxa"/>
            <w:vAlign w:val="bottom"/>
            <w:gridSpan w:val="2"/>
          </w:tcPr>
          <w:p>
            <w:pPr>
              <w:jc w:val="right"/>
              <w:ind w:right="79"/>
              <w:spacing w:after="0"/>
              <w:rPr>
                <w:sz w:val="20"/>
                <w:szCs w:val="20"/>
                <w:color w:val="auto"/>
              </w:rPr>
            </w:pPr>
            <w:r>
              <w:rPr>
                <w:rFonts w:ascii="Arial" w:cs="Arial" w:eastAsia="Arial" w:hAnsi="Arial"/>
                <w:sz w:val="14"/>
                <w:szCs w:val="14"/>
                <w:color w:val="auto"/>
              </w:rPr>
              <w:t>8,961,678</w:t>
            </w:r>
          </w:p>
        </w:tc>
        <w:tc>
          <w:tcPr>
            <w:tcW w:w="200" w:type="dxa"/>
            <w:vAlign w:val="bottom"/>
          </w:tcPr>
          <w:p>
            <w:pPr>
              <w:spacing w:after="0"/>
              <w:rPr>
                <w:sz w:val="16"/>
                <w:szCs w:val="16"/>
                <w:color w:val="auto"/>
              </w:rPr>
            </w:pPr>
          </w:p>
        </w:tc>
        <w:tc>
          <w:tcPr>
            <w:tcW w:w="1540" w:type="dxa"/>
            <w:vAlign w:val="bottom"/>
            <w:gridSpan w:val="2"/>
          </w:tcPr>
          <w:p>
            <w:pPr>
              <w:jc w:val="right"/>
              <w:ind w:right="79"/>
              <w:spacing w:after="0"/>
              <w:rPr>
                <w:sz w:val="20"/>
                <w:szCs w:val="20"/>
                <w:color w:val="auto"/>
              </w:rPr>
            </w:pPr>
            <w:r>
              <w:rPr>
                <w:rFonts w:ascii="Arial" w:cs="Arial" w:eastAsia="Arial" w:hAnsi="Arial"/>
                <w:sz w:val="14"/>
                <w:szCs w:val="14"/>
                <w:color w:val="auto"/>
              </w:rPr>
              <w:t>6,219,821</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8,551,159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3,728,513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79"/>
              <w:spacing w:after="0"/>
              <w:rPr>
                <w:sz w:val="20"/>
                <w:szCs w:val="20"/>
                <w:color w:val="auto"/>
              </w:rPr>
            </w:pPr>
            <w:r>
              <w:rPr>
                <w:rFonts w:ascii="Arial" w:cs="Arial" w:eastAsia="Arial" w:hAnsi="Arial"/>
                <w:sz w:val="14"/>
                <w:szCs w:val="14"/>
                <w:color w:val="auto"/>
                <w:w w:val="94"/>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519"/>
              <w:spacing w:after="0" w:line="149" w:lineRule="exact"/>
              <w:rPr>
                <w:sz w:val="20"/>
                <w:szCs w:val="20"/>
                <w:color w:val="auto"/>
              </w:rPr>
            </w:pPr>
            <w:r>
              <w:rPr>
                <w:rFonts w:ascii="Arial" w:cs="Arial" w:eastAsia="Arial" w:hAnsi="Arial"/>
                <w:sz w:val="14"/>
                <w:szCs w:val="14"/>
                <w:color w:val="auto"/>
                <w:w w:val="95"/>
              </w:rPr>
              <w:t>For The Nine</w:t>
            </w:r>
          </w:p>
        </w:tc>
        <w:tc>
          <w:tcPr>
            <w:tcW w:w="200" w:type="dxa"/>
            <w:vAlign w:val="bottom"/>
          </w:tcPr>
          <w:p>
            <w:pPr>
              <w:spacing w:after="0"/>
              <w:rPr>
                <w:sz w:val="12"/>
                <w:szCs w:val="12"/>
                <w:color w:val="auto"/>
              </w:rPr>
            </w:pPr>
          </w:p>
        </w:tc>
        <w:tc>
          <w:tcPr>
            <w:tcW w:w="1820" w:type="dxa"/>
            <w:vAlign w:val="bottom"/>
            <w:gridSpan w:val="2"/>
          </w:tcPr>
          <w:p>
            <w:pPr>
              <w:jc w:val="center"/>
              <w:ind w:right="379"/>
              <w:spacing w:after="0" w:line="149" w:lineRule="exact"/>
              <w:rPr>
                <w:sz w:val="20"/>
                <w:szCs w:val="20"/>
                <w:color w:val="auto"/>
              </w:rPr>
            </w:pPr>
            <w:r>
              <w:rPr>
                <w:rFonts w:ascii="Arial" w:cs="Arial" w:eastAsia="Arial" w:hAnsi="Arial"/>
                <w:sz w:val="14"/>
                <w:szCs w:val="14"/>
                <w:color w:val="auto"/>
                <w:w w:val="92"/>
              </w:rPr>
              <w:t>For The Nine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79"/>
              <w:spacing w:after="0" w:line="149" w:lineRule="exact"/>
              <w:rPr>
                <w:sz w:val="20"/>
                <w:szCs w:val="20"/>
                <w:color w:val="auto"/>
              </w:rPr>
            </w:pPr>
            <w:r>
              <w:rPr>
                <w:rFonts w:ascii="Arial" w:cs="Arial" w:eastAsia="Arial" w:hAnsi="Arial"/>
                <w:sz w:val="14"/>
                <w:szCs w:val="14"/>
                <w:color w:val="auto"/>
                <w:w w:val="95"/>
              </w:rPr>
              <w:t>July 24, 1998 (Inception)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center"/>
              <w:ind w:right="499"/>
              <w:spacing w:after="0"/>
              <w:rPr>
                <w:sz w:val="20"/>
                <w:szCs w:val="20"/>
                <w:color w:val="auto"/>
              </w:rPr>
            </w:pPr>
            <w:r>
              <w:rPr>
                <w:rFonts w:ascii="Arial" w:cs="Arial" w:eastAsia="Arial" w:hAnsi="Arial"/>
                <w:sz w:val="14"/>
                <w:szCs w:val="14"/>
                <w:color w:val="auto"/>
                <w:w w:val="92"/>
              </w:rPr>
              <w:t>Months Ended</w:t>
            </w:r>
          </w:p>
        </w:tc>
        <w:tc>
          <w:tcPr>
            <w:tcW w:w="200" w:type="dxa"/>
            <w:vAlign w:val="bottom"/>
          </w:tcPr>
          <w:p>
            <w:pPr>
              <w:spacing w:after="0"/>
              <w:rPr>
                <w:sz w:val="14"/>
                <w:szCs w:val="14"/>
                <w:color w:val="auto"/>
              </w:rPr>
            </w:pPr>
          </w:p>
        </w:tc>
        <w:tc>
          <w:tcPr>
            <w:tcW w:w="1820" w:type="dxa"/>
            <w:vAlign w:val="bottom"/>
            <w:gridSpan w:val="2"/>
          </w:tcPr>
          <w:p>
            <w:pPr>
              <w:jc w:val="center"/>
              <w:ind w:right="339"/>
              <w:spacing w:after="0"/>
              <w:rPr>
                <w:sz w:val="20"/>
                <w:szCs w:val="20"/>
                <w:color w:val="auto"/>
              </w:rPr>
            </w:pPr>
            <w:r>
              <w:rPr>
                <w:rFonts w:ascii="Arial" w:cs="Arial" w:eastAsia="Arial" w:hAnsi="Arial"/>
                <w:sz w:val="14"/>
                <w:szCs w:val="14"/>
                <w:color w:val="auto"/>
                <w:w w:val="92"/>
              </w:rPr>
              <w:t>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79"/>
              <w:spacing w:after="0"/>
              <w:rPr>
                <w:sz w:val="20"/>
                <w:szCs w:val="20"/>
                <w:color w:val="auto"/>
              </w:rPr>
            </w:pPr>
            <w:r>
              <w:rPr>
                <w:rFonts w:ascii="Arial" w:cs="Arial" w:eastAsia="Arial" w:hAnsi="Arial"/>
                <w:sz w:val="14"/>
                <w:szCs w:val="14"/>
                <w:color w:val="auto"/>
                <w:w w:val="96"/>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2"/>
          </w:tcPr>
          <w:p>
            <w:pPr>
              <w:jc w:val="center"/>
              <w:ind w:right="519"/>
              <w:spacing w:after="0"/>
              <w:rPr>
                <w:sz w:val="20"/>
                <w:szCs w:val="20"/>
                <w:color w:val="auto"/>
              </w:rPr>
            </w:pPr>
            <w:r>
              <w:rPr>
                <w:rFonts w:ascii="Arial" w:cs="Arial" w:eastAsia="Arial" w:hAnsi="Arial"/>
                <w:sz w:val="14"/>
                <w:szCs w:val="14"/>
                <w:color w:val="auto"/>
                <w:w w:val="89"/>
              </w:rPr>
              <w:t>September 30, 2013</w:t>
            </w:r>
          </w:p>
        </w:tc>
        <w:tc>
          <w:tcPr>
            <w:tcW w:w="200" w:type="dxa"/>
            <w:vAlign w:val="bottom"/>
          </w:tcPr>
          <w:p>
            <w:pPr>
              <w:spacing w:after="0"/>
              <w:rPr>
                <w:sz w:val="15"/>
                <w:szCs w:val="15"/>
                <w:color w:val="auto"/>
              </w:rPr>
            </w:pPr>
          </w:p>
        </w:tc>
        <w:tc>
          <w:tcPr>
            <w:tcW w:w="1820" w:type="dxa"/>
            <w:vAlign w:val="bottom"/>
            <w:gridSpan w:val="2"/>
          </w:tcPr>
          <w:p>
            <w:pPr>
              <w:jc w:val="center"/>
              <w:ind w:right="339"/>
              <w:spacing w:after="0"/>
              <w:rPr>
                <w:sz w:val="20"/>
                <w:szCs w:val="20"/>
                <w:color w:val="auto"/>
              </w:rPr>
            </w:pPr>
            <w:r>
              <w:rPr>
                <w:rFonts w:ascii="Arial" w:cs="Arial" w:eastAsia="Arial" w:hAnsi="Arial"/>
                <w:sz w:val="14"/>
                <w:szCs w:val="14"/>
                <w:color w:val="auto"/>
                <w:w w:val="91"/>
              </w:rPr>
              <w:t>September 30, 2012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199"/>
              <w:spacing w:after="0"/>
              <w:rPr>
                <w:sz w:val="20"/>
                <w:szCs w:val="20"/>
                <w:color w:val="auto"/>
              </w:rPr>
            </w:pPr>
            <w:r>
              <w:rPr>
                <w:rFonts w:ascii="Arial" w:cs="Arial" w:eastAsia="Arial" w:hAnsi="Arial"/>
                <w:sz w:val="14"/>
                <w:szCs w:val="14"/>
                <w:color w:val="auto"/>
                <w:w w:val="91"/>
              </w:rPr>
              <w:t>September 30, 2013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Net loss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98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(5,760,997)</w:t>
            </w:r>
          </w:p>
        </w:tc>
        <w:tc>
          <w:tcPr>
            <w:tcW w:w="200" w:type="dxa"/>
            <w:vAlign w:val="bottom"/>
          </w:tcPr>
          <w:p>
            <w:pPr>
              <w:spacing w:after="0"/>
              <w:rPr>
                <w:sz w:val="12"/>
                <w:szCs w:val="12"/>
                <w:color w:val="auto"/>
              </w:rPr>
            </w:pPr>
          </w:p>
        </w:tc>
        <w:tc>
          <w:tcPr>
            <w:tcW w:w="18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(3,930,507)</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(29,565,265)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Estimated fair value of contributed services</w:t>
            </w:r>
          </w:p>
        </w:tc>
        <w:tc>
          <w:tcPr>
            <w:tcW w:w="20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2,475,000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Gain on forgiveness of liabilities</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(176,505)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Amortization of prepaid consulting fees</w:t>
            </w:r>
          </w:p>
        </w:tc>
        <w:tc>
          <w:tcPr>
            <w:tcW w:w="200" w:type="dxa"/>
            <w:vAlign w:val="bottom"/>
          </w:tcPr>
          <w:p>
            <w:pPr>
              <w:spacing w:after="0"/>
              <w:rPr>
                <w:sz w:val="12"/>
                <w:szCs w:val="12"/>
                <w:color w:val="auto"/>
              </w:rPr>
            </w:pPr>
          </w:p>
        </w:tc>
        <w:tc>
          <w:tcPr>
            <w:tcW w:w="198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133,244</w:t>
            </w:r>
          </w:p>
        </w:tc>
        <w:tc>
          <w:tcPr>
            <w:tcW w:w="200" w:type="dxa"/>
            <w:vAlign w:val="bottom"/>
          </w:tcPr>
          <w:p>
            <w:pPr>
              <w:spacing w:after="0"/>
              <w:rPr>
                <w:sz w:val="12"/>
                <w:szCs w:val="12"/>
                <w:color w:val="auto"/>
              </w:rPr>
            </w:pP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940,852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Depreciation</w:t>
            </w:r>
          </w:p>
        </w:tc>
        <w:tc>
          <w:tcPr>
            <w:tcW w:w="20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3,481</w:t>
            </w: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2,090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9,579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1,195,410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1,195,410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Non-cash interest on notes payable</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24,658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1,730,892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Arial" w:cs="Arial" w:eastAsia="Arial" w:hAnsi="Arial"/>
                <w:sz w:val="14"/>
                <w:szCs w:val="14"/>
                <w:color w:val="auto"/>
              </w:rPr>
              <w:t>2,193,717</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1,502,080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6,479,145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Payments made on behalf of Company by related party</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254,142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Changes in assets and liabilities:</w:t>
            </w: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(258,034)</w:t>
            </w: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(61,344)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(459,586)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Accounts payable and accrued expenses</w:t>
            </w:r>
          </w:p>
        </w:tc>
        <w:tc>
          <w:tcPr>
            <w:tcW w:w="200" w:type="dxa"/>
            <w:vAlign w:val="bottom"/>
          </w:tcPr>
          <w:p>
            <w:pPr>
              <w:spacing w:after="0"/>
              <w:rPr>
                <w:sz w:val="12"/>
                <w:szCs w:val="12"/>
                <w:color w:val="auto"/>
              </w:rPr>
            </w:pPr>
          </w:p>
        </w:tc>
        <w:tc>
          <w:tcPr>
            <w:tcW w:w="198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229,563</w:t>
            </w:r>
          </w:p>
        </w:tc>
        <w:tc>
          <w:tcPr>
            <w:tcW w:w="200" w:type="dxa"/>
            <w:vAlign w:val="bottom"/>
          </w:tcPr>
          <w:p>
            <w:pPr>
              <w:spacing w:after="0"/>
              <w:rPr>
                <w:sz w:val="12"/>
                <w:szCs w:val="12"/>
                <w:color w:val="auto"/>
              </w:rPr>
            </w:pP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61,371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769,524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Accrued Phase 3 expenses</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111,871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Accrued payroll and related liabilities</w:t>
            </w:r>
          </w:p>
        </w:tc>
        <w:tc>
          <w:tcPr>
            <w:tcW w:w="200" w:type="dxa"/>
            <w:vAlign w:val="bottom"/>
          </w:tcPr>
          <w:p>
            <w:pPr>
              <w:spacing w:after="0"/>
              <w:rPr>
                <w:sz w:val="12"/>
                <w:szCs w:val="12"/>
                <w:color w:val="auto"/>
              </w:rPr>
            </w:pPr>
          </w:p>
        </w:tc>
        <w:tc>
          <w:tcPr>
            <w:tcW w:w="198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256,367</w:t>
            </w:r>
          </w:p>
        </w:tc>
        <w:tc>
          <w:tcPr>
            <w:tcW w:w="200" w:type="dxa"/>
            <w:vAlign w:val="bottom"/>
          </w:tcPr>
          <w:p>
            <w:pPr>
              <w:spacing w:after="0"/>
              <w:rPr>
                <w:sz w:val="12"/>
                <w:szCs w:val="12"/>
                <w:color w:val="auto"/>
              </w:rPr>
            </w:pP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19,115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361,349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140" w:type="dxa"/>
            <w:vAlign w:val="bottom"/>
            <w:tcBorders>
              <w:top w:val="single" w:sz="8" w:color="CCEEFF"/>
              <w:bottom w:val="single" w:sz="8" w:color="CCEEFF"/>
            </w:tcBorders>
          </w:tcPr>
          <w:p>
            <w:pPr>
              <w:spacing w:after="0" w:line="136" w:lineRule="exact"/>
              <w:rPr>
                <w:sz w:val="20"/>
                <w:szCs w:val="20"/>
                <w:color w:val="auto"/>
              </w:rPr>
            </w:pPr>
            <w:r>
              <w:rPr>
                <w:rFonts w:ascii="Arial" w:cs="Arial" w:eastAsia="Arial" w:hAnsi="Arial"/>
                <w:sz w:val="14"/>
                <w:szCs w:val="14"/>
                <w:color w:val="auto"/>
              </w:rPr>
              <w:t>NET CASH USED IN OPERATING ACTIVITIES</w:t>
            </w:r>
          </w:p>
        </w:tc>
        <w:tc>
          <w:tcPr>
            <w:tcW w:w="2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(3,200,159</w:t>
            </w:r>
          </w:p>
        </w:tc>
        <w:tc>
          <w:tcPr>
            <w:tcW w:w="340" w:type="dxa"/>
            <w:vAlign w:val="bottom"/>
            <w:tcBorders>
              <w:top w:val="single" w:sz="8" w:color="CCEEFF"/>
              <w:bottom w:val="single" w:sz="8" w:color="CCEEFF"/>
            </w:tcBorders>
          </w:tcPr>
          <w:p>
            <w:pPr>
              <w:jc w:val="right"/>
              <w:ind w:right="25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(1,287,127</w:t>
            </w:r>
          </w:p>
        </w:tc>
        <w:tc>
          <w:tcPr>
            <w:tcW w:w="180" w:type="dxa"/>
            <w:vAlign w:val="bottom"/>
            <w:tcBorders>
              <w:top w:val="single" w:sz="8" w:color="CCEEFF"/>
              <w:bottom w:val="single" w:sz="8" w:color="CCEEFF"/>
            </w:tcBorders>
          </w:tcPr>
          <w:p>
            <w:pPr>
              <w:jc w:val="right"/>
              <w:ind w:right="9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(15,871,092</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Purchase of restricted short-term investment</w:t>
            </w:r>
          </w:p>
        </w:tc>
        <w:tc>
          <w:tcPr>
            <w:tcW w:w="200" w:type="dxa"/>
            <w:vAlign w:val="bottom"/>
          </w:tcPr>
          <w:p>
            <w:pPr>
              <w:spacing w:after="0"/>
              <w:rPr>
                <w:sz w:val="12"/>
                <w:szCs w:val="12"/>
                <w:color w:val="auto"/>
              </w:rPr>
            </w:pPr>
          </w:p>
        </w:tc>
        <w:tc>
          <w:tcPr>
            <w:tcW w:w="198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(50,000)</w:t>
            </w:r>
          </w:p>
        </w:tc>
        <w:tc>
          <w:tcPr>
            <w:tcW w:w="200" w:type="dxa"/>
            <w:vAlign w:val="bottom"/>
          </w:tcPr>
          <w:p>
            <w:pPr>
              <w:spacing w:after="0"/>
              <w:rPr>
                <w:sz w:val="12"/>
                <w:szCs w:val="12"/>
                <w:color w:val="auto"/>
              </w:rPr>
            </w:pP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Purchases of furniture and equipment</w:t>
            </w:r>
          </w:p>
        </w:tc>
        <w:tc>
          <w:tcPr>
            <w:tcW w:w="20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(10,480)</w:t>
            </w:r>
          </w:p>
        </w:tc>
        <w:tc>
          <w:tcPr>
            <w:tcW w:w="2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(15,308)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(29,126)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140" w:type="dxa"/>
            <w:vAlign w:val="bottom"/>
            <w:tcBorders>
              <w:top w:val="single" w:sz="8" w:color="CCEEFF"/>
              <w:bottom w:val="single" w:sz="8" w:color="CCEEFF"/>
            </w:tcBorders>
          </w:tcPr>
          <w:p>
            <w:pPr>
              <w:spacing w:after="0" w:line="136"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(60,480</w:t>
            </w:r>
          </w:p>
        </w:tc>
        <w:tc>
          <w:tcPr>
            <w:tcW w:w="340" w:type="dxa"/>
            <w:vAlign w:val="bottom"/>
            <w:tcBorders>
              <w:top w:val="single" w:sz="8" w:color="CCEEFF"/>
              <w:bottom w:val="single" w:sz="8" w:color="CCEEFF"/>
            </w:tcBorders>
          </w:tcPr>
          <w:p>
            <w:pPr>
              <w:jc w:val="right"/>
              <w:ind w:right="25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(15,308</w:t>
            </w:r>
          </w:p>
        </w:tc>
        <w:tc>
          <w:tcPr>
            <w:tcW w:w="180" w:type="dxa"/>
            <w:vAlign w:val="bottom"/>
            <w:tcBorders>
              <w:top w:val="single" w:sz="8" w:color="CCEEFF"/>
              <w:bottom w:val="single" w:sz="8" w:color="CCEEFF"/>
            </w:tcBorders>
          </w:tcPr>
          <w:p>
            <w:pPr>
              <w:jc w:val="right"/>
              <w:ind w:right="9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(79,126</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Cancelled common stock</w:t>
            </w:r>
          </w:p>
        </w:tc>
        <w:tc>
          <w:tcPr>
            <w:tcW w:w="200" w:type="dxa"/>
            <w:vAlign w:val="bottom"/>
          </w:tcPr>
          <w:p>
            <w:pPr>
              <w:spacing w:after="0"/>
              <w:rPr>
                <w:sz w:val="12"/>
                <w:szCs w:val="12"/>
                <w:color w:val="auto"/>
              </w:rPr>
            </w:pPr>
          </w:p>
        </w:tc>
        <w:tc>
          <w:tcPr>
            <w:tcW w:w="198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(191)</w:t>
            </w:r>
          </w:p>
        </w:tc>
        <w:tc>
          <w:tcPr>
            <w:tcW w:w="200" w:type="dxa"/>
            <w:vAlign w:val="bottom"/>
          </w:tcPr>
          <w:p>
            <w:pPr>
              <w:spacing w:after="0"/>
              <w:rPr>
                <w:sz w:val="12"/>
                <w:szCs w:val="12"/>
                <w:color w:val="auto"/>
              </w:rPr>
            </w:pP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Proceeds from issuance of notes payable to a related party</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450,000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976,300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Proceeds received in connection with debt modification</w:t>
            </w:r>
          </w:p>
        </w:tc>
        <w:tc>
          <w:tcPr>
            <w:tcW w:w="20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Proceeds from issuance of preferred stock</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Proceeds from notes payable</w:t>
            </w:r>
          </w:p>
        </w:tc>
        <w:tc>
          <w:tcPr>
            <w:tcW w:w="20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Preferred stock deemed dividend paid at conversion</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(200,000)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Cash advances from related party</w:t>
            </w:r>
          </w:p>
        </w:tc>
        <w:tc>
          <w:tcPr>
            <w:tcW w:w="20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27,537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Repayment of advances from related party</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(281,679)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00"/>
              <w:spacing w:after="0" w:line="149" w:lineRule="exact"/>
              <w:rPr>
                <w:sz w:val="20"/>
                <w:szCs w:val="20"/>
                <w:color w:val="auto"/>
              </w:rPr>
            </w:pPr>
            <w:r>
              <w:rPr>
                <w:rFonts w:ascii="Arial" w:cs="Arial" w:eastAsia="Arial" w:hAnsi="Arial"/>
                <w:sz w:val="14"/>
                <w:szCs w:val="14"/>
                <w:color w:val="auto"/>
              </w:rPr>
              <w:t>Capital contributions</w:t>
            </w:r>
          </w:p>
        </w:tc>
        <w:tc>
          <w:tcPr>
            <w:tcW w:w="20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168,707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4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Net proceeds from purchase of common stock and exercise of warrants and</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stock options</w:t>
            </w: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100,250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40" w:type="dxa"/>
            <w:vAlign w:val="bottom"/>
          </w:tcPr>
          <w:p>
            <w:pPr>
              <w:ind w:left="400"/>
              <w:spacing w:after="0" w:line="130" w:lineRule="exact"/>
              <w:rPr>
                <w:sz w:val="20"/>
                <w:szCs w:val="20"/>
                <w:color w:val="auto"/>
              </w:rPr>
            </w:pPr>
            <w:r>
              <w:rPr>
                <w:rFonts w:ascii="Arial" w:cs="Arial" w:eastAsia="Arial" w:hAnsi="Arial"/>
                <w:sz w:val="14"/>
                <w:szCs w:val="14"/>
                <w:color w:val="auto"/>
              </w:rPr>
              <w:t>Proceeds from issuance of common stock and warrants for cash, net of</w:t>
            </w:r>
          </w:p>
        </w:tc>
        <w:tc>
          <w:tcPr>
            <w:tcW w:w="200" w:type="dxa"/>
            <w:vAlign w:val="bottom"/>
          </w:tcPr>
          <w:p>
            <w:pPr>
              <w:spacing w:after="0"/>
              <w:rPr>
                <w:sz w:val="11"/>
                <w:szCs w:val="11"/>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10,052,832</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2"/>
            <w:vMerge w:val="restart"/>
          </w:tcPr>
          <w:p>
            <w:pPr>
              <w:jc w:val="right"/>
              <w:ind w:right="139"/>
              <w:spacing w:after="0"/>
              <w:rPr>
                <w:sz w:val="20"/>
                <w:szCs w:val="20"/>
                <w:color w:val="auto"/>
              </w:rPr>
            </w:pPr>
            <w:r>
              <w:rPr>
                <w:rFonts w:ascii="Arial" w:cs="Arial" w:eastAsia="Arial" w:hAnsi="Arial"/>
                <w:sz w:val="14"/>
                <w:szCs w:val="14"/>
                <w:color w:val="auto"/>
              </w:rPr>
              <w:t>11,847,146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2"/>
            <w:vMerge w:val="restart"/>
          </w:tcPr>
          <w:p>
            <w:pPr>
              <w:jc w:val="right"/>
              <w:ind w:right="59"/>
              <w:spacing w:after="0"/>
              <w:rPr>
                <w:sz w:val="20"/>
                <w:szCs w:val="20"/>
                <w:color w:val="auto"/>
              </w:rPr>
            </w:pPr>
            <w:r>
              <w:rPr>
                <w:rFonts w:ascii="Arial" w:cs="Arial" w:eastAsia="Arial" w:hAnsi="Arial"/>
                <w:sz w:val="14"/>
                <w:szCs w:val="14"/>
                <w:color w:val="auto"/>
              </w:rPr>
              <w:t>29,336,911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140" w:type="dxa"/>
            <w:vAlign w:val="bottom"/>
          </w:tcPr>
          <w:p>
            <w:pPr>
              <w:ind w:left="400"/>
              <w:spacing w:after="0" w:line="154" w:lineRule="exact"/>
              <w:rPr>
                <w:sz w:val="20"/>
                <w:szCs w:val="20"/>
                <w:color w:val="auto"/>
              </w:rPr>
            </w:pPr>
            <w:r>
              <w:rPr>
                <w:rFonts w:ascii="Arial" w:cs="Arial" w:eastAsia="Arial" w:hAnsi="Arial"/>
                <w:sz w:val="14"/>
                <w:szCs w:val="14"/>
                <w:color w:val="auto"/>
              </w:rPr>
              <w:t>offering costs</w:t>
            </w:r>
          </w:p>
        </w:tc>
        <w:tc>
          <w:tcPr>
            <w:tcW w:w="2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10,052,641</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12,147,146</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32,777,835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40" w:type="dxa"/>
            <w:vAlign w:val="bottom"/>
          </w:tcPr>
          <w:p>
            <w:pPr>
              <w:spacing w:after="0" w:line="136" w:lineRule="exact"/>
              <w:rPr>
                <w:sz w:val="20"/>
                <w:szCs w:val="20"/>
                <w:color w:val="auto"/>
              </w:rPr>
            </w:pPr>
            <w:r>
              <w:rPr>
                <w:rFonts w:ascii="Arial" w:cs="Arial" w:eastAsia="Arial" w:hAnsi="Arial"/>
                <w:sz w:val="14"/>
                <w:szCs w:val="14"/>
                <w:color w:val="auto"/>
              </w:rPr>
              <w:t>NET CHANGE IN CASH AND CASH EQUIVALENTS</w:t>
            </w:r>
          </w:p>
        </w:tc>
        <w:tc>
          <w:tcPr>
            <w:tcW w:w="200" w:type="dxa"/>
            <w:vAlign w:val="bottom"/>
          </w:tcPr>
          <w:p>
            <w:pPr>
              <w:spacing w:after="0"/>
              <w:rPr>
                <w:sz w:val="11"/>
                <w:szCs w:val="11"/>
                <w:color w:val="auto"/>
              </w:rPr>
            </w:pPr>
          </w:p>
        </w:tc>
        <w:tc>
          <w:tcPr>
            <w:tcW w:w="1640" w:type="dxa"/>
            <w:vAlign w:val="bottom"/>
          </w:tcPr>
          <w:p>
            <w:pPr>
              <w:jc w:val="right"/>
              <w:spacing w:after="0" w:line="136" w:lineRule="exact"/>
              <w:rPr>
                <w:sz w:val="20"/>
                <w:szCs w:val="20"/>
                <w:color w:val="auto"/>
              </w:rPr>
            </w:pPr>
            <w:r>
              <w:rPr>
                <w:rFonts w:ascii="Arial" w:cs="Arial" w:eastAsia="Arial" w:hAnsi="Arial"/>
                <w:sz w:val="14"/>
                <w:szCs w:val="14"/>
                <w:color w:val="auto"/>
              </w:rPr>
              <w:t>6,792,002</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jc w:val="right"/>
              <w:spacing w:after="0" w:line="136" w:lineRule="exact"/>
              <w:rPr>
                <w:sz w:val="20"/>
                <w:szCs w:val="20"/>
                <w:color w:val="auto"/>
              </w:rPr>
            </w:pPr>
            <w:r>
              <w:rPr>
                <w:rFonts w:ascii="Arial" w:cs="Arial" w:eastAsia="Arial" w:hAnsi="Arial"/>
                <w:sz w:val="14"/>
                <w:szCs w:val="14"/>
                <w:color w:val="auto"/>
              </w:rPr>
              <w:t>10,844,711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right"/>
              <w:spacing w:after="0" w:line="136" w:lineRule="exact"/>
              <w:rPr>
                <w:sz w:val="20"/>
                <w:szCs w:val="20"/>
                <w:color w:val="auto"/>
              </w:rPr>
            </w:pPr>
            <w:r>
              <w:rPr>
                <w:rFonts w:ascii="Arial" w:cs="Arial" w:eastAsia="Arial" w:hAnsi="Arial"/>
                <w:sz w:val="14"/>
                <w:szCs w:val="14"/>
                <w:color w:val="auto"/>
              </w:rPr>
              <w:t>16,827,617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10,035,615</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146,160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Borders>
              <w:top w:val="single" w:sz="8" w:color="CCEEFF"/>
              <w:bottom w:val="single" w:sz="8" w:color="CCEEFF"/>
            </w:tcBorders>
          </w:tcPr>
          <w:p>
            <w:pPr>
              <w:ind w:left="200"/>
              <w:spacing w:after="0" w:line="136" w:lineRule="exact"/>
              <w:rPr>
                <w:sz w:val="20"/>
                <w:szCs w:val="20"/>
                <w:color w:val="auto"/>
              </w:rPr>
            </w:pPr>
            <w:r>
              <w:rPr>
                <w:rFonts w:ascii="Arial" w:cs="Arial" w:eastAsia="Arial" w:hAnsi="Arial"/>
                <w:sz w:val="14"/>
                <w:szCs w:val="14"/>
                <w:color w:val="auto"/>
              </w:rPr>
              <w:t>CASH AND CASH EQUIVALENTS, end of period</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16,827,617</w:t>
            </w:r>
          </w:p>
        </w:tc>
        <w:tc>
          <w:tcPr>
            <w:tcW w:w="34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10,990,871</w:t>
            </w:r>
          </w:p>
        </w:tc>
        <w:tc>
          <w:tcPr>
            <w:tcW w:w="18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1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16,827,617</w:t>
            </w: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SUPPLEMENTAL DISCLOSURE OF CASH FLOW INFORMATION:</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income taxes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98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1,600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1,600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13,600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4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SUPPLEMENTAL DISCLOSURES OF NON-CASH INVESTING AND</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FINANCING ACTIVITIES:</w:t>
            </w: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40" w:type="dxa"/>
            <w:vAlign w:val="bottom"/>
          </w:tcPr>
          <w:p>
            <w:pPr>
              <w:ind w:left="200"/>
              <w:spacing w:after="0" w:line="130" w:lineRule="exact"/>
              <w:rPr>
                <w:sz w:val="20"/>
                <w:szCs w:val="20"/>
                <w:color w:val="auto"/>
              </w:rPr>
            </w:pPr>
            <w:r>
              <w:rPr>
                <w:rFonts w:ascii="Arial" w:cs="Arial" w:eastAsia="Arial" w:hAnsi="Arial"/>
                <w:sz w:val="14"/>
                <w:szCs w:val="14"/>
                <w:color w:val="auto"/>
                <w:w w:val="97"/>
              </w:rPr>
              <w:t>Issuance of and adjustment to common stock and warrants to consulting firms for</w:t>
            </w: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tcPr>
          <w:p>
            <w:pPr>
              <w:ind w:left="200"/>
              <w:spacing w:after="0"/>
              <w:rPr>
                <w:sz w:val="20"/>
                <w:szCs w:val="20"/>
                <w:color w:val="auto"/>
              </w:rPr>
            </w:pPr>
            <w:r>
              <w:rPr>
                <w:rFonts w:ascii="Arial" w:cs="Arial" w:eastAsia="Arial" w:hAnsi="Arial"/>
                <w:sz w:val="14"/>
                <w:szCs w:val="14"/>
                <w:color w:val="auto"/>
              </w:rPr>
              <w:t>prepaid consulting fees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980" w:type="dxa"/>
            <w:vAlign w:val="bottom"/>
            <w:gridSpan w:val="2"/>
          </w:tcPr>
          <w:p>
            <w:pPr>
              <w:jc w:val="right"/>
              <w:ind w:right="299"/>
              <w:spacing w:after="0"/>
              <w:rPr>
                <w:sz w:val="20"/>
                <w:szCs w:val="20"/>
                <w:color w:val="auto"/>
              </w:rPr>
            </w:pPr>
            <w:r>
              <w:rPr>
                <w:rFonts w:ascii="Arial" w:cs="Arial" w:eastAsia="Arial" w:hAnsi="Arial"/>
                <w:sz w:val="14"/>
                <w:szCs w:val="14"/>
                <w:color w:val="auto"/>
              </w:rPr>
              <w:t>319,786</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82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59"/>
              <w:spacing w:after="0"/>
              <w:rPr>
                <w:sz w:val="20"/>
                <w:szCs w:val="20"/>
                <w:color w:val="auto"/>
              </w:rPr>
            </w:pPr>
            <w:r>
              <w:rPr>
                <w:rFonts w:ascii="Arial" w:cs="Arial" w:eastAsia="Arial" w:hAnsi="Arial"/>
                <w:sz w:val="14"/>
                <w:szCs w:val="14"/>
                <w:color w:val="auto"/>
              </w:rPr>
              <w:t>751,793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4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Deferred offering costs in connection with equity offering recorded in accounts</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payable</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82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314,961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Conversion of related party accounts payable into common stock</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56,087</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56,087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 of notes payable and accrued interest into common stock</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1,905,137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3,435,314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Forgiveness of notes payable and accrued interest to shareholders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241,701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 of advances to notes payable to shareholders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196,300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Accretion of preferred stock discount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Related party acquisition of Phase 3 liabilities</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56,087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Conversion of preferred stock into common stock</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1,500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Reclassification of deferred offering costs in connection with equity offering</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98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596,281</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596,281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40" w:type="dxa"/>
            <w:vAlign w:val="bottom"/>
          </w:tcPr>
          <w:p>
            <w:pPr>
              <w:ind w:left="200"/>
              <w:spacing w:after="0" w:line="130" w:lineRule="exact"/>
              <w:rPr>
                <w:sz w:val="20"/>
                <w:szCs w:val="20"/>
                <w:color w:val="auto"/>
              </w:rPr>
            </w:pPr>
            <w:r>
              <w:rPr>
                <w:rFonts w:ascii="Arial" w:cs="Arial" w:eastAsia="Arial" w:hAnsi="Arial"/>
                <w:sz w:val="14"/>
                <w:szCs w:val="14"/>
                <w:color w:val="auto"/>
              </w:rPr>
              <w:t>Issuance of common stock for consulting services included in accounts payable</w:t>
            </w: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tcPr>
          <w:p>
            <w:pPr>
              <w:ind w:left="200"/>
              <w:spacing w:after="0"/>
              <w:rPr>
                <w:sz w:val="20"/>
                <w:szCs w:val="20"/>
                <w:color w:val="auto"/>
              </w:rPr>
            </w:pPr>
            <w:r>
              <w:rPr>
                <w:rFonts w:ascii="Arial" w:cs="Arial" w:eastAsia="Arial" w:hAnsi="Arial"/>
                <w:sz w:val="14"/>
                <w:szCs w:val="14"/>
                <w:color w:val="auto"/>
              </w:rPr>
              <w:t>and accrued expenses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980" w:type="dxa"/>
            <w:vAlign w:val="bottom"/>
            <w:gridSpan w:val="2"/>
          </w:tcPr>
          <w:p>
            <w:pPr>
              <w:jc w:val="right"/>
              <w:ind w:right="299"/>
              <w:spacing w:after="0"/>
              <w:rPr>
                <w:sz w:val="20"/>
                <w:szCs w:val="20"/>
                <w:color w:val="auto"/>
              </w:rPr>
            </w:pPr>
            <w:r>
              <w:rPr>
                <w:rFonts w:ascii="Arial" w:cs="Arial" w:eastAsia="Arial" w:hAnsi="Arial"/>
                <w:sz w:val="14"/>
                <w:szCs w:val="14"/>
                <w:color w:val="auto"/>
              </w:rPr>
              <w:t>139,444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82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59"/>
              <w:spacing w:after="0"/>
              <w:rPr>
                <w:sz w:val="20"/>
                <w:szCs w:val="20"/>
                <w:color w:val="auto"/>
              </w:rPr>
            </w:pPr>
            <w:r>
              <w:rPr>
                <w:rFonts w:ascii="Arial" w:cs="Arial" w:eastAsia="Arial" w:hAnsi="Arial"/>
                <w:sz w:val="14"/>
                <w:szCs w:val="14"/>
                <w:color w:val="auto"/>
              </w:rPr>
              <w:t>139,444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September 30, 2013 and 2012 and the period from July 24, 1998 (Inception) through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Imprimis Pharmaceuticals, Inc. (“Imprimis”, the “Company”, “we”, “us”, or “our”) is a pharmaceutical company focused on commercializing novel drug formulations invented by physicians and pharmacists through their clinical experience with patients, as well as proprietary vehicles to deliver drugs. The Company expects to develop and commercialize its proprietary drug formulations in specific therapeutic areas of interest primarily through licensing arrangements with select compounding pharmacies, physicians and other healthcare organizations. In addition, the Company may choose to utilize the regulatory pathway provided by Section 505(b)(2) of the Federal Food, Drug and Cosmetic Act, which generally allows a sponsor of a new drug to rely on the FDA’s earlier findings of safety and/or effectiveness, in connection with certain drug development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28, 2012, the Company changed its name from Transdel Pharmaceuticals, Inc. to Imprimis Pharmaceuticals, Inc. All prior references to Transdel Pharmaceuticals, Inc. have been changed to Imprimis Pharmaceuticals, Inc. to reflect the change. On February 28, 2012, the Company effected a one-for-eight reverse stock split and on February 7, 2013, the Company effected a one-for-five reverse stock split. All share and per share amounts and calculations in this report reflect the effects of these reverse stock splits.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nine months ended September 30, 2013 are not necessarily indicative of the results that may be expected for the year ending December 31, 2013. For further information, refer to the Company’s audited consolidated financial statements and footnotes thereto included in the Company’s Annual Report on Form 10-K for the year ended December 31, 2012.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on September 17, 2007, and for all reporting periods thereafter, Imprimis’ operating activities, including any prior comparative period, include only those of Transdel Holdings. All references to share and per share amounts in the accompanying condensed consolidated financial statements and footnotes have been restated to reflect the aforementioned share exchange. All significant intercompany accounts and transactions have been eliminated in consolidation.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20, 2011, Transdel Holdings was merged with Imprimis Pharmaceuticals, Inc., at which time Transdel Holdings ceased as a corporation, and Imprimis Pharmaceuticals, Inc. remains as the sole surviving 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Development Stage Enterprise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a development stage company as defined under Financial Accounting Standards Board (“FASB”) guidance. All losses accumulated since inception have been considered as part of the Company’s development stage activities.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These condensed consolidated financial statements contemplate the realization of assets and the satisfaction of liabilities in the normal course of business. The Company is a development stage enterprise and has incurred recurring operating losses, has had negative operating cash flows and has not recognized any significant revenues since July 24, 1998 (Inception). In addition, the Company has a deficit accumulated during the development stage of approximately $29.9 million at September 30, 2013, and anticipates incurring further losses through the remainder of the fiscal year 2013 and beyond. The Company has not yet generated significant sales revenue and has funded its operating losses to date through debt and equity offerings and borrowings under its line of credit. The Company believes that its existing cash and cash equivalents will be sufficient to cover its cash flow requirements for at least the next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all costs related to research and development as they are incurred. Research and development expenses consist of expenses incurred in performing research and development activities including salaries and benefits, and other overhead expenses, clinical trials, contract services and outsourced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we have identified an alternative future use. No costs associated with acquiring intellectual property rights have been capitalized to date. Costs of maintaining intellectual property rights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will recognize revenues when all of the following criteria have been met: (1) persuasive evidence of an arrangement exists; (2) delivery has occurred; (3) the selling price is fixed and determinable; and (4) collectability is reasonably assured. The Company believes it will not generate significant revenues until the Company is able to commercialize one or more of its product candidates. Also, effective sales and marketing support must be in place for either the drug preparations or any other products the Company may develop in order to generate any revenues. The Company estimates that it will not generate significant revenues at this time from sales of its products during the 2013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Determination of criteria (3) and (4) will be based on management’s judgments regarding the fixed nature of the selling prices of the products delivered and the collectability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licensed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7"/>
          <w:szCs w:val="17"/>
          <w:color w:val="auto"/>
        </w:rPr>
        <w:t>Non-refundable, up-front fees that are not contingent on any future performance by us, and require no consequential continuing involvement on our part, are recognized as revenue when the license term commences and the licensed data, technology and/or compound is delivered. Such deliverables may include physical quantities of compounds, design of the compounds and structure-activity relationships, the conceptual framework and mechanism of action, and rights to the patents or patents pending for such compounds. We defer recognition of non-refundable upfront fees if we have continuing performance obligations without which the technology, right, product or service conveyed in conjunction with the non-refundable fee has no utility to the licensee that is separate and independent of our performance under the other elements of the arrangement. In addition, if we have required continuing involvement through research and development services that are related to our proprietary know-how and expertise of the delivered technology, or can only be performed by us, then such up-front fees are deferred and recognized over the period of continuing involvement. Guaranteed minimum annual royalties are recognized on a straight-line basis over the applicable term.</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and nine months ended September 30, 2013, the Company recorded $2,500 and $7,500, respectively, in revenues, for non-refundable royalty advances. In January 2013, the Company entered into a license agreement with resolution MD, LLC granting resolution MD, LLC rights to its Accudel delivery technology to be used for anti-cellulite formulations. Under the license agreement, the Company will receive $10,000 as a guaranteed minimum royalty amount for fiscal 2013 and, if applicable, additional royalty payments based on a percent (generally, 5%-7%) of net sales of any products covered under the license agreement. The license agreement with resolution MD, LLC, unless terminated earlier, has a term of ten years following the first commercial sale of a product that is covered under the license agreement. The Company does not anticipate that the license agreement with resolution MD, LLC will generate significant revenues for the 2013 fiscal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income taxes under the provisions of Accounting Standards Codification (“ASC”) 740, “Income Taxes”, or ASC 740. As of September 30, 2013, there were no unrecognized tax benefits included in the condensed consolidated balance sheets that would, if recognized, affect the effective tax rate. The Company’s practice is to recognize interest and/or penalties related to income tax matters in income tax expense. The Company had no accrual for interest or penalties in its condensed consolidated balance sheets at September 30, 2013 and December 31, 2012, and has not recognized interest and/or penalties in the condensed consolidated statements of operations for the periods ended September 30, 2013 and 2012. The Company is subject to taxation in the United States and California. The Company’s tax years for 2000 and forward are subject to examination by the federal and state tax authorities due to the carry forward of unutilized net operating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to $250,000 per owner. At September 30, 2013, the Company had approximately $16.6 million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25, 2012, the Company filed with the Securities and Exchange Commission a registration statement on Form S-1 (as amended, the “Registration Statement”) in connection with an underwritten public offering of its common stock (the “Public Offering”). At December 31, 2012, the Company had deferred offering costs of $596,281 for legal, accounting and other expenses directly related to the Public Offering. The Public Offering closed on February 13, 2013 (see Note 4), and these deferred offering costs and any other costs directly associated with the Public Offering subsequent to December 31, 2012 were netted against the cash proceeds to the Company arising from the Public Offering. As a result, there were no deferred offering costs at September 30,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Furniture and equipment is stated at cost less accumulated depreciation. Depreciation is calculated using the straight-line method over the estimated useful lives of three to five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September 30, 2013 and December 31, 2012, the Company did not have any financial assets or liabilities which are measured on a recurring basis. At September 30, 2013 and December 31, 2012, the Company’s financial instruments include cash and cash equivalents, a restricted short-term investment, accounts payable and accrued expenses, accrued Phase 3 expenses and accrued payroll and related liabilities. The carrying amount of these financial instruments, except for the restricted short-term investment, approximates fair value due to the short-term maturities of these instruments. The Company’s restricted short-term investment is carried at amortized cost which approximates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stock-based payments to employees, including grants of stock options to employees, directors and consultants, warrants and restricted stock grants, are recognized in the condensed consolidated financial statements based upon their fair values.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stock-based consulting expenses in its condensed consolidated balance sheets (see Note 3.).</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the amortization of stock-based prepaid consulting fees) related to equity instruments granted to employees, directors and consultants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For The Three</w:t>
            </w:r>
          </w:p>
        </w:tc>
        <w:tc>
          <w:tcPr>
            <w:tcW w:w="12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For The Three</w:t>
            </w:r>
          </w:p>
        </w:tc>
        <w:tc>
          <w:tcPr>
            <w:tcW w:w="12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For the Nine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For the Nine</w:t>
            </w:r>
          </w:p>
        </w:tc>
      </w:t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4"/>
                <w:szCs w:val="14"/>
                <w:color w:val="auto"/>
                <w:w w:val="92"/>
              </w:rPr>
              <w:t>Months Ended</w:t>
            </w:r>
          </w:p>
        </w:tc>
        <w:tc>
          <w:tcPr>
            <w:tcW w:w="12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Months Ended</w:t>
            </w:r>
          </w:p>
        </w:tc>
        <w:tc>
          <w:tcPr>
            <w:tcW w:w="12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Months Ended</w:t>
            </w:r>
          </w:p>
        </w:tc>
      </w:tr>
      <w:tr>
        <w:trPr>
          <w:trHeight w:val="174"/>
        </w:trPr>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4"/>
                <w:szCs w:val="14"/>
                <w:color w:val="auto"/>
                <w:w w:val="91"/>
              </w:rPr>
              <w:t>September 30, 2013</w:t>
            </w:r>
          </w:p>
        </w:tc>
        <w:tc>
          <w:tcPr>
            <w:tcW w:w="12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September 30, 2012</w:t>
            </w:r>
          </w:p>
        </w:tc>
        <w:tc>
          <w:tcPr>
            <w:tcW w:w="12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September 30, 2013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September 30, 2012</w:t>
            </w:r>
          </w:p>
        </w:tc>
      </w:tr>
      <w:tr>
        <w:trPr>
          <w:trHeight w:val="149"/>
        </w:trPr>
        <w:tc>
          <w:tcPr>
            <w:tcW w:w="43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Employees - selling, general and administrative</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525,734</w:t>
            </w: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180,630</w:t>
            </w: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990,632</w:t>
            </w:r>
          </w:p>
        </w:tc>
        <w:tc>
          <w:tcPr>
            <w:tcW w:w="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298,854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Employees - research and development</w:t>
            </w:r>
          </w:p>
        </w:tc>
        <w:tc>
          <w:tcPr>
            <w:tcW w:w="120" w:type="dxa"/>
            <w:vAlign w:val="bottom"/>
          </w:tcPr>
          <w:p>
            <w:pPr>
              <w:spacing w:after="0"/>
              <w:rPr>
                <w:sz w:val="12"/>
                <w:szCs w:val="12"/>
                <w:color w:val="auto"/>
              </w:rPr>
            </w:pPr>
          </w:p>
        </w:tc>
        <w:tc>
          <w:tcPr>
            <w:tcW w:w="1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32,189</w:t>
            </w:r>
          </w:p>
        </w:tc>
        <w:tc>
          <w:tcPr>
            <w:tcW w:w="120" w:type="dxa"/>
            <w:vAlign w:val="bottom"/>
          </w:tcPr>
          <w:p>
            <w:pPr>
              <w:spacing w:after="0"/>
              <w:rPr>
                <w:sz w:val="12"/>
                <w:szCs w:val="12"/>
                <w:color w:val="auto"/>
              </w:rPr>
            </w:pPr>
          </w:p>
        </w:tc>
        <w:tc>
          <w:tcPr>
            <w:tcW w:w="1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61,299</w:t>
            </w: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143,939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143,711</w:t>
            </w:r>
          </w:p>
        </w:tc>
        <w:tc>
          <w:tcPr>
            <w:tcW w:w="80" w:type="dxa"/>
            <w:vAlign w:val="bottom"/>
          </w:tcPr>
          <w:p>
            <w:pPr>
              <w:spacing w:after="0"/>
              <w:rPr>
                <w:sz w:val="12"/>
                <w:szCs w:val="12"/>
                <w:color w:val="auto"/>
              </w:rPr>
            </w:pPr>
          </w:p>
        </w:tc>
      </w:tr>
      <w:tr>
        <w:trPr>
          <w:trHeight w:val="149"/>
        </w:trPr>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Directors - selling, general and administrative</w:t>
            </w: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84,031</w:t>
            </w: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331,264</w:t>
            </w: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332,281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898,679</w:t>
            </w:r>
          </w:p>
        </w:tc>
        <w:tc>
          <w:tcPr>
            <w:tcW w:w="80" w:type="dxa"/>
            <w:vAlign w:val="bottom"/>
            <w:shd w:val="clear" w:color="auto" w:fill="CCEEFF"/>
          </w:tcPr>
          <w:p>
            <w:pPr>
              <w:spacing w:after="0"/>
              <w:rPr>
                <w:sz w:val="12"/>
                <w:szCs w:val="12"/>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Consultants - selling, general and administrative</w:t>
            </w:r>
          </w:p>
        </w:tc>
        <w:tc>
          <w:tcPr>
            <w:tcW w:w="120" w:type="dxa"/>
            <w:vAlign w:val="bottom"/>
          </w:tcPr>
          <w:p>
            <w:pPr>
              <w:spacing w:after="0"/>
              <w:rPr>
                <w:sz w:val="12"/>
                <w:szCs w:val="12"/>
                <w:color w:val="auto"/>
              </w:rPr>
            </w:pPr>
          </w:p>
        </w:tc>
        <w:tc>
          <w:tcPr>
            <w:tcW w:w="1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160,088</w:t>
            </w:r>
          </w:p>
        </w:tc>
        <w:tc>
          <w:tcPr>
            <w:tcW w:w="120" w:type="dxa"/>
            <w:vAlign w:val="bottom"/>
          </w:tcPr>
          <w:p>
            <w:pPr>
              <w:spacing w:after="0"/>
              <w:rPr>
                <w:sz w:val="12"/>
                <w:szCs w:val="12"/>
                <w:color w:val="auto"/>
              </w:rPr>
            </w:pPr>
          </w:p>
        </w:tc>
        <w:tc>
          <w:tcPr>
            <w:tcW w:w="1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80,849</w:t>
            </w: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665,615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160,836</w:t>
            </w:r>
          </w:p>
        </w:tc>
        <w:tc>
          <w:tcPr>
            <w:tcW w:w="80" w:type="dxa"/>
            <w:vAlign w:val="bottom"/>
          </w:tcPr>
          <w:p>
            <w:pPr>
              <w:spacing w:after="0"/>
              <w:rPr>
                <w:sz w:val="12"/>
                <w:szCs w:val="12"/>
                <w:color w:val="auto"/>
              </w:rPr>
            </w:pPr>
          </w:p>
        </w:tc>
      </w:tr>
      <w:tr>
        <w:trPr>
          <w:trHeight w:val="182"/>
        </w:trPr>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Consultants - research and development</w:t>
            </w: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76,535</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194,494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r>
      <w:tr>
        <w:trPr>
          <w:trHeight w:val="149"/>
        </w:trPr>
        <w:tc>
          <w:tcPr>
            <w:tcW w:w="4360" w:type="dxa"/>
            <w:vAlign w:val="bottom"/>
            <w:tcBorders>
              <w:top w:val="single" w:sz="8" w:color="CCEEFF"/>
            </w:tcBorders>
          </w:tcPr>
          <w:p>
            <w:pPr>
              <w:ind w:left="3840"/>
              <w:spacing w:after="0" w:line="149"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878,577</w:t>
            </w:r>
          </w:p>
        </w:tc>
        <w:tc>
          <w:tcPr>
            <w:tcW w:w="34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654,042</w:t>
            </w:r>
          </w:p>
        </w:tc>
        <w:tc>
          <w:tcPr>
            <w:tcW w:w="34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2,326,961</w:t>
            </w:r>
          </w:p>
        </w:tc>
        <w:tc>
          <w:tcPr>
            <w:tcW w:w="320" w:type="dxa"/>
            <w:vAlign w:val="bottom"/>
            <w:tcBorders>
              <w:top w:val="single" w:sz="8" w:color="CCEEFF"/>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1,502,080</w:t>
            </w:r>
          </w:p>
        </w:tc>
        <w:tc>
          <w:tcPr>
            <w:tcW w:w="2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diluted net loss applicable to common stock per share is computed using the weighted average number of shares of common stock outstanding during the period. Common stock equivalents (using the treasury stock or, “if converted” method) from convertible notes, preferred stock, stock options, unvested restricted stock units (“RSUs”) and warrants were 3,451,964 and 1,669,078 at September 30, 2013 and 2012, respectively, and are excluded from the calculation of diluted net loss per share for all periods presented because the effect is anti-dilutive.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computation of basic and diluted loss per share of common stock for the three and nine months ended September 30, 2013 and 2012: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68"/>
              <w:spacing w:after="0"/>
              <w:rPr>
                <w:sz w:val="20"/>
                <w:szCs w:val="20"/>
                <w:color w:val="auto"/>
              </w:rPr>
            </w:pPr>
            <w:r>
              <w:rPr>
                <w:rFonts w:ascii="Arial" w:cs="Arial" w:eastAsia="Arial" w:hAnsi="Arial"/>
                <w:sz w:val="14"/>
                <w:szCs w:val="14"/>
                <w:color w:val="auto"/>
                <w:w w:val="93"/>
              </w:rPr>
              <w:t>For The Three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68"/>
              <w:spacing w:after="0"/>
              <w:rPr>
                <w:sz w:val="20"/>
                <w:szCs w:val="20"/>
                <w:color w:val="auto"/>
              </w:rPr>
            </w:pPr>
            <w:r>
              <w:rPr>
                <w:rFonts w:ascii="Arial" w:cs="Arial" w:eastAsia="Arial" w:hAnsi="Arial"/>
                <w:sz w:val="14"/>
                <w:szCs w:val="14"/>
                <w:color w:val="auto"/>
                <w:w w:val="93"/>
              </w:rPr>
              <w:t>For The Three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68"/>
              <w:spacing w:after="0"/>
              <w:rPr>
                <w:sz w:val="20"/>
                <w:szCs w:val="20"/>
                <w:color w:val="auto"/>
              </w:rPr>
            </w:pPr>
            <w:r>
              <w:rPr>
                <w:rFonts w:ascii="Arial" w:cs="Arial" w:eastAsia="Arial" w:hAnsi="Arial"/>
                <w:sz w:val="14"/>
                <w:szCs w:val="14"/>
                <w:color w:val="auto"/>
                <w:w w:val="96"/>
              </w:rPr>
              <w:t>For the Nine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19"/>
              <w:spacing w:after="0"/>
              <w:rPr>
                <w:sz w:val="20"/>
                <w:szCs w:val="20"/>
                <w:color w:val="auto"/>
              </w:rPr>
            </w:pPr>
            <w:r>
              <w:rPr>
                <w:rFonts w:ascii="Arial" w:cs="Arial" w:eastAsia="Arial" w:hAnsi="Arial"/>
                <w:sz w:val="14"/>
                <w:szCs w:val="14"/>
                <w:color w:val="auto"/>
                <w:w w:val="93"/>
              </w:rPr>
              <w:t>For the 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68"/>
              <w:spacing w:after="0" w:line="149" w:lineRule="exact"/>
              <w:rPr>
                <w:sz w:val="20"/>
                <w:szCs w:val="20"/>
                <w:color w:val="auto"/>
              </w:rPr>
            </w:pPr>
            <w:r>
              <w:rPr>
                <w:rFonts w:ascii="Arial" w:cs="Arial" w:eastAsia="Arial" w:hAnsi="Arial"/>
                <w:sz w:val="14"/>
                <w:szCs w:val="14"/>
                <w:color w:val="auto"/>
                <w:w w:val="92"/>
              </w:rPr>
              <w:t>Months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68"/>
              <w:spacing w:after="0" w:line="149" w:lineRule="exact"/>
              <w:rPr>
                <w:sz w:val="20"/>
                <w:szCs w:val="20"/>
                <w:color w:val="auto"/>
              </w:rPr>
            </w:pPr>
            <w:r>
              <w:rPr>
                <w:rFonts w:ascii="Arial" w:cs="Arial" w:eastAsia="Arial" w:hAnsi="Arial"/>
                <w:sz w:val="14"/>
                <w:szCs w:val="14"/>
                <w:color w:val="auto"/>
                <w:w w:val="92"/>
              </w:rPr>
              <w:t>Months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68"/>
              <w:spacing w:after="0" w:line="149" w:lineRule="exact"/>
              <w:rPr>
                <w:sz w:val="20"/>
                <w:szCs w:val="20"/>
                <w:color w:val="auto"/>
              </w:rPr>
            </w:pPr>
            <w:r>
              <w:rPr>
                <w:rFonts w:ascii="Arial" w:cs="Arial" w:eastAsia="Arial" w:hAnsi="Arial"/>
                <w:sz w:val="14"/>
                <w:szCs w:val="14"/>
                <w:color w:val="auto"/>
                <w:w w:val="95"/>
              </w:rPr>
              <w:t>Months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19"/>
              <w:spacing w:after="0" w:line="149" w:lineRule="exact"/>
              <w:rPr>
                <w:sz w:val="20"/>
                <w:szCs w:val="20"/>
                <w:color w:val="auto"/>
              </w:rPr>
            </w:pPr>
            <w:r>
              <w:rPr>
                <w:rFonts w:ascii="Arial" w:cs="Arial" w:eastAsia="Arial" w:hAnsi="Arial"/>
                <w:sz w:val="14"/>
                <w:szCs w:val="14"/>
                <w:color w:val="auto"/>
                <w:w w:val="92"/>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268"/>
              <w:spacing w:after="0"/>
              <w:rPr>
                <w:sz w:val="20"/>
                <w:szCs w:val="20"/>
                <w:color w:val="auto"/>
              </w:rPr>
            </w:pPr>
            <w:r>
              <w:rPr>
                <w:rFonts w:ascii="Arial" w:cs="Arial" w:eastAsia="Arial" w:hAnsi="Arial"/>
                <w:sz w:val="14"/>
                <w:szCs w:val="14"/>
                <w:color w:val="auto"/>
                <w:w w:val="91"/>
              </w:rPr>
              <w:t>September 30, 2013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268"/>
              <w:spacing w:after="0"/>
              <w:rPr>
                <w:sz w:val="20"/>
                <w:szCs w:val="20"/>
                <w:color w:val="auto"/>
              </w:rPr>
            </w:pPr>
            <w:r>
              <w:rPr>
                <w:rFonts w:ascii="Arial" w:cs="Arial" w:eastAsia="Arial" w:hAnsi="Arial"/>
                <w:sz w:val="14"/>
                <w:szCs w:val="14"/>
                <w:color w:val="auto"/>
                <w:w w:val="91"/>
              </w:rPr>
              <w:t>September 30, 2012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268"/>
              <w:spacing w:after="0"/>
              <w:rPr>
                <w:sz w:val="20"/>
                <w:szCs w:val="20"/>
                <w:color w:val="auto"/>
              </w:rPr>
            </w:pPr>
            <w:r>
              <w:rPr>
                <w:rFonts w:ascii="Arial" w:cs="Arial" w:eastAsia="Arial" w:hAnsi="Arial"/>
                <w:sz w:val="14"/>
                <w:szCs w:val="14"/>
                <w:color w:val="auto"/>
                <w:w w:val="89"/>
              </w:rPr>
              <w:t>September 30, 2013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19"/>
              <w:spacing w:after="0"/>
              <w:rPr>
                <w:sz w:val="20"/>
                <w:szCs w:val="20"/>
                <w:color w:val="auto"/>
              </w:rPr>
            </w:pPr>
            <w:r>
              <w:rPr>
                <w:rFonts w:ascii="Arial" w:cs="Arial" w:eastAsia="Arial" w:hAnsi="Arial"/>
                <w:sz w:val="14"/>
                <w:szCs w:val="14"/>
                <w:color w:val="auto"/>
                <w:w w:val="91"/>
              </w:rPr>
              <w:t>September 30, 2012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6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(2,077,464)</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(1,245,826)</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(5,760,997)</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(3,930,507)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Deemed dividend to preferred stockholders</w:t>
            </w:r>
          </w:p>
        </w:tc>
        <w:tc>
          <w:tcPr>
            <w:tcW w:w="140" w:type="dxa"/>
            <w:vAlign w:val="bottom"/>
          </w:tcPr>
          <w:p>
            <w:pPr>
              <w:spacing w:after="0"/>
              <w:rPr>
                <w:sz w:val="14"/>
                <w:szCs w:val="14"/>
                <w:color w:val="auto"/>
              </w:rPr>
            </w:pPr>
          </w:p>
        </w:tc>
        <w:tc>
          <w:tcPr>
            <w:tcW w:w="16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19"/>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 – net loss attributable to common stockholders</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(2,077,464</w:t>
            </w:r>
          </w:p>
        </w:tc>
        <w:tc>
          <w:tcPr>
            <w:tcW w:w="20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(1,245,826</w:t>
            </w:r>
          </w:p>
        </w:tc>
        <w:tc>
          <w:tcPr>
            <w:tcW w:w="20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(5,760,997</w:t>
            </w:r>
          </w:p>
        </w:tc>
        <w:tc>
          <w:tcPr>
            <w:tcW w:w="20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(4,130,507</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tcPr>
          <w:p>
            <w:pPr>
              <w:spacing w:after="0" w:line="123" w:lineRule="exact"/>
              <w:rPr>
                <w:sz w:val="20"/>
                <w:szCs w:val="20"/>
                <w:color w:val="auto"/>
              </w:rPr>
            </w:pPr>
            <w:r>
              <w:rPr>
                <w:rFonts w:ascii="Arial" w:cs="Arial" w:eastAsia="Arial" w:hAnsi="Arial"/>
                <w:sz w:val="14"/>
                <w:szCs w:val="14"/>
                <w:color w:val="auto"/>
              </w:rPr>
              <w:t>Denominator – weighted average number of shares</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3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8,961,678</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6,219,821</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8,551,159</w:t>
            </w: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gridSpan w:val="2"/>
            <w:vMerge w:val="restart"/>
          </w:tcPr>
          <w:p>
            <w:pPr>
              <w:jc w:val="right"/>
              <w:ind w:right="59"/>
              <w:spacing w:after="0"/>
              <w:rPr>
                <w:sz w:val="20"/>
                <w:szCs w:val="20"/>
                <w:color w:val="auto"/>
              </w:rPr>
            </w:pPr>
            <w:r>
              <w:rPr>
                <w:rFonts w:ascii="Arial" w:cs="Arial" w:eastAsia="Arial" w:hAnsi="Arial"/>
                <w:sz w:val="14"/>
                <w:szCs w:val="14"/>
                <w:color w:val="auto"/>
              </w:rPr>
              <w:t>3,728,513</w:t>
            </w:r>
          </w:p>
        </w:tc>
        <w:tc>
          <w:tcPr>
            <w:tcW w:w="0" w:type="dxa"/>
            <w:vAlign w:val="bottom"/>
          </w:tcPr>
          <w:p>
            <w:pPr>
              <w:spacing w:after="0"/>
              <w:rPr>
                <w:sz w:val="1"/>
                <w:szCs w:val="1"/>
                <w:color w:val="auto"/>
              </w:rPr>
            </w:pPr>
          </w:p>
        </w:tc>
      </w:tr>
      <w:tr>
        <w:trPr>
          <w:trHeight w:val="161"/>
        </w:trPr>
        <w:tc>
          <w:tcPr>
            <w:tcW w:w="3900" w:type="dxa"/>
            <w:vAlign w:val="bottom"/>
            <w:gridSpan w:val="2"/>
          </w:tcPr>
          <w:p>
            <w:pPr>
              <w:spacing w:after="0" w:line="154" w:lineRule="exact"/>
              <w:rPr>
                <w:sz w:val="20"/>
                <w:szCs w:val="20"/>
                <w:color w:val="auto"/>
              </w:rPr>
            </w:pPr>
            <w:r>
              <w:rPr>
                <w:rFonts w:ascii="Arial" w:cs="Arial" w:eastAsia="Arial" w:hAnsi="Arial"/>
                <w:sz w:val="14"/>
                <w:szCs w:val="14"/>
                <w:color w:val="auto"/>
              </w:rPr>
              <w:t>outstanding, basic and diluted</w:t>
            </w:r>
          </w:p>
        </w:tc>
        <w:tc>
          <w:tcPr>
            <w:tcW w:w="1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loss per share, basic and diluted</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20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20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(0.67</w:t>
            </w:r>
          </w:p>
        </w:tc>
        <w:tc>
          <w:tcPr>
            <w:tcW w:w="20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valuation of deferred taxes and stock-based compensation issued to employees and non-employees. Actual results could differ from those estimates.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prior period items and amounts have been reclassified to conform to the classifications used to prepare the 2013 condensed consolidated financial statements. These reclassifications had no material impact on the Company’s financial position, results of operations, or cash flows as previously reported.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the FASB issued Accounting Standards Update (“ASU”) No. 2013-11, “Presentation of an Unrecognized Tax Benefit When a Net Operating Loss Carryforward, a Similar Tax Loss, or a Tax Credit Carryforward Exists.” ASU 2013-11 provides explicit guidance on the financial statement presentation of an unrecognized tax benefit when a net operating loss carryforward, a similar tax loss, or a tax credit carryforward exists. The guidance is effective prospectively for fiscal years, and interim periods within those years, beginning after December 15, 2013, with an option for early adoption. The Company intends to adopt this guidance at the beginning of its first quarter of fiscal year 2014, and is currently evaluating the impact on its financial statements and disclosures.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Proposed Amendments to Current Accounting Standards. </w:t>
      </w:r>
      <w:r>
        <w:rPr>
          <w:rFonts w:ascii="Arial" w:cs="Arial" w:eastAsia="Arial" w:hAnsi="Arial"/>
          <w:sz w:val="18"/>
          <w:szCs w:val="18"/>
          <w:color w:val="auto"/>
        </w:rPr>
        <w:t>The FASB is currently working on amendments to existing accounting standards governing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areas including, but not limited to, revenue recognition and lease accounting.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2010, the FASB issued an exposure draft,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would supersede most of the existing guidance on revenue recognition in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In November 2011, the FASB re-exposed this draft and it expects a final standard to be issued in the first quarter of calendar 2014. As the standard-setting process is still ongoing, the Company is unable to determine the impact this proposed change in accounting will have in the Company’s consolidated financial statements at this time.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2010, the FASB issued an exposure draft,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would result in significant changes to the accounting requirements for both lessees and lessors in ASC Topic 840, </w:t>
      </w:r>
      <w:r>
        <w:rPr>
          <w:rFonts w:ascii="Arial" w:cs="Arial" w:eastAsia="Arial" w:hAnsi="Arial"/>
          <w:sz w:val="18"/>
          <w:szCs w:val="18"/>
          <w:i w:val="1"/>
          <w:iCs w:val="1"/>
          <w:color w:val="auto"/>
        </w:rPr>
        <w:t>Leases</w:t>
      </w:r>
      <w:r>
        <w:rPr>
          <w:rFonts w:ascii="Arial" w:cs="Arial" w:eastAsia="Arial" w:hAnsi="Arial"/>
          <w:sz w:val="18"/>
          <w:szCs w:val="18"/>
          <w:color w:val="auto"/>
        </w:rPr>
        <w:t>. In May 2013, the FASB re-exposed this draft and the comment period was closed in September 2013. As the standard-setting process is still ongoing, the Company is unable to determine the impact this proposed change in accounting will have in the Company’s condensed consolidated financial statements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2011, the FASB issued ASU 2011-11, “Disclosures about Offsetting Assets and Liabilities.” This pronouncement was issued to enhance disclosure requirements surrounding the nature of an entity’s right to offset and related arrangements associated with its financial instruments and derivative instruments. This new guidance requires companies to disclose both gross and net information about instruments and transactions eligible for offset in the statement of financial position and instruments and transactions subject to master netting arrangements. This pronouncement is effective for reporting periods beginning on or after January 1, 2013. The adoption of ASU 2011-11 did not have a material impact on our condensed consolidated financial statements.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the FASB issued ASU 2013-01, “Clarifying the Scope of Disclosures about Offsetting Assets and Liabilities.” This pronouncement was issued to address implementation issues about the scope of ASU 2011-11 and to clarify the scope of the offsetting disclosures and address any unintended consequences. This pronouncement is effective for reporting periods beginning on or after January 1, 2013. The adoption of ASU 2013-01 did not have a material impact on our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RESTRICTED SHORT-TERM INVESTMENT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restricted short-term investment at September 30, 2013 consists of a certificate of deposit, which is classified as held-to-maturity. At September 30, 2013, the fair value of this investment approximated its amortized cost.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2013, the certificate of deposit of $50,066 was classified as a current asset. The certificate of deposit is required as collateral under the Company’s corporate credit card agreement and automatically renews every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consisted of the following (see Note 1. regarding policy for prepaid stock-based consulting expenses):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2013</w:t>
            </w:r>
          </w:p>
        </w:tc>
        <w:tc>
          <w:tcPr>
            <w:tcW w:w="18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2012</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stock-based consulting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186,542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Prepaid Phase 3 expenses (1)</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195,064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63,180</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30,058</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prepaid expenses and deposits</w:t>
            </w:r>
          </w:p>
        </w:tc>
        <w:tc>
          <w:tcPr>
            <w:tcW w:w="180" w:type="dxa"/>
            <w:vAlign w:val="bottom"/>
          </w:tcPr>
          <w:p>
            <w:pPr>
              <w:spacing w:after="0"/>
              <w:rPr>
                <w:sz w:val="19"/>
                <w:szCs w:val="19"/>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61,276</w:t>
            </w: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31,494</w:t>
            </w:r>
          </w:p>
        </w:tc>
      </w:tr>
      <w:tr>
        <w:trPr>
          <w:trHeight w:val="21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prepaid expenses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82"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Subsequent to the period ended September 30, 2013, the Company discontinued its Phase 3 clinical trial for Impracor (see Note 7). Due to certain contractual guarantees related to these prepaid expenses, the Company expects to be reimbursed for these prepayments.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4. ACCOUNTS PAYABLE AND ACCRUED EXPENSES</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2012</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697,905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Accrued offering costs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185,337</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8"/>
                <w:szCs w:val="18"/>
                <w:color w:val="auto"/>
              </w:rPr>
            </w:pP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27,598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21,440</w:t>
            </w:r>
          </w:p>
        </w:tc>
        <w:tc>
          <w:tcPr>
            <w:tcW w:w="8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accrual</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139,444</w:t>
            </w:r>
          </w:p>
        </w:tc>
        <w:tc>
          <w:tcPr>
            <w:tcW w:w="80" w:type="dxa"/>
            <w:vAlign w:val="bottom"/>
            <w:shd w:val="clear" w:color="auto" w:fill="CCEEFF"/>
          </w:tcPr>
          <w:p>
            <w:pPr>
              <w:spacing w:after="0"/>
              <w:rPr>
                <w:sz w:val="20"/>
                <w:szCs w:val="20"/>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725,503</w:t>
            </w: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635,384</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20,000 shares of the Company’s restricted common stock underlying the stock-based compensation accrual at December 31, 2012. The stock-based compensation related to restricted common stock issuances and accruals was $(48,786) and $143,553 during the three and nine months ended September 30, 2013, respectively. During the three months ended September 30, 2013, the Company reversed $88,450 in expenses related to stock-based compensation accruals connected to the termination of a consulting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Public Offering, after the effectiveness of the Registration Statement on February 7, 2013, the Company effected a one-for-five reverse stock split of its common stock and on February 8, 2013, the Company’s common stock began trading on The NASDAQ Capital Market on a split-adjusted basis. All information included in this Quarterly Report has been adjusted to reflect the effect of the one-for-five reverse stock split.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2013, the Company issued 219 shares of common stock at a price of $4.00 per share. The shares of common stock were issued to net settle total common stock options to purchase 1,030 shares of common stock pursuant to a cashless exercise provision.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February and March 2013, the Company made payments totaling $191 in connection with cancelled, fractional share amounts of common stock (35 common stock share equivalents) in connection with the reverse stock split effected February 7, 2013.</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13, 2013, the Company closed the underwritten Public Offering of 1,840,000 shares of its common stock at a per share price to the public of $5.25, and received net proceeds of $8,140,435 after deducting underwriter fees and commissions and other offering expenses. The underwriters also exercised their option to purchase an additional 276,000 shares of common stock from the Company at $5.25 per share to cover over-allotments on March 14, 2013. Net cash proceeds from the exercise of the over-allotment option were $1,316,116. On February 7, 2013, the Company entered into an Underwriting Agreement (the “Underwriting Agreement”) with MDB Capital Group, LLC. As contemplated by the Underwriting Agreement, at the closing of the Public Offering and the over-allotment exercise, the underwriters received warrants (the “Underwriter Warrants”) to purchase an aggregate of 179,860 shares, or 8.5% of the number of shares sold in the offering (including 8.5% of shares sold pursuant to their over-allotment option). The Underwriter Warrants are exercisable at $5.25 per share (100% of the price of the common stock sold in the offering), commencing on the effective date of the offering and expiring five years from the effective date of the offering.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During June 2013, the Company issued 40,000 shares of common stock to Mark Baum, the Company’s CEO and a director, related to vesting of RSUs.</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2013, the Company issued 40,000 restricted shares of common stock to Dr. Robert Kammer, a director, valued at $282,997, in consideration for consulting services provided during the year ended December 31, 2012 and through September 30, 2013.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During September 2013, the Company issued 2,114 restricted shares of common stock to a consultant, valued at $10,750, in consideration for consulting services provided during the nine months ended September 30, 2013. The fair value of the shares of common stock issued was recorded as stock-based compensation during the nine months ended September 30,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2013,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 May 2, 2013 and September 27, 2013 (as amended, the “Plan”). As of September 30, 2013, the Plan provides for the issuance of a maximum of an aggregate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is administered by the Compensation Committee of the Company’s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Plan activity with respect to options to purchase common stock for the nine months ended September 30, 2013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Weighted Avg.</w:t>
            </w: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Number of shares</w:t>
            </w:r>
          </w:p>
        </w:tc>
        <w:tc>
          <w:tcPr>
            <w:tcW w:w="16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Exercise Price</w:t>
            </w: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Contractual Life</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2013</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905,806</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569,653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6.93</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(220,975)</w:t>
            </w:r>
          </w:p>
        </w:tc>
        <w:tc>
          <w:tcPr>
            <w:tcW w:w="160" w:type="dxa"/>
            <w:vAlign w:val="bottom"/>
          </w:tcPr>
          <w:p>
            <w:pPr>
              <w:spacing w:after="0"/>
              <w:rPr>
                <w:sz w:val="20"/>
                <w:szCs w:val="20"/>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8.72</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September 30, 2013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1,253,454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w:t>
            </w:r>
          </w:p>
        </w:tc>
        <w:tc>
          <w:tcPr>
            <w:tcW w:w="180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651,435</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4.39</w:t>
            </w:r>
          </w:p>
        </w:tc>
        <w:tc>
          <w:tcPr>
            <w:tcW w:w="18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4.43</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613,752</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817,906</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80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4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1,209,899</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5.34</w:t>
            </w:r>
          </w:p>
        </w:tc>
        <w:tc>
          <w:tcPr>
            <w:tcW w:w="1800" w:type="dxa"/>
            <w:vAlign w:val="bottom"/>
            <w:tcBorders>
              <w:bottom w:val="single" w:sz="8" w:color="CCEEFF"/>
            </w:tcBorders>
            <w:gridSpan w:val="2"/>
            <w:shd w:val="clear" w:color="auto" w:fill="CCEEFF"/>
          </w:tcPr>
          <w:p>
            <w:pPr>
              <w:jc w:val="right"/>
              <w:ind w:right="320"/>
              <w:spacing w:after="0" w:line="190" w:lineRule="exact"/>
              <w:rPr>
                <w:sz w:val="20"/>
                <w:szCs w:val="20"/>
                <w:color w:val="auto"/>
              </w:rPr>
            </w:pPr>
            <w:r>
              <w:rPr>
                <w:rFonts w:ascii="Arial" w:cs="Arial" w:eastAsia="Arial" w:hAnsi="Arial"/>
                <w:sz w:val="18"/>
                <w:szCs w:val="18"/>
                <w:color w:val="auto"/>
              </w:rPr>
              <w:t>5.68</w:t>
            </w:r>
          </w:p>
        </w:tc>
        <w:tc>
          <w:tcPr>
            <w:tcW w:w="1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647,667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30, 2013, based on the closing price of the Company’s common stock of $4.50 on that 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2013, the Company granted options to employees of the Company to acquire an aggregate of 120,000 shares of the Company’s common stock under the Plan, each with an exercise price of $6.00, the current market price of the Company’s common stock on the grant date. The options each have 10-year terms and vest quarterly over three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2013, the Company granted options to an employee of the Company to acquire 51,675 shares of the Company’s common stock under the Plan. The options have an exercise price of $9.00, the current market price of the Company’s common stock on the grant date, a 10-year term and vest over a three year period, such that 33% of the options vest on the first anniversary of the grant date and the remaining 67% of the options vest quarterly in equal installments thereafter over two years.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2013, the Company granted options to Mark Baum, its CEO, to acquire 180,000 shares of the Company’s common stock under the Plan, in accordance with the terms of the Company’s amended and restated employment agreement with Mr. Baum. The options have an exercise price of $8.99, the current market price of the Company’s common stock on the grant date, a 10-year term and vest quarterly over three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In July 2013, the Company granted options to an employee of the Company to acquire 25,000 shares of the Company’s common stock under the Plan. The options have an exercise price of $7.02, the current market price of the Company’s common stock on the grant date, a 10-year term and vest over a 30 month period, such that 6,250 shares vest on the first anniversary of the grant date and the remaining 75% of the options vest in three equal semi-annual installments thereafter.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Nine months ended</w:t>
            </w:r>
          </w:p>
        </w:tc>
      </w:tr>
      <w:tr>
        <w:trPr>
          <w:trHeight w:val="241"/>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September 30, 2013</w:t>
            </w:r>
          </w:p>
        </w:tc>
      </w:tr>
      <w:tr>
        <w:trPr>
          <w:trHeight w:val="216"/>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4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104%-123%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0.86 %-1.69%</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April 1, 2012, the Company entered into an advisory agreement with director Dr. Robert J. Kammer (the “Advisory Agreement”) pursuant to which Dr. Kammer provided certain services to the Company in addition to his services as a director, including, but not limited to, providing management and advice regarding the operations of the Company’s clinical trials and assistance in the identification of new drug delivery technologies. As part of Dr. Kammer’s compensation under the Advisory Agreement, the Company granted to Dr. Kammer on April 1, 2012 an option to purchase up to 60,000 shares of the Company’s common stock at an exercise price of $4.50 per share under the Plan. The option terminates on March 31, 2017 and vests over a two year period, with 15,000 options vesting immediately upon issuance and an additional 1,875 options vesting monthly for the next twenty four months thereafter. In accordance with accounting guidance for stock-based compensation to consultants, the unvested portion of the option was remeasured on an interim basis until the termination of the Advisory Agreement. On September 30, 2013, the Advisory Agreement was terminated, and the remaining unvested options (totaling 13,125) were cancelled.</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13, 2013, the Company entered into a statement of work agreement with a clinical development consultant (the “SOW Agreement”). In partial consideration for the services provided under the SOW Agreement, the Company issued an option to purchase up to 11,428 shares of the Company’s common stock at an exercise price of $8.75 per share. The option will terminate on January 13, 2017 and vests over an eighteen month period, with approximately 635 options vesting monthly for eighteen months beginning in February 2013. The remeasured fair value of the unvested portion of the stock option as of September 30, 2013, based on the Black-Scholes-Merton option pricing model, was $10,974.</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2013, the Company granted an option to purchase 25,000 shares of the Company’s common stock to a consultant with an exercise price of $8.90 which was equal to the current market price of the Company’s common stock on the grant date. The options have a 3-year term and vested in full in August 2013, following completion of certain services.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2013, Dr. Balbir Brar resigned as President, but concurrent with his resignation entered into a senior advisory consultant agreement and modification to his option agreement that allowed for his options related to his service to the Company as President to continue vesting as long as he continued service to the Company as a consultant. The unvested portion of the options prior to his resignation (totaling 131,250) were treated as cancelled as of the date of the modification and subsequently re-issued. On September 26, 2013, the Company and Dr. Brar mutually agreed to terminate his consulting agreement, and upon termination, the Company accelerated vesting of 50,000 options and cancelled the remaining 50,000 unvested options.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2013, the Company granted an option to purchase 10,000 shares of the Company’s common stock to a consultant in consideration for the performance of certain services. The options have an exercise price of $7.69 per share, equal to the closing price of the Company’s common stock on the grant date. The options have a four year term and vest in full in July 2014. As of September 30, 2013, the remeasured fair value of the stock option, based on the Black-Scholes-Merton option pricing model, was $21,366. The amount of unamortized stock-based compensation that has not been expensed related to the unvested option grant is $17,109.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7"/>
          <w:szCs w:val="17"/>
          <w:color w:val="auto"/>
        </w:rPr>
        <w:t>In July 2013, the Company granted an option to purchase 5,000 shares of the Company’s common stock to a consultant in consideration for the performance of certain services. The options have an exercise price of $8.06 per share, which was equal to the closing price of the Company’s common stock on the grant date. The options have a three year term and vested in equal monthly installments over the next three months.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September 2013, the Company granted an option to purchase 10,300 shares of the Company’s common stock to a consultant in consideration for the performance of certain services. The options have an exercise price of $4.50 per share, which was equal to the closing price of the Company’s common stock on the grant date, a five year term and vest over one year on a quarterly basis. As of September 30, 2013, the remeasured fair value of the stock option, based on the Black-Scholes-Merton option pricing model, and the unamortized stock-based compensation that has not been expensed related to the grant is $34,882.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2013, there was approximately $1,742,000 of total unrecognized compensation expense related to unvested stock options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is expected to be recognized over the weighted-average remaining vesting period of 2.09 years.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each option award is estimated on the date of grant using the Black-Scholes-Merton option pricing model. Prior to April 1, 2013, expected volatilities were based on historical volatility of the Company’s common stock and other factors. Following April 1, 2013, the expected volatility is based on the historical volatilities of the common stock of comparable publicly traded companies based on the Company’s belief the it has significantly changed its business operations and focus, and as a result,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affecting the determination of stock-based compensation expense in future periods. Utilizing these assumptions, the fair value is determined at the date of grant.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consultants: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Nine months ended</w:t>
            </w:r>
          </w:p>
        </w:tc>
      </w:tr>
      <w:tr>
        <w:trPr>
          <w:trHeight w:val="241"/>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September 30, 2013</w:t>
            </w:r>
          </w:p>
        </w:tc>
      </w:tr>
      <w:tr>
        <w:trPr>
          <w:trHeight w:val="216"/>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4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2.33-5</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 - 372%</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0.30%-1.39%</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information about stock options outstanding and exercisable at September 30,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w w:val="93"/>
              </w:rPr>
              <w:t>Options Outstanding</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gridSpan w:val="6"/>
          </w:tcPr>
          <w:p>
            <w:pPr>
              <w:ind w:left="102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202"/>
        </w:trPr>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center"/>
              <w:ind w:left="30"/>
              <w:spacing w:after="0" w:line="201" w:lineRule="exact"/>
              <w:rPr>
                <w:sz w:val="20"/>
                <w:szCs w:val="20"/>
                <w:color w:val="auto"/>
              </w:rPr>
            </w:pPr>
            <w:r>
              <w:rPr>
                <w:rFonts w:ascii="Arial" w:cs="Arial" w:eastAsia="Arial" w:hAnsi="Arial"/>
                <w:sz w:val="18"/>
                <w:szCs w:val="18"/>
                <w:color w:val="auto"/>
                <w:w w:val="92"/>
              </w:rPr>
              <w:t>Weighted</w:t>
            </w:r>
          </w:p>
        </w:tc>
        <w:tc>
          <w:tcPr>
            <w:tcW w:w="3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86"/>
              </w:rPr>
              <w:t>Average</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Weighted</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0"/>
              </w:rPr>
              <w:t>Remaining</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Average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Range of</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19"/>
                <w:szCs w:val="19"/>
                <w:color w:val="auto"/>
              </w:rPr>
            </w:pP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91"/>
              </w:rPr>
              <w:t>Contractual</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Exercise</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1960" w:type="dxa"/>
            <w:vAlign w:val="bottom"/>
            <w:gridSpan w:val="2"/>
          </w:tcPr>
          <w:p>
            <w:pPr>
              <w:ind w:left="320"/>
              <w:spacing w:after="0"/>
              <w:rPr>
                <w:sz w:val="20"/>
                <w:szCs w:val="20"/>
                <w:color w:val="auto"/>
              </w:rPr>
            </w:pPr>
            <w:r>
              <w:rPr>
                <w:rFonts w:ascii="Arial" w:cs="Arial" w:eastAsia="Arial" w:hAnsi="Arial"/>
                <w:sz w:val="18"/>
                <w:szCs w:val="18"/>
                <w:color w:val="auto"/>
              </w:rPr>
              <w:t>Exercise Prices</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20"/>
                <w:szCs w:val="20"/>
                <w:color w:val="auto"/>
              </w:rPr>
            </w:pP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3"/>
              </w:rPr>
              <w:t>Life in Years</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Price</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Exercisable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1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$2.40-3.20</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6"/>
              </w:rPr>
              <w:t>250,000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20"/>
              <w:spacing w:after="0"/>
              <w:rPr>
                <w:sz w:val="20"/>
                <w:szCs w:val="20"/>
                <w:color w:val="auto"/>
              </w:rPr>
            </w:pPr>
            <w:r>
              <w:rPr>
                <w:rFonts w:ascii="Arial" w:cs="Arial" w:eastAsia="Arial" w:hAnsi="Arial"/>
                <w:sz w:val="18"/>
                <w:szCs w:val="18"/>
                <w:color w:val="auto"/>
              </w:rPr>
              <w:t>$3.60 - $4.50</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565,568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4.10</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495,362</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$6.00 - $9.00</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423,103</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8.01</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59,662</w:t>
            </w:r>
          </w:p>
        </w:tc>
        <w:tc>
          <w:tcPr>
            <w:tcW w:w="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1620" w:type="dxa"/>
            <w:vAlign w:val="bottom"/>
          </w:tcPr>
          <w:p>
            <w:pPr>
              <w:ind w:left="20"/>
              <w:spacing w:after="0"/>
              <w:rPr>
                <w:sz w:val="20"/>
                <w:szCs w:val="20"/>
                <w:color w:val="auto"/>
              </w:rPr>
            </w:pPr>
            <w:r>
              <w:rPr>
                <w:rFonts w:ascii="Arial" w:cs="Arial" w:eastAsia="Arial" w:hAnsi="Arial"/>
                <w:sz w:val="18"/>
                <w:szCs w:val="18"/>
                <w:color w:val="auto"/>
              </w:rPr>
              <w:t>$10.75</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7,603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10.75</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5,702</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50"/>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$28.00 - $80.00</w:t>
            </w:r>
          </w:p>
        </w:tc>
        <w:tc>
          <w:tcPr>
            <w:tcW w:w="3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40.18</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7,180</w:t>
            </w:r>
          </w:p>
        </w:tc>
        <w:tc>
          <w:tcPr>
            <w:tcW w:w="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17"/>
        </w:trPr>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1,253,454</w:t>
            </w:r>
          </w:p>
        </w:tc>
        <w:tc>
          <w:tcPr>
            <w:tcW w:w="19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5.77</w:t>
            </w:r>
          </w:p>
        </w:tc>
        <w:tc>
          <w:tcPr>
            <w:tcW w:w="640" w:type="dxa"/>
            <w:vAlign w:val="bottom"/>
            <w:tcBorders>
              <w:top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5.41</w:t>
            </w:r>
          </w:p>
        </w:tc>
        <w:tc>
          <w:tcPr>
            <w:tcW w:w="15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6"/>
              </w:rPr>
              <w:t>817,906</w:t>
            </w: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w w:val="86"/>
              </w:rPr>
              <w:t>F-13</w:t>
            </w: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vMerge w:val="continue"/>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stock-based compensation for all stock options was $577,553 and $1,378,949 during the three and nine months ended September 30, 2013,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Restricted stock unit, or RSU, awards are granted subject to certain vesting requirements and other restrictions, including performance and market based vesting criteria. The grant-date fair value of the RSUs, which has been determined based upon the market value of the Company’s shares on the grant date, is expensed over the vesting period. Unvested portions of RSUs issued to consultants are remeasured on an interim basis until vesting criteria is met. On May 2, 2013, the Board of Directors of the Company amended and restated the Plan to provide for the issuance of RSUs under the Plan.</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 2013, the Company entered into an amended and restated employment agreement with its CEO, Mark Baum. Among other things, the amended and restated employment agreement provides for the issuance of 1,250,000 RSUs to Mr. Baum, pursuant to the Plan. Of these RSUs, 200,000 vest on the third anniversary of the RSU grant based on continued service to the Company and the remaining 1,050,000 RSUs will vest based on the satisfaction of certain market-based and continued service conditions (the “Baum Performance Equity Award”). The Baum Performance Equity Award vests three years from the date of grant contingent upon the satisfaction of certain market-based vesting criteria during the three year period. The market-based vesting criteria are separated into five equal tranches and require that the Company achieve and maintain certain stock price targets ranging from $10 per share to $30 per share during the three year period following the grant date. With certain limited exceptions, Mr. Baum must be employed with the Company on the third anniversary of the grant date in order for the Baum Performance Equity Award to vest. These market-based vesting conditions are further described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80" w:type="dxa"/>
            <w:vAlign w:val="bottom"/>
          </w:tcPr>
          <w:p>
            <w:pPr>
              <w:ind w:left="740"/>
              <w:spacing w:after="0"/>
              <w:rPr>
                <w:sz w:val="20"/>
                <w:szCs w:val="20"/>
                <w:color w:val="auto"/>
              </w:rPr>
            </w:pPr>
            <w:r>
              <w:rPr>
                <w:rFonts w:ascii="Arial" w:cs="Arial" w:eastAsia="Arial" w:hAnsi="Arial"/>
                <w:sz w:val="18"/>
                <w:szCs w:val="18"/>
                <w:color w:val="auto"/>
              </w:rPr>
              <w:t>Tranche</w:t>
            </w:r>
          </w:p>
        </w:tc>
        <w:tc>
          <w:tcPr>
            <w:tcW w:w="220" w:type="dxa"/>
            <w:vAlign w:val="bottom"/>
          </w:tcPr>
          <w:p>
            <w:pPr>
              <w:spacing w:after="0"/>
              <w:rPr>
                <w:sz w:val="20"/>
                <w:szCs w:val="20"/>
                <w:color w:val="auto"/>
              </w:rPr>
            </w:pPr>
          </w:p>
        </w:tc>
        <w:tc>
          <w:tcPr>
            <w:tcW w:w="5520" w:type="dxa"/>
            <w:vAlign w:val="bottom"/>
          </w:tcPr>
          <w:p>
            <w:pPr>
              <w:jc w:val="right"/>
              <w:ind w:right="2010"/>
              <w:spacing w:after="0"/>
              <w:rPr>
                <w:sz w:val="20"/>
                <w:szCs w:val="20"/>
                <w:color w:val="auto"/>
              </w:rPr>
            </w:pPr>
            <w:r>
              <w:rPr>
                <w:rFonts w:ascii="Arial" w:cs="Arial" w:eastAsia="Arial" w:hAnsi="Arial"/>
                <w:sz w:val="18"/>
                <w:szCs w:val="18"/>
                <w:color w:val="auto"/>
              </w:rPr>
              <w:t>Number of Shares</w:t>
            </w:r>
          </w:p>
        </w:tc>
        <w:tc>
          <w:tcPr>
            <w:tcW w:w="300" w:type="dxa"/>
            <w:vAlign w:val="bottom"/>
          </w:tcPr>
          <w:p>
            <w:pPr>
              <w:spacing w:after="0"/>
              <w:rPr>
                <w:sz w:val="20"/>
                <w:szCs w:val="20"/>
                <w:color w:val="auto"/>
              </w:rPr>
            </w:pPr>
          </w:p>
        </w:tc>
        <w:tc>
          <w:tcPr>
            <w:tcW w:w="2160" w:type="dxa"/>
            <w:vAlign w:val="bottom"/>
            <w:gridSpan w:val="2"/>
          </w:tcPr>
          <w:p>
            <w:pPr>
              <w:ind w:left="360"/>
              <w:spacing w:after="0"/>
              <w:rPr>
                <w:sz w:val="20"/>
                <w:szCs w:val="20"/>
                <w:color w:val="auto"/>
              </w:rPr>
            </w:pPr>
            <w:r>
              <w:rPr>
                <w:rFonts w:ascii="Arial" w:cs="Arial" w:eastAsia="Arial" w:hAnsi="Arial"/>
                <w:sz w:val="18"/>
                <w:szCs w:val="18"/>
                <w:color w:val="auto"/>
              </w:rPr>
              <w:t>Target Share Price</w:t>
            </w:r>
          </w:p>
        </w:tc>
      </w:tr>
      <w:tr>
        <w:trPr>
          <w:trHeight w:val="216"/>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20" w:type="dxa"/>
            <w:vAlign w:val="bottom"/>
            <w:tcBorders>
              <w:top w:val="single" w:sz="8" w:color="CCEEFF"/>
            </w:tcBorders>
            <w:shd w:val="clear" w:color="auto" w:fill="CCEEFF"/>
          </w:tcPr>
          <w:p>
            <w:pPr>
              <w:spacing w:after="0"/>
              <w:rPr>
                <w:sz w:val="18"/>
                <w:szCs w:val="18"/>
                <w:color w:val="auto"/>
              </w:rPr>
            </w:pPr>
          </w:p>
        </w:tc>
        <w:tc>
          <w:tcPr>
            <w:tcW w:w="5520" w:type="dxa"/>
            <w:vAlign w:val="bottom"/>
            <w:tcBorders>
              <w:top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0"/>
              </w:rPr>
              <w:t>19.05% of the Baum Performance Equity Award granted</w:t>
            </w:r>
          </w:p>
        </w:tc>
        <w:tc>
          <w:tcPr>
            <w:tcW w:w="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7"/>
              </w:rPr>
              <w:t>10.00 or greater</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Tranche 2</w:t>
            </w:r>
          </w:p>
        </w:tc>
        <w:tc>
          <w:tcPr>
            <w:tcW w:w="5740" w:type="dxa"/>
            <w:vAlign w:val="bottom"/>
            <w:gridSpan w:val="2"/>
          </w:tcPr>
          <w:p>
            <w:pPr>
              <w:jc w:val="right"/>
              <w:ind w:right="1350"/>
              <w:spacing w:after="0"/>
              <w:rPr>
                <w:sz w:val="20"/>
                <w:szCs w:val="20"/>
                <w:color w:val="auto"/>
              </w:rPr>
            </w:pPr>
            <w:r>
              <w:rPr>
                <w:rFonts w:ascii="Arial" w:cs="Arial" w:eastAsia="Arial" w:hAnsi="Arial"/>
                <w:sz w:val="18"/>
                <w:szCs w:val="18"/>
                <w:color w:val="auto"/>
                <w:w w:val="95"/>
              </w:rPr>
              <w:t>19.05% of the Baum Performance Equity Award granted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920"/>
              <w:spacing w:after="0"/>
              <w:rPr>
                <w:sz w:val="20"/>
                <w:szCs w:val="20"/>
                <w:color w:val="auto"/>
              </w:rPr>
            </w:pPr>
            <w:r>
              <w:rPr>
                <w:rFonts w:ascii="Arial" w:cs="Arial" w:eastAsia="Arial" w:hAnsi="Arial"/>
                <w:sz w:val="18"/>
                <w:szCs w:val="18"/>
                <w:color w:val="auto"/>
                <w:w w:val="95"/>
              </w:rPr>
              <w:t>15.00 or greater</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5740" w:type="dxa"/>
            <w:vAlign w:val="bottom"/>
            <w:gridSpan w:val="2"/>
            <w:shd w:val="clear" w:color="auto" w:fill="CCEEFF"/>
          </w:tcPr>
          <w:p>
            <w:pPr>
              <w:jc w:val="right"/>
              <w:ind w:right="1350"/>
              <w:spacing w:after="0"/>
              <w:rPr>
                <w:sz w:val="20"/>
                <w:szCs w:val="20"/>
                <w:color w:val="auto"/>
              </w:rPr>
            </w:pPr>
            <w:r>
              <w:rPr>
                <w:rFonts w:ascii="Arial" w:cs="Arial" w:eastAsia="Arial" w:hAnsi="Arial"/>
                <w:sz w:val="18"/>
                <w:szCs w:val="18"/>
                <w:color w:val="auto"/>
                <w:w w:val="95"/>
              </w:rPr>
              <w:t>19.05% of the Baum Performance Equity Award granted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5"/>
              </w:rPr>
              <w:t>20.00 or greater</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Tranche 4</w:t>
            </w:r>
          </w:p>
        </w:tc>
        <w:tc>
          <w:tcPr>
            <w:tcW w:w="5740" w:type="dxa"/>
            <w:vAlign w:val="bottom"/>
            <w:gridSpan w:val="2"/>
          </w:tcPr>
          <w:p>
            <w:pPr>
              <w:jc w:val="right"/>
              <w:ind w:right="1350"/>
              <w:spacing w:after="0"/>
              <w:rPr>
                <w:sz w:val="20"/>
                <w:szCs w:val="20"/>
                <w:color w:val="auto"/>
              </w:rPr>
            </w:pPr>
            <w:r>
              <w:rPr>
                <w:rFonts w:ascii="Arial" w:cs="Arial" w:eastAsia="Arial" w:hAnsi="Arial"/>
                <w:sz w:val="18"/>
                <w:szCs w:val="18"/>
                <w:color w:val="auto"/>
                <w:w w:val="95"/>
              </w:rPr>
              <w:t>19.05% of the Baum Performance Equity Award granted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920"/>
              <w:spacing w:after="0"/>
              <w:rPr>
                <w:sz w:val="20"/>
                <w:szCs w:val="20"/>
                <w:color w:val="auto"/>
              </w:rPr>
            </w:pPr>
            <w:r>
              <w:rPr>
                <w:rFonts w:ascii="Arial" w:cs="Arial" w:eastAsia="Arial" w:hAnsi="Arial"/>
                <w:sz w:val="18"/>
                <w:szCs w:val="18"/>
                <w:color w:val="auto"/>
                <w:w w:val="95"/>
              </w:rPr>
              <w:t>25.00 or greater</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5740" w:type="dxa"/>
            <w:vAlign w:val="bottom"/>
            <w:gridSpan w:val="2"/>
            <w:shd w:val="clear" w:color="auto" w:fill="CCEEFF"/>
          </w:tcPr>
          <w:p>
            <w:pPr>
              <w:jc w:val="right"/>
              <w:ind w:right="1350"/>
              <w:spacing w:after="0"/>
              <w:rPr>
                <w:sz w:val="20"/>
                <w:szCs w:val="20"/>
                <w:color w:val="auto"/>
              </w:rPr>
            </w:pPr>
            <w:r>
              <w:rPr>
                <w:rFonts w:ascii="Arial" w:cs="Arial" w:eastAsia="Arial" w:hAnsi="Arial"/>
                <w:sz w:val="18"/>
                <w:szCs w:val="18"/>
                <w:color w:val="auto"/>
                <w:w w:val="95"/>
              </w:rPr>
              <w:t>23.80% of the Baum Performance Equity Award granted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5"/>
              </w:rPr>
              <w:t>30.00 or greater</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continuous service with the Company through the third anniversary of the grant date. Any unvested RSUs under the Baum Performance Equity Award will be forfeited on the third anniversary of the grant date.</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terms of the employment agreement with Mr. Baum, the earning and issuance of any shares under the Baum Performance Equity Award that would exceed the number of shares available for grant and/or the applicable annual per person grant limit for performance-based restricted stock units under the Plan are subject to approval by the Board of Directors and the Company’s stockholders of an increase in the number of shares available for grant and the applicable annual per person grant limit for performance-based restricted stock units under the Plan. At the time of grant in May 2013, the per person grant limit under the Plan for grants of performance-based restricted stock units was 600,000 shares. The Board approved an amendment to the Plan to increase to the number of shares available for grant from 2,400,000 to 5,000,000 shares and the applicable annual per person grant limit from 600,000 to 1,250,000 shares on May 2, 2013. The amendment to the Plan was required to be approved by the Company’s stockholders. On September 27, 2013, a majority of the Company’s stockholders approved the Plan amendment and the remaining 450,000 RSUs were granted on that date pursuant to the Baum Performance Equity Award.</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Concurrent with the issuance of the 450,000 RSUs, Mr. Baum agreed to cancel 120,000 unvested RSUs previously granted to Mr. Baum in July 2012. As a result, the Company has treated the issuance as a modification of the RSU grant made to Mr. Baum in July 2012. The total compensation cost to be recognized by the Company is equal to the original grant date fair value of the canceled RSUs plus any incremental cost calculated as the excess of the fair value of the 450,000 RSUs over the fair value of the canceled 120,000 RSUs on the modification date, which is September 27, 2013. The initial fair value of the 450,000 RSUs pursuant to the Baum Performance Equity Award granted to Mr. Baum was $189,000, no incremental cost was associated with the exchange of RSUs, and as of September 30, 2013, the amount of unamortized stock based compensation that has not been expensed related to these unvested RSUs grants is $173,167. The 450,000 RSUs pursuant to the Baum Performance Equity Award were valued using a Monte Carlo Simulation with a three year life, 75% volatility and a risk free interest rate of 0.64%.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The initial fair value of the 200,000 RSUs and 600,000 RSUs pursuant to the Baum Performance Equity Award granted to Mr. Baum was $3,515,090 and as of September 30, 2013, the amount of unamortized stock based compensation that has not been expensed related to the unvested RSUs grants is $3,051,855. The 600,000 RSUs pursuant to the Baum Performance Equity Award were valued using a Monte Carlo Simulation with a three year life, 75% volatility and a risk free interest rate of 0.30%.</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24, 2013, the Company granted 100,000 RSUs to a consultant that will vest based on the satisfaction of certain market-based conditions subject to the consultant’s continued service, among other things. These market-based vesting conditions are further described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gridSpan w:val="2"/>
          </w:tcPr>
          <w:p>
            <w:pPr>
              <w:ind w:left="1260"/>
              <w:spacing w:after="0"/>
              <w:rPr>
                <w:sz w:val="20"/>
                <w:szCs w:val="20"/>
                <w:color w:val="auto"/>
              </w:rPr>
            </w:pPr>
            <w:r>
              <w:rPr>
                <w:rFonts w:ascii="Arial" w:cs="Arial" w:eastAsia="Arial" w:hAnsi="Arial"/>
                <w:sz w:val="18"/>
                <w:szCs w:val="18"/>
                <w:color w:val="auto"/>
              </w:rPr>
              <w:t>Tranche</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Number of Shares</w:t>
            </w:r>
          </w:p>
        </w:tc>
        <w:tc>
          <w:tcPr>
            <w:tcW w:w="400" w:type="dxa"/>
            <w:vAlign w:val="bottom"/>
          </w:tcPr>
          <w:p>
            <w:pPr>
              <w:spacing w:after="0"/>
              <w:rPr>
                <w:sz w:val="20"/>
                <w:szCs w:val="20"/>
                <w:color w:val="auto"/>
              </w:rPr>
            </w:pPr>
          </w:p>
        </w:tc>
        <w:tc>
          <w:tcPr>
            <w:tcW w:w="3180" w:type="dxa"/>
            <w:vAlign w:val="bottom"/>
            <w:gridSpan w:val="2"/>
          </w:tcPr>
          <w:p>
            <w:pPr>
              <w:ind w:left="880"/>
              <w:spacing w:after="0"/>
              <w:rPr>
                <w:sz w:val="20"/>
                <w:szCs w:val="20"/>
                <w:color w:val="auto"/>
              </w:rPr>
            </w:pPr>
            <w:r>
              <w:rPr>
                <w:rFonts w:ascii="Arial" w:cs="Arial" w:eastAsia="Arial" w:hAnsi="Arial"/>
                <w:sz w:val="18"/>
                <w:szCs w:val="18"/>
                <w:color w:val="auto"/>
              </w:rPr>
              <w:t>Target Share Price</w:t>
            </w:r>
          </w:p>
        </w:tc>
      </w:tr>
      <w:tr>
        <w:trPr>
          <w:trHeight w:val="216"/>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3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20,000 shares</w:t>
            </w:r>
          </w:p>
        </w:tc>
        <w:tc>
          <w:tcPr>
            <w:tcW w:w="4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80" w:type="dxa"/>
            <w:vAlign w:val="bottom"/>
            <w:tcBorders>
              <w:top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w w:val="87"/>
              </w:rPr>
              <w:t>10.00 or greater</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3280" w:type="dxa"/>
            <w:vAlign w:val="bottom"/>
          </w:tcPr>
          <w:p>
            <w:pPr>
              <w:jc w:val="center"/>
              <w:spacing w:after="0"/>
              <w:rPr>
                <w:sz w:val="20"/>
                <w:szCs w:val="20"/>
                <w:color w:val="auto"/>
              </w:rPr>
            </w:pPr>
            <w:r>
              <w:rPr>
                <w:rFonts w:ascii="Arial" w:cs="Arial" w:eastAsia="Arial" w:hAnsi="Arial"/>
                <w:sz w:val="18"/>
                <w:szCs w:val="18"/>
                <w:color w:val="auto"/>
                <w:w w:val="85"/>
              </w:rPr>
              <w:t>20,000 shares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1940"/>
              <w:spacing w:after="0"/>
              <w:rPr>
                <w:sz w:val="20"/>
                <w:szCs w:val="20"/>
                <w:color w:val="auto"/>
              </w:rPr>
            </w:pPr>
            <w:r>
              <w:rPr>
                <w:rFonts w:ascii="Arial" w:cs="Arial" w:eastAsia="Arial" w:hAnsi="Arial"/>
                <w:sz w:val="18"/>
                <w:szCs w:val="18"/>
                <w:color w:val="auto"/>
                <w:w w:val="95"/>
              </w:rPr>
              <w:t>15.00 or greater</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3</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20,000 shares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1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20.00 or greater</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3280" w:type="dxa"/>
            <w:vAlign w:val="bottom"/>
          </w:tcPr>
          <w:p>
            <w:pPr>
              <w:jc w:val="center"/>
              <w:spacing w:after="0"/>
              <w:rPr>
                <w:sz w:val="20"/>
                <w:szCs w:val="20"/>
                <w:color w:val="auto"/>
              </w:rPr>
            </w:pPr>
            <w:r>
              <w:rPr>
                <w:rFonts w:ascii="Arial" w:cs="Arial" w:eastAsia="Arial" w:hAnsi="Arial"/>
                <w:sz w:val="18"/>
                <w:szCs w:val="18"/>
                <w:color w:val="auto"/>
                <w:w w:val="85"/>
              </w:rPr>
              <w:t>20,000 shares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1940"/>
              <w:spacing w:after="0"/>
              <w:rPr>
                <w:sz w:val="20"/>
                <w:szCs w:val="20"/>
                <w:color w:val="auto"/>
              </w:rPr>
            </w:pPr>
            <w:r>
              <w:rPr>
                <w:rFonts w:ascii="Arial" w:cs="Arial" w:eastAsia="Arial" w:hAnsi="Arial"/>
                <w:sz w:val="18"/>
                <w:szCs w:val="18"/>
                <w:color w:val="auto"/>
                <w:w w:val="95"/>
              </w:rPr>
              <w:t>25.00 or greater</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5</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20,000 shares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1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30.00 or greater</w:t>
            </w: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during the Measurement Period must be at or above the Target Share Price for such tranche ((i) and (ii), the “Stock Price Conditions”); and (iii) with certain limited exceptions, 50% of the RSUs subject to a tranche will vest on the quarterly anniversary of the grant date following the satisfaction of the Stock Price Conditions with respect to that tranche, subject to the consultant being in continuous service with the Company on such quarterly anniversary and the remaining 50% shall vest on the second anniversary of the grant date if (a) the Stock Price Conditions have been satisfied with respect to that tranche prior to the second anniversary of the grant date and (b) the consultant is and has been in continuous service with the Company on the second anniversary of the grant date. All unvested RSUs will be forfeited on the second anniversary of the grant date.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value of the 100,000 RSUs with market-based vesting conditions granted to the consultant was $288,000, and as of September 30, 2013 the remeasured fair value of those RSUs was $27,000. The amount of unamortized stock-based compensation that has not been expensed related to the unvested RSU grant is $22,500. The 100,000 RSUs are valued using a Monte Carlo Simulation with a 2 year life (based on the grant date), 75%-80% volatility and risk free interest rates of 0.26%-0.36%.</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2013, the Board of Directors approved a one-time grant of 6,865 RSUs (or an aggregate of 34,325 RSUs) to non-employee directors with an aggregate fair value of $271,854. The RSUs vest in full 13 months from the date of grant subject to the director being in continuous service with the Company and have certain deferral features intended to be compliant with Internal Revenue Code Section 409A. Once vesting conditions have been achieved, receipt of the shares underlying the RSUs will be deferred until the directors resign. On September 30, 2013, a director resigned and forfeited all 6,865 unvested RSUs held by him.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nine months ended September 30, 2013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 Average</w:t>
            </w:r>
          </w:p>
        </w:tc>
        <w:tc>
          <w:tcPr>
            <w:tcW w:w="1140" w:type="dxa"/>
            <w:vAlign w:val="bottom"/>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140" w:type="dxa"/>
            <w:vAlign w:val="bottom"/>
            <w:gridSpan w:val="2"/>
          </w:tcPr>
          <w:p>
            <w:pPr>
              <w:jc w:val="right"/>
              <w:ind w:right="540"/>
              <w:spacing w:after="0"/>
              <w:rPr>
                <w:sz w:val="20"/>
                <w:szCs w:val="20"/>
                <w:color w:val="auto"/>
              </w:rPr>
            </w:pPr>
            <w:r>
              <w:rPr>
                <w:rFonts w:ascii="Arial" w:cs="Arial" w:eastAsia="Arial" w:hAnsi="Arial"/>
                <w:sz w:val="18"/>
                <w:szCs w:val="18"/>
                <w:color w:val="auto"/>
              </w:rPr>
              <w:t>Number of RSUs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 Fair Value</w:t>
            </w:r>
          </w:p>
        </w:tc>
        <w:tc>
          <w:tcPr>
            <w:tcW w:w="1140" w:type="dxa"/>
            <w:vAlign w:val="bottom"/>
          </w:tcPr>
          <w:p>
            <w:pPr>
              <w:spacing w:after="0"/>
              <w:rPr>
                <w:sz w:val="20"/>
                <w:szCs w:val="20"/>
                <w:color w:val="auto"/>
              </w:rPr>
            </w:pP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outstanding - January 1, 2013</w:t>
            </w:r>
          </w:p>
        </w:tc>
        <w:tc>
          <w:tcPr>
            <w:tcW w:w="19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RSUs granted</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1,384,325</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1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4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1140" w:type="dxa"/>
            <w:vAlign w:val="bottom"/>
          </w:tcPr>
          <w:p>
            <w:pPr>
              <w:spacing w:after="0"/>
              <w:rPr>
                <w:sz w:val="18"/>
                <w:szCs w:val="18"/>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RSUs cancelled/forfeit</w:t>
            </w:r>
          </w:p>
        </w:tc>
        <w:tc>
          <w:tcPr>
            <w:tcW w:w="4040" w:type="dxa"/>
            <w:vAlign w:val="bottom"/>
            <w:gridSpan w:val="3"/>
          </w:tcPr>
          <w:p>
            <w:pPr>
              <w:jc w:val="right"/>
              <w:ind w:right="120"/>
              <w:spacing w:after="0"/>
              <w:rPr>
                <w:sz w:val="20"/>
                <w:szCs w:val="20"/>
                <w:color w:val="auto"/>
              </w:rPr>
            </w:pPr>
            <w:r>
              <w:rPr>
                <w:rFonts w:ascii="Arial" w:cs="Arial" w:eastAsia="Arial" w:hAnsi="Arial"/>
                <w:sz w:val="18"/>
                <w:szCs w:val="18"/>
                <w:color w:val="auto"/>
              </w:rPr>
              <w:t>(166,865)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1140" w:type="dxa"/>
            <w:vAlign w:val="bottom"/>
          </w:tcPr>
          <w:p>
            <w:pPr>
              <w:spacing w:after="0"/>
              <w:rPr>
                <w:sz w:val="20"/>
                <w:szCs w:val="20"/>
                <w:color w:val="auto"/>
              </w:rPr>
            </w:pPr>
          </w:p>
        </w:tc>
      </w:tr>
      <w:tr>
        <w:trPr>
          <w:trHeight w:val="23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1,377,460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14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0"/>
        </w:trPr>
        <w:tc>
          <w:tcPr>
            <w:tcW w:w="40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3"/>
          </w:tcPr>
          <w:p>
            <w:pPr>
              <w:jc w:val="right"/>
              <w:ind w:right="2240"/>
              <w:spacing w:after="0"/>
              <w:rPr>
                <w:sz w:val="20"/>
                <w:szCs w:val="20"/>
                <w:color w:val="auto"/>
              </w:rPr>
            </w:pPr>
            <w:r>
              <w:rPr>
                <w:rFonts w:ascii="Arial" w:cs="Arial" w:eastAsia="Arial" w:hAnsi="Arial"/>
                <w:sz w:val="18"/>
                <w:szCs w:val="18"/>
                <w:color w:val="auto"/>
              </w:rPr>
              <w:t>F-15</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On July 18, 2012, a consultant was issued 40,000 RSUs valued at $130,000, and on September 30, 2013, these RSUs were cancelled.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2013, the total unrecognized compensation expense related to unvested RSUs was approximately $3,380,000 (including recognized and unrecognized expenses of the remeasured fair value of consultant RSUs) which are expected to be recognized over a weighted-average period of 2.49 years, based on estimated vesting schedules. The stock-based compensation for RSU’s was $187,807 and $484,826 during the three and nine months ended September 30, 2013,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note holders, underwriters and to non-employees for services rendered or to be rendered in the future.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2013, the Company issued a warrant to purchase 30,000 shares of the Company’s common stock to a consultant with an exercise price of $5.25 per share. The warrants expire three years following the issuance date, and vest as follows: 10,000 shares vested immediately upon execution of the consulting agreement, and the remaining shares will vest in 4,000 share installments on each of the five monthly periods following the date of the consulting agreement provided the consultant continues to provide services to the Company as of the applicable vesting date.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2013, the Company issued a warrant to purchase 60,000 shares of the Company’s common stock to a consultant with an exercise price of $8.50 per share, in consideration for services to be provided over a six month term. The warrants expire five years following the issuance date, vest immediately, are non-forfeitable, and become exercisable in January 2014. The Company recorded an initial stock-based prepaid consulting expense for the fair value of the warrants totaling $319,786, which is being amortized over the length of the consulting service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the warrants for the nine months ended September 30, 2013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600" w:type="dxa"/>
            <w:vAlign w:val="bottom"/>
            <w:gridSpan w:val="3"/>
          </w:tcPr>
          <w:p>
            <w:pPr>
              <w:jc w:val="right"/>
              <w:ind w:right="440"/>
              <w:spacing w:after="0"/>
              <w:rPr>
                <w:sz w:val="20"/>
                <w:szCs w:val="20"/>
                <w:color w:val="auto"/>
              </w:rPr>
            </w:pPr>
            <w:r>
              <w:rPr>
                <w:rFonts w:ascii="Arial" w:cs="Arial" w:eastAsia="Arial" w:hAnsi="Arial"/>
                <w:sz w:val="18"/>
                <w:szCs w:val="18"/>
                <w:color w:val="auto"/>
              </w:rPr>
              <w:t>Number of Shares Subject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ind w:left="280"/>
              <w:spacing w:after="0"/>
              <w:rPr>
                <w:sz w:val="20"/>
                <w:szCs w:val="20"/>
                <w:color w:val="auto"/>
              </w:rPr>
            </w:pPr>
            <w:r>
              <w:rPr>
                <w:rFonts w:ascii="Arial" w:cs="Arial" w:eastAsia="Arial" w:hAnsi="Arial"/>
                <w:sz w:val="18"/>
                <w:szCs w:val="18"/>
                <w:color w:val="auto"/>
              </w:rPr>
              <w:t>Weighted Avg.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00" w:type="dxa"/>
            <w:vAlign w:val="bottom"/>
            <w:gridSpan w:val="3"/>
          </w:tcPr>
          <w:p>
            <w:pPr>
              <w:jc w:val="right"/>
              <w:ind w:right="520"/>
              <w:spacing w:after="0"/>
              <w:rPr>
                <w:sz w:val="20"/>
                <w:szCs w:val="20"/>
                <w:color w:val="auto"/>
              </w:rPr>
            </w:pPr>
            <w:r>
              <w:rPr>
                <w:rFonts w:ascii="Arial" w:cs="Arial" w:eastAsia="Arial" w:hAnsi="Arial"/>
                <w:sz w:val="18"/>
                <w:szCs w:val="18"/>
                <w:color w:val="auto"/>
              </w:rPr>
              <w:t>to Warrants Outstanding</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ind w:left="30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2013</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556,872</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269,860</w:t>
            </w:r>
          </w:p>
        </w:tc>
        <w:tc>
          <w:tcPr>
            <w:tcW w:w="16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Expired</w:t>
            </w:r>
          </w:p>
        </w:tc>
        <w:tc>
          <w:tcPr>
            <w:tcW w:w="2600" w:type="dxa"/>
            <w:vAlign w:val="bottom"/>
            <w:gridSpan w:val="3"/>
          </w:tcPr>
          <w:p>
            <w:pPr>
              <w:jc w:val="right"/>
              <w:ind w:right="120"/>
              <w:spacing w:after="0"/>
              <w:rPr>
                <w:sz w:val="20"/>
                <w:szCs w:val="20"/>
                <w:color w:val="auto"/>
              </w:rPr>
            </w:pPr>
            <w:r>
              <w:rPr>
                <w:rFonts w:ascii="Arial" w:cs="Arial" w:eastAsia="Arial" w:hAnsi="Arial"/>
                <w:sz w:val="18"/>
                <w:szCs w:val="18"/>
                <w:color w:val="auto"/>
              </w:rPr>
              <w:t>(5,682)</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 September 30, 2013</w:t>
            </w: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Weighted average remaining contractual life of the outstanding warrants in years -</w:t>
            </w: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vMerge w:val="continue"/>
          </w:tcPr>
          <w:p>
            <w:pPr>
              <w:spacing w:after="0"/>
              <w:rPr>
                <w:sz w:val="13"/>
                <w:szCs w:val="13"/>
                <w:color w:val="auto"/>
              </w:rPr>
            </w:pPr>
          </w:p>
        </w:tc>
        <w:tc>
          <w:tcPr>
            <w:tcW w:w="2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2440" w:type="dxa"/>
            <w:vAlign w:val="bottom"/>
            <w:tcBorders>
              <w:bottom w:val="single" w:sz="8" w:color="auto"/>
            </w:tcBorders>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each warrant is estimated on the date of grant using the Black-Scholes-Merton option pricing model. The table below illustrates the fair value per share determined by the Black-Scholes-Merton option pricing model with the following assumptions used for valuing the warrants issued: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warrants granted</w:t>
            </w:r>
          </w:p>
        </w:tc>
        <w:tc>
          <w:tcPr>
            <w:tcW w:w="27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2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22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85%-346%</w:t>
            </w:r>
          </w:p>
        </w:tc>
        <w:tc>
          <w:tcPr>
            <w:tcW w:w="228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0.32%-1.31%</w:t>
            </w:r>
          </w:p>
        </w:tc>
        <w:tc>
          <w:tcPr>
            <w:tcW w:w="22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439"/>
        </w:trPr>
        <w:tc>
          <w:tcPr>
            <w:tcW w:w="45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jc w:val="right"/>
              <w:ind w:right="1670"/>
              <w:spacing w:after="0"/>
              <w:rPr>
                <w:sz w:val="20"/>
                <w:szCs w:val="20"/>
                <w:color w:val="auto"/>
              </w:rPr>
            </w:pPr>
            <w:r>
              <w:rPr>
                <w:rFonts w:ascii="Arial" w:cs="Arial" w:eastAsia="Arial" w:hAnsi="Arial"/>
                <w:sz w:val="18"/>
                <w:szCs w:val="18"/>
                <w:color w:val="auto"/>
              </w:rPr>
              <w:t>F-16</w:t>
            </w: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 list of the warrants outstanding as of September 30, 2013 is included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w w:val="95"/>
              </w:rPr>
              <w:t>Warrants Outstanding</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5"/>
          </w:tcPr>
          <w:p>
            <w:pPr>
              <w:ind w:left="760"/>
              <w:spacing w:after="0"/>
              <w:rPr>
                <w:sz w:val="20"/>
                <w:szCs w:val="20"/>
                <w:color w:val="auto"/>
              </w:rPr>
            </w:pPr>
            <w:r>
              <w:rPr>
                <w:rFonts w:ascii="Arial" w:cs="Arial" w:eastAsia="Arial" w:hAnsi="Arial"/>
                <w:sz w:val="18"/>
                <w:szCs w:val="18"/>
                <w:color w:val="auto"/>
              </w:rPr>
              <w:t>Warrants Exercisable</w:t>
            </w:r>
          </w:p>
        </w:tc>
      </w:tr>
      <w:tr>
        <w:trPr>
          <w:trHeight w:val="202"/>
        </w:trPr>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2"/>
          </w:tcPr>
          <w:p>
            <w:pPr>
              <w:ind w:left="300"/>
              <w:spacing w:after="0" w:line="201" w:lineRule="exact"/>
              <w:rPr>
                <w:sz w:val="20"/>
                <w:szCs w:val="20"/>
                <w:color w:val="auto"/>
              </w:rPr>
            </w:pPr>
            <w:r>
              <w:rPr>
                <w:rFonts w:ascii="Arial" w:cs="Arial" w:eastAsia="Arial" w:hAnsi="Arial"/>
                <w:sz w:val="18"/>
                <w:szCs w:val="18"/>
                <w:color w:val="auto"/>
              </w:rPr>
              <w:t>Warrants</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560"/>
              <w:spacing w:after="0" w:line="201" w:lineRule="exact"/>
              <w:rPr>
                <w:sz w:val="20"/>
                <w:szCs w:val="20"/>
                <w:color w:val="auto"/>
              </w:rPr>
            </w:pPr>
            <w:r>
              <w:rPr>
                <w:rFonts w:ascii="Arial" w:cs="Arial" w:eastAsia="Arial" w:hAnsi="Arial"/>
                <w:sz w:val="18"/>
                <w:szCs w:val="18"/>
                <w:color w:val="auto"/>
              </w:rPr>
              <w:t>Exercise</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300"/>
              <w:spacing w:after="0" w:line="201" w:lineRule="exact"/>
              <w:rPr>
                <w:sz w:val="20"/>
                <w:szCs w:val="20"/>
                <w:color w:val="auto"/>
              </w:rPr>
            </w:pPr>
            <w:r>
              <w:rPr>
                <w:rFonts w:ascii="Arial" w:cs="Arial" w:eastAsia="Arial" w:hAnsi="Arial"/>
                <w:sz w:val="18"/>
                <w:szCs w:val="18"/>
                <w:color w:val="auto"/>
              </w:rPr>
              <w:t>Warrants</w:t>
            </w:r>
          </w:p>
        </w:tc>
        <w:tc>
          <w:tcPr>
            <w:tcW w:w="3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Expiration</w:t>
            </w:r>
          </w:p>
        </w:tc>
        <w:tc>
          <w:tcPr>
            <w:tcW w:w="100" w:type="dxa"/>
            <w:vAlign w:val="bottom"/>
          </w:tcPr>
          <w:p>
            <w:pPr>
              <w:spacing w:after="0"/>
              <w:rPr>
                <w:sz w:val="17"/>
                <w:szCs w:val="17"/>
                <w:color w:val="auto"/>
              </w:rPr>
            </w:pPr>
          </w:p>
        </w:tc>
      </w:tr>
      <w:tr>
        <w:trPr>
          <w:trHeight w:val="237"/>
        </w:trPr>
        <w:tc>
          <w:tcPr>
            <w:tcW w:w="2740" w:type="dxa"/>
            <w:vAlign w:val="bottom"/>
            <w:gridSpan w:val="2"/>
          </w:tcPr>
          <w:p>
            <w:pPr>
              <w:ind w:left="740"/>
              <w:spacing w:after="0"/>
              <w:rPr>
                <w:sz w:val="20"/>
                <w:szCs w:val="20"/>
                <w:color w:val="auto"/>
              </w:rPr>
            </w:pPr>
            <w:r>
              <w:rPr>
                <w:rFonts w:ascii="Arial" w:cs="Arial" w:eastAsia="Arial" w:hAnsi="Arial"/>
                <w:sz w:val="18"/>
                <w:szCs w:val="18"/>
                <w:color w:val="auto"/>
              </w:rPr>
              <w:t>Warrant Series</w:t>
            </w:r>
          </w:p>
        </w:tc>
        <w:tc>
          <w:tcPr>
            <w:tcW w:w="1740" w:type="dxa"/>
            <w:vAlign w:val="bottom"/>
            <w:gridSpan w:val="3"/>
          </w:tcPr>
          <w:p>
            <w:pPr>
              <w:ind w:left="320"/>
              <w:spacing w:after="0"/>
              <w:rPr>
                <w:sz w:val="20"/>
                <w:szCs w:val="20"/>
                <w:color w:val="auto"/>
              </w:rPr>
            </w:pPr>
            <w:r>
              <w:rPr>
                <w:rFonts w:ascii="Arial" w:cs="Arial" w:eastAsia="Arial" w:hAnsi="Arial"/>
                <w:sz w:val="18"/>
                <w:szCs w:val="18"/>
                <w:color w:val="auto"/>
              </w:rPr>
              <w:t>Issue Date</w:t>
            </w:r>
          </w:p>
        </w:tc>
        <w:tc>
          <w:tcPr>
            <w:tcW w:w="1720" w:type="dxa"/>
            <w:vAlign w:val="bottom"/>
            <w:gridSpan w:val="2"/>
          </w:tcPr>
          <w:p>
            <w:pPr>
              <w:ind w:left="24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1680" w:type="dxa"/>
            <w:vAlign w:val="bottom"/>
            <w:gridSpan w:val="4"/>
          </w:tcPr>
          <w:p>
            <w:pPr>
              <w:ind w:left="360"/>
              <w:spacing w:after="0"/>
              <w:rPr>
                <w:sz w:val="20"/>
                <w:szCs w:val="20"/>
                <w:color w:val="auto"/>
              </w:rPr>
            </w:pPr>
            <w:r>
              <w:rPr>
                <w:rFonts w:ascii="Arial" w:cs="Arial" w:eastAsia="Arial" w:hAnsi="Arial"/>
                <w:sz w:val="18"/>
                <w:szCs w:val="18"/>
                <w:color w:val="auto"/>
              </w:rPr>
              <w:t>Price</w:t>
            </w: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Exercisable</w:t>
            </w:r>
          </w:p>
        </w:tc>
        <w:tc>
          <w:tcPr>
            <w:tcW w:w="300" w:type="dxa"/>
            <w:vAlign w:val="bottom"/>
          </w:tcPr>
          <w:p>
            <w:pPr>
              <w:spacing w:after="0"/>
              <w:rPr>
                <w:sz w:val="20"/>
                <w:szCs w:val="20"/>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Date</w:t>
            </w:r>
          </w:p>
        </w:tc>
      </w:tr>
      <w:tr>
        <w:trPr>
          <w:trHeight w:val="216"/>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DermaStar</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4/25/2012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4/25/2015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April PPM</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4/25/2012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502,928</w:t>
            </w:r>
          </w:p>
        </w:tc>
        <w:tc>
          <w:tcPr>
            <w:tcW w:w="3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502,928</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4/25/2015</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Underwriter Warrants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2/7/2013</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179,860</w:t>
            </w: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2/7/2018</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IR Consultant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2/28/2013</w:t>
            </w:r>
          </w:p>
        </w:tc>
        <w:tc>
          <w:tcPr>
            <w:tcW w:w="1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30,000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2/28/2016</w:t>
            </w:r>
          </w:p>
        </w:tc>
      </w:tr>
      <w:tr>
        <w:trPr>
          <w:trHeight w:val="23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 Consultant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7/19/2013</w:t>
            </w: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7/19/2018</w:t>
            </w:r>
          </w:p>
        </w:tc>
      </w:tr>
      <w:tr>
        <w:trPr>
          <w:trHeight w:val="203"/>
        </w:trPr>
        <w:tc>
          <w:tcPr>
            <w:tcW w:w="25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821,050</w:t>
            </w:r>
          </w:p>
        </w:tc>
        <w:tc>
          <w:tcPr>
            <w:tcW w:w="3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5.94</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761,050</w:t>
            </w:r>
          </w:p>
        </w:tc>
        <w:tc>
          <w:tcPr>
            <w:tcW w:w="2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stock-based compensation for warrants was $151,253 and $308,883 during the three and nine months ended September 30, 2013,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2013, the Company entered into a lease agreement for 3,874 square feet of office space from May 1, 2013 to September 30, 2016, effective May 1, 2013. Monthly rent began on May 1, 2013 in the amount of $10,406, with a 3% increase in the base rent amount on an annual basis. The lease agreement allows for the monthly rent amount to be abated for five months at various times during the lease agreement. The total lease obligation is approximately $387,900. For the remaining fiscal year 2013, the Company’s lease commitment is approximately $31,200.</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previously leased an office facility under a noncancelable operating lease, which had an expiry date of February 28, 2014, with $3,715 due monthly until expiration. In August 2013, the Company made a one-time payment of $7,000 as consideration to terminate this lease prior to its expiration date and as a result no future amounts are due under this 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 and Guarantees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 in connection with its facility lease for certain claims arising from the use of the facility.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License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Professional Compounding Centers of America, or PCCA, has granted to the Company and its affiliates certain exclusive rights under PCCA’s proprietary formulations, other technologies and data, and the Company has agreed to pay to PCCA certain royalties on net sales relating to the sale of certain future products, which royalties range from 4.5% to 9% for each product, subject to certain minimum royalty payments. PCCA may terminate the PCCA License Agreement if the Company fails to commence efforts to research and develop future products within certain time periods, as set forth in the PCCA License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PCCA Strategic Alliance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18, 2013, we entered into a Strategic Alliance Agreement (the “Agreement”) with PCCA. Under the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to further provide certain key technical assistance to a potential development project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Buderer Asset Purchase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11, 2013, the Company acquired intellectual property rights related to certain proprietary innovations from the compounding pharmacy operations of Buderer Drug Company, Inc. (“Buderer”) pursuant to an Asset Purchase Agreement (the “Buderer APA”). In addition, the Company has a right of first refusal on additional Buderer intellectual property and drug development opportunities. The Buderer APA provides that Buderer will cooperate with the Company in obtaining patent protection for the acquired intellectual property and that the Company will use commercially reasonable efforts to research, develop and commercialize a product based on the acquired intellectual property.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consideration for the acquisition of the intellectual property rights, the Company is obligated to make the following payments to Buderer: (1) one payment payable within 30 days after the issuance of the first patent in the United States arising from the acquired intellectual property (if any); (2) one payment payable within 30 days after the Company files the first Investigational New Drug application (“IND”) with the FDA for the first product arising from the acquired intellectual property (if any); and (3) certain royalty payments based on the net receipts received by the Company in connection with the sale or licensing of any product based on the acquired intellectual property (if any), after deducting (among other things) the Company’s development costs associated with such product.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Novel Drug and Eye Care Northwest Asset Purchase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8, 2013, the Company acquired intellectual property rights related to certain proprietary innovations from the compounding pharmacy operations of Novel Drug Solutions, LLC and from Eye Care Northwest, Inc. (together referred to as the “Sellers”) pursuant to an Asset Purchase Agreement (the “ECN APA”). As part of this acquisition the Company has acquired intellectual property assets, including a provisional patent application related to injectable ophthalmological compositions having anti-bacterial and anti-inflammatory properties for the prevention of post-ophthalmic surgery complications. In addition, under the ECN APA, the Company has a right of first refusal on any of the Sellers’ additional intellectual property and drug development opportunities. The ECN APA provides that the Sellers will cooperate with us in obtaining patent protection for the acquired intellectual property, among other things, and that we will use commercially reasonable efforts to research, develop and commercialize a product based on the acquired intellectual property.</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consideration for the acquisition, the Company is obligated to make the following payments to the Sellers: (1) one payment payable within 30 days after the issuance of the first patent in the United States arising from the acquired intellectual property (if any); (2) one payment payable within 30 days after we file the first IND with the FDA for the first product arising from the acquired intellectual property (if any); (3) one payment payable within 30 days after we file the first New Drug application with the FDA for the first product; and (4) certain royalty payments based on the net receipts received by us in connection with the sale or licensing of any product based on the acquired intellectual property (if any), after deducting (among other things) our development costs associated with such product.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7.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September 30, 2013 through the filing date of this Quarterly Report. Based on our evaluation, nothing other than the events described below need to be disclosed.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1, 2013, Paul Finnegan resigned from the Board of Directors of the Company. All 6,865 RSUs granted to Mr. Finnegan in June 2013 terminated unvested.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October 2, 2013, the Board of Directors of the Company elected Peter Kenny to the Company’s Board of Directors. Mr. Kenny was granted 8,947 RSUs under the Plan. The RSUs vest in full on the 13 month anniversary of the date of grant and have certain deferral features under Section 409A of the Internal Revenue Code.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2013, the Company granted options to purchase 10,300 shares of the Company’s common stock under the Plan to a consultant with an exercise price of $4.51 which was equal to the current market price of the Company’s common stock on the grant date. The options have a 5-year term and vest over one year on a quarterly basis, and were granted as consideration for the provision of certain services.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8, 2013, the Company acquired intellectual property rights related to certain proprietary innovations from the pharmacy research and development operations of Novel Drug Solutions, LLC (“Novel”) pursuant to an asset purchase agreement (the “Novel APA”). In connection with the acquisition, the Company was assigned a provisional patent application related to the use of epinephrine compositions for intraocular administration. This is the Company’s second asset acquisition from Novel.</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consideration for the acquisition, the Company is obligated to make the following payments to Novel: (1) one payment payable within 30 days after the issuance of the first patent in the United States arising from the acquired intellectual property (if any); (2) one payment payable within 30 days after the Company files the first IND with the FDA for the first product arising from the acquired intellectual property (if any); (3) one payment payable within 30 days after the Company files the first New Drug application with the FDA for the first product;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of the date of the Novel APA the Company either has not filed an IND or has failed to generate royalty payments to Novel for any product based on the acquired intellectual property, Novel may terminate the Novel APA and request that the Company re-assign the acquired technology to Novel.</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22, 2013, the Company entered into an Amendment to the Novel APA (the “Novel Amendment”), which amends the Novel APA to expand the acquired assets to include compositions comprising one or more of epinephrine, Shugarcaine, phenylephrine, or lidocaine, in each case for use in the prevention or treatment of any disease, state or condition in humans. In connection with the Novel Amendment, the Company was assigned a provisional patent application related to pharmaceutical compositions, including those for ophthalmological applications, comprising epinephrine-based compounds, and to methods of preparing and using such compositions.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14, 2013, the Company entered into an amendment to the ECN APA (the “ECN Amendment”) with the Sellers, which amends the ECN APA. The ECN Amendment revises the circumstances under which the Sellers may terminate the ECN APA to provide that if following five years of the date of the ECN APA the Company has not initiated any study where data is derived or has failed to generate royalty payments to the Sellers for any product based on the acquired intellectual property, the Sellers may jointly terminate the ECN APA and request that the Company re-assign the acquired technology to the Sellers. The ECN Amendment provides the Company with the ability to utilize a wider range of commercialization strategies with respect to the acquired technology.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21, 2013, the Company entered into an Amendment to Asset Purchase Agreement (the “Buderer Amendment”) with Buderer, which amends the Buderer APA. The Buderer Amendment amends the circumstances under which Buderer may terminate the Buderer APA to provide that if following five years of the date of the Buderer APA, the Company has not initiated any study where data is derived or has failed to generate royalty payments to Buderer for any product based on the acquired intellectual property, Buderer may terminate the Buderer APA and request that the Company re-assign the acquired technology to Buderer. The Buderer Amendment provides the Company with the ability to utilize a wider range of commercialization strategies with respect to the acquired technology.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2013, the Company discontinued the Company’s previously planned Phase 3 clinical trial for Impracor. The Company expects to consider alternative clinical development and commercialization options for Impracor. These alternatives could include reformulating Impracor and utilizing distribution channels outside of the Section 505(b)(2) pathway, including licensing Impracor to compounding pharmacies or other healthcare facilities and targeting specific patient groups.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The information contained in this Quarterly Report on Form 10-Q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2012 and subsequent reports on Form 8-K, which discuss our business in greater detail. Unless the context indicates otherwise, the “Company”, “we”, “us”, and “our</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Item 2 and elsewhere in this report refer to Imprimis Pharmaceuticals, Inc., a Delaware corporation.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The following discussion contains forward-looking statements regarding future events and our future performance. These forward-looking statements involve risk and uncertainties that could cause actual results to differ materially from those expected or projected. For this purpose, any statements contained herein regarding our strategy, future operations, financial position, future revenues, projected costs and expenses, prospects, plans and objectives of management, other than statements of historical facts, are forward-looking statements. The words “anticipate,” “believes,” “estimates,” “intends,” “may,” “plans,” “will,” “would” and similar expressions are intended to identify forward-looking statements, although not all forward-looking statements contain these identifying words. Such statements reflect our current views with respect to future events. There are a number of important factors that could cause actual results or events to differ materially from those disclosed in the expressed or implied forward-looking statements we make. These important factors include our ability to research, develop and commercialize our product candidates; our ability to hire, retain and otherwise engage qualified personnel to execute our business plan; the ongoing market need for the technologies and products we are developing; the implementation or interpretation of current or future regulations and legislation related to our business; the success of any sales or marketing efforts; our ability to continue as a going concern; our limited operating history; the ability of competitors to access the market we intend to serve; our ability to raise capital; the cost of any capital we are able to raise; and the other risks and uncertainties described under the heading “Risk Factors” in Part II, Item 1A of this Quarterly Report and in similar discussions in our other SEC filings. Except as required by law, we undertake no obligation to revise or publicly update any forward-looking statement for any reason. Readers should not rely on any of our forward-looking statements as representing our views as of any date subsequent to the date of this Quarterly Report.</w:t>
      </w:r>
    </w:p>
    <w:p>
      <w:pPr>
        <w:spacing w:after="0" w:line="17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Unless otherwise stated below, all information regarding share amounts of common stock and prices per share of common stock described under the heading “Management’s Discussion and Analysis of Financial Condition and Results of Operations” reflect the one-for-five reverse stock split effected on February 7,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are a pharmaceutical company focused on commercializing novel drug formulations invented by physicians and pharmacists through their clinical experience with patients. Compounded drug formulations are personalized medications prepared by licensed pharmacists to fit the unique needs of a patient. They are generally prepared by mixing active pharmaceutical ingredients (“APIs”) that have been previously granted market approval by the U.S. Food and Drug Administration (the “FDA”), although the combination of APIs themselves as a formulation have not been approved by the FDA. We expect to develop and commercialize our proprietary drug formulations in specific therapeutic areas of interest primarily through licensing arrangements with select pharmacies, physicians and other healthcare organizations. In addition, we may choose to utilize the regulatory pathway provided by Section 505(b)(2) of the Federal Food, Drug and Cosmetic Act (the “FDCA”), which generally allows a sponsor of a new drug to rely on the FDA’s earlier findings of a safety or effectiveness, in connection with certain drug development opportunities. We may also develop and/or commercialize proprietary vehicles to delivery drugs,</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such as our patented Accudel</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topical cream formulation. Pursuing one commercialization pathway will not generally preclude the company from also pursuing an alternative pathway, such as the Section 505(b)(2) regulatory pathway.</w:t>
      </w: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shifted our focus to the development and near term commercialization of our proprietary formulations, in particular those assets related to ophthalmic, wound management, urology and pain therapeutic areas. As a result of our Strategic Alliance Agreement with Professional Compounding Centers of America, Inc. (“PCCA”) and our relationships with other pharmacists and physicians, we have acquired intellectual property related to a number of potential drug formulations. These proprietary drug formulations are comprised of APIs that are components of drugs that have been previously granted market approval by the FDA, although the formulations themselves have not been approved. We expect to continue to pursue the acquisition of additional product development opportunities comprising proprietary novel formulations of FDA approved APIs, whether through our relationship with PCCA or otherwise. We are in the process of reviewing and analyzing our acquired development assets through our asset review methodology model and have begun internal development projects with respect to certain of these product development candidates. We continue to seek partnerships, acquisitions and licensing opportunities for new projects that we may either develop internally or through third parties.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The table below summarizes our product development programs as of the date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Method of</w:t>
            </w: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Product Area</w:t>
            </w:r>
          </w:p>
        </w:tc>
        <w:tc>
          <w:tcPr>
            <w:tcW w:w="3140" w:type="dxa"/>
            <w:vAlign w:val="bottom"/>
          </w:tcPr>
          <w:p>
            <w:pPr>
              <w:ind w:left="160"/>
              <w:spacing w:after="0"/>
              <w:rPr>
                <w:sz w:val="20"/>
                <w:szCs w:val="20"/>
                <w:color w:val="auto"/>
              </w:rPr>
            </w:pPr>
            <w:r>
              <w:rPr>
                <w:rFonts w:ascii="Arial" w:cs="Arial" w:eastAsia="Arial" w:hAnsi="Arial"/>
                <w:sz w:val="18"/>
                <w:szCs w:val="18"/>
                <w:b w:val="1"/>
                <w:bCs w:val="1"/>
                <w:color w:val="auto"/>
              </w:rPr>
              <w:t>Product Development Program</w:t>
            </w:r>
          </w:p>
        </w:tc>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Administration</w:t>
            </w:r>
          </w:p>
        </w:tc>
        <w:tc>
          <w:tcPr>
            <w:tcW w:w="4140" w:type="dxa"/>
            <w:vAlign w:val="bottom"/>
          </w:tcPr>
          <w:p>
            <w:pPr>
              <w:ind w:left="280"/>
              <w:spacing w:after="0"/>
              <w:rPr>
                <w:sz w:val="20"/>
                <w:szCs w:val="20"/>
                <w:color w:val="auto"/>
              </w:rPr>
            </w:pPr>
            <w:r>
              <w:rPr>
                <w:rFonts w:ascii="Arial" w:cs="Arial" w:eastAsia="Arial" w:hAnsi="Arial"/>
                <w:sz w:val="18"/>
                <w:szCs w:val="18"/>
                <w:b w:val="1"/>
                <w:bCs w:val="1"/>
                <w:color w:val="auto"/>
              </w:rPr>
              <w:t>Potential Use or Indication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Ophthalmic</w:t>
            </w:r>
          </w:p>
        </w:tc>
        <w:tc>
          <w:tcPr>
            <w:tcW w:w="31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color w:val="auto"/>
              </w:rPr>
              <w:t>Combination of triamcinolone</w:t>
            </w:r>
          </w:p>
        </w:tc>
        <w:tc>
          <w:tcPr>
            <w:tcW w:w="2920" w:type="dxa"/>
            <w:vAlign w:val="bottom"/>
            <w:shd w:val="clear" w:color="auto" w:fill="CCEEFF"/>
          </w:tcPr>
          <w:p>
            <w:pPr>
              <w:ind w:left="120"/>
              <w:spacing w:after="0" w:line="198" w:lineRule="exact"/>
              <w:rPr>
                <w:sz w:val="20"/>
                <w:szCs w:val="20"/>
                <w:color w:val="auto"/>
              </w:rPr>
            </w:pPr>
            <w:r>
              <w:rPr>
                <w:rFonts w:ascii="Arial" w:cs="Arial" w:eastAsia="Arial" w:hAnsi="Arial"/>
                <w:sz w:val="18"/>
                <w:szCs w:val="18"/>
                <w:color w:val="auto"/>
              </w:rPr>
              <w:t>Intraoperative intraocular injection</w:t>
            </w:r>
          </w:p>
        </w:tc>
        <w:tc>
          <w:tcPr>
            <w:tcW w:w="4140" w:type="dxa"/>
            <w:vAlign w:val="bottom"/>
            <w:shd w:val="clear" w:color="auto" w:fill="CCEEFF"/>
          </w:tcPr>
          <w:p>
            <w:pPr>
              <w:ind w:left="280"/>
              <w:spacing w:after="0" w:line="198" w:lineRule="exact"/>
              <w:rPr>
                <w:sz w:val="20"/>
                <w:szCs w:val="20"/>
                <w:color w:val="auto"/>
              </w:rPr>
            </w:pPr>
            <w:r>
              <w:rPr>
                <w:rFonts w:ascii="Arial" w:cs="Arial" w:eastAsia="Arial" w:hAnsi="Arial"/>
                <w:sz w:val="18"/>
                <w:szCs w:val="18"/>
                <w:color w:val="auto"/>
              </w:rPr>
              <w:t>Prevention of infection from intraocular and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Preparations</w:t>
            </w: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acetonide and moxifloxacin</w:t>
            </w:r>
          </w:p>
        </w:tc>
        <w:tc>
          <w:tcPr>
            <w:tcW w:w="2920" w:type="dxa"/>
            <w:vAlign w:val="bottom"/>
            <w:shd w:val="clear" w:color="auto" w:fill="CCEEFF"/>
          </w:tcPr>
          <w:p>
            <w:pPr>
              <w:spacing w:after="0"/>
              <w:rPr>
                <w:sz w:val="19"/>
                <w:szCs w:val="19"/>
                <w:color w:val="auto"/>
              </w:rPr>
            </w:pPr>
          </w:p>
        </w:tc>
        <w:tc>
          <w:tcPr>
            <w:tcW w:w="4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ocular surgeries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hydrochloride</w:t>
            </w:r>
          </w:p>
        </w:tc>
        <w:tc>
          <w:tcPr>
            <w:tcW w:w="292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Combination of triamcinolone</w:t>
            </w:r>
          </w:p>
        </w:tc>
        <w:tc>
          <w:tcPr>
            <w:tcW w:w="29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Intraoperative intraocular injection</w:t>
            </w:r>
          </w:p>
        </w:tc>
        <w:tc>
          <w:tcPr>
            <w:tcW w:w="41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Prevention of infection from intraocular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acetonide, moxifloxacin hydrochloride</w:t>
            </w:r>
          </w:p>
        </w:tc>
        <w:tc>
          <w:tcPr>
            <w:tcW w:w="2920" w:type="dxa"/>
            <w:vAlign w:val="bottom"/>
            <w:shd w:val="clear" w:color="auto" w:fill="CCEEFF"/>
          </w:tcPr>
          <w:p>
            <w:pPr>
              <w:spacing w:after="0"/>
              <w:rPr>
                <w:sz w:val="18"/>
                <w:szCs w:val="18"/>
                <w:color w:val="auto"/>
              </w:rPr>
            </w:pPr>
          </w:p>
        </w:tc>
        <w:tc>
          <w:tcPr>
            <w:tcW w:w="4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ocular surgeries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vancomycin</w:t>
            </w:r>
          </w:p>
        </w:tc>
        <w:tc>
          <w:tcPr>
            <w:tcW w:w="292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Lyophilized preservative-free and</w:t>
            </w:r>
          </w:p>
        </w:tc>
        <w:tc>
          <w:tcPr>
            <w:tcW w:w="29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Intraoperative ocular injection</w:t>
            </w:r>
          </w:p>
        </w:tc>
        <w:tc>
          <w:tcPr>
            <w:tcW w:w="41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Prevention of complications during ocular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sulfite-free epinephrine</w:t>
            </w:r>
          </w:p>
        </w:tc>
        <w:tc>
          <w:tcPr>
            <w:tcW w:w="2920" w:type="dxa"/>
            <w:vAlign w:val="bottom"/>
            <w:shd w:val="clear" w:color="auto" w:fill="CCEEFF"/>
          </w:tcPr>
          <w:p>
            <w:pPr>
              <w:spacing w:after="0"/>
              <w:rPr>
                <w:sz w:val="18"/>
                <w:szCs w:val="18"/>
                <w:color w:val="auto"/>
              </w:rPr>
            </w:pPr>
          </w:p>
        </w:tc>
        <w:tc>
          <w:tcPr>
            <w:tcW w:w="4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intraocular surgeries, including floppy iris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4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syndrome and pupil dilation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Lyophilized preservative and sulfite-</w:t>
            </w:r>
          </w:p>
        </w:tc>
        <w:tc>
          <w:tcPr>
            <w:tcW w:w="29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Intraoperative intraocular injection</w:t>
            </w:r>
          </w:p>
        </w:tc>
        <w:tc>
          <w:tcPr>
            <w:tcW w:w="41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Mydriasis in intraocular surgery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free combination of epinephrine and</w:t>
            </w:r>
          </w:p>
        </w:tc>
        <w:tc>
          <w:tcPr>
            <w:tcW w:w="29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lidocaine</w:t>
            </w:r>
          </w:p>
        </w:tc>
        <w:tc>
          <w:tcPr>
            <w:tcW w:w="292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Pain</w:t>
            </w:r>
          </w:p>
        </w:tc>
        <w:tc>
          <w:tcPr>
            <w:tcW w:w="3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Impracor™ (10% ketoprofen)</w:t>
            </w:r>
          </w:p>
        </w:tc>
        <w:tc>
          <w:tcPr>
            <w:tcW w:w="29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Topical cream</w:t>
            </w:r>
          </w:p>
        </w:tc>
        <w:tc>
          <w:tcPr>
            <w:tcW w:w="41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Treatment of sprains, strains and soft tissue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4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injuries and osteoarthritis flare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Wound</w:t>
            </w:r>
          </w:p>
        </w:tc>
        <w:tc>
          <w:tcPr>
            <w:tcW w:w="31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color w:val="auto"/>
                <w:w w:val="94"/>
              </w:rPr>
              <w:t>Combination of tranexamic acid and an</w:t>
            </w:r>
          </w:p>
        </w:tc>
        <w:tc>
          <w:tcPr>
            <w:tcW w:w="2920" w:type="dxa"/>
            <w:vAlign w:val="bottom"/>
            <w:shd w:val="clear" w:color="auto" w:fill="CCEEFF"/>
          </w:tcPr>
          <w:p>
            <w:pPr>
              <w:ind w:left="120"/>
              <w:spacing w:after="0" w:line="198" w:lineRule="exact"/>
              <w:rPr>
                <w:sz w:val="20"/>
                <w:szCs w:val="20"/>
                <w:color w:val="auto"/>
              </w:rPr>
            </w:pPr>
            <w:r>
              <w:rPr>
                <w:rFonts w:ascii="Arial" w:cs="Arial" w:eastAsia="Arial" w:hAnsi="Arial"/>
                <w:sz w:val="18"/>
                <w:szCs w:val="18"/>
                <w:color w:val="auto"/>
              </w:rPr>
              <w:t>Topical ointment/cream</w:t>
            </w:r>
          </w:p>
        </w:tc>
        <w:tc>
          <w:tcPr>
            <w:tcW w:w="4140" w:type="dxa"/>
            <w:vAlign w:val="bottom"/>
            <w:shd w:val="clear" w:color="auto" w:fill="CCEEFF"/>
          </w:tcPr>
          <w:p>
            <w:pPr>
              <w:ind w:left="280"/>
              <w:spacing w:after="0" w:line="198" w:lineRule="exact"/>
              <w:rPr>
                <w:sz w:val="20"/>
                <w:szCs w:val="20"/>
                <w:color w:val="auto"/>
              </w:rPr>
            </w:pPr>
            <w:r>
              <w:rPr>
                <w:rFonts w:ascii="Arial" w:cs="Arial" w:eastAsia="Arial" w:hAnsi="Arial"/>
                <w:sz w:val="18"/>
                <w:szCs w:val="18"/>
                <w:color w:val="auto"/>
              </w:rPr>
              <w:t>Treatment of wound bleeding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Management</w:t>
            </w: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antibiotic</w:t>
            </w:r>
          </w:p>
        </w:tc>
        <w:tc>
          <w:tcPr>
            <w:tcW w:w="292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Urologic</w:t>
            </w: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Pentoxifylline</w:t>
            </w:r>
          </w:p>
        </w:tc>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Injection</w:t>
            </w:r>
          </w:p>
        </w:tc>
        <w:tc>
          <w:tcPr>
            <w:tcW w:w="4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Peyronie’s disease and other fibrotic conditions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Historically, our business has focused on developing and commercializing our product candidate Impracor through the regulatory pathway provided by FDCA Section 505(b)(2). Impracor utilizes our patented Accudel topical cream formulation to deliver the API, ketoprofen, a non-steroidal anti-inflammatory drug (“NSAID”), through the skin directly into the underlying tissues where the drug exerts its localized anti-inflammatory and analgesic effects.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August 2013, we were notified by our contract manufacturer that placebo and active bulk batches that were to be used in a planned Phase 3 clinical trial of Impracor had demonstrated out of specification stability test results with respect to the placebo and decreasing stability test results with respect to Impracor, which we anticipate would likely have resulted in the materials being unusable for the duration of the planned Impracor clinical trial. Since that time, we have been evaluating our options with respect to the Impracor clinical program. As a result of our consideration of the totality of the circumstances surrounding Impracor, including these unexpected manufacturing and formulation issues, other strategic and competitive considerations related to the Impracor program, the optimal use of our capital and other resources, and other potential commercialization opportunities presented by other Imprimis owned drug assets and the use of alternative distribution channels, we have discontinued the previously planned Phase 3 study for Impracor. We are currently considering alternative strategies with respect to Impracor, including alternative clinical development and commercialization options. These alternatives may include reformulating Impracor and pursuing alternative development and commercialization strategies for Impracor. Alternative commercialization strategies could include utilizing distribution channels outside of the Section 505(b)(2) pathway, including licensing Impracor to compounding pharmacies or other facilities, to target specific patient groups.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next twelve months, we expect to further develop and commercialize a series of ophthalmic preparations, pursuing the commercialization of these assets through licenses to compounding pharmacies, physicians, surgical centers and other end-user healthcare providers. Within the next six months we expect to engage a pharmacy partner operating in compliance with current good manufacturing practices and hiring of additional personnel, including a commercialization team to assist with our out-licensing efforts.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jc w:val="both"/>
        <w:ind w:firstLine="648"/>
        <w:spacing w:after="0" w:line="271" w:lineRule="auto"/>
        <w:rPr>
          <w:sz w:val="20"/>
          <w:szCs w:val="20"/>
          <w:color w:val="auto"/>
        </w:rPr>
      </w:pPr>
      <w:r>
        <w:rPr>
          <w:rFonts w:ascii="Arial" w:cs="Arial" w:eastAsia="Arial" w:hAnsi="Arial"/>
          <w:sz w:val="17"/>
          <w:szCs w:val="17"/>
          <w:color w:val="auto"/>
        </w:rPr>
        <w:t>We expect our total expenditures over the next 12 months to be approximately $6.2 million, which is based on our current asset portfolio and our current expectations regarding their development progress. This 12 month expenditure estimate is a decrease of approximately $7.5 million compared to our previous planned expenditures to fund the Impracor Phase 3 trial. We have incurred recurring operating losses, have had negative operating cash flows and have not recognized any significant revenues since July 24, 1998 (inception). In addition, we have a deficit accumulated during the development stage of approximately $29.9 million at September 30, 2013. We have not generated commercial sales revenue from any of our product candidates and we will incur further losses through the 2013 fiscal year and beyond as we continue our development and commercialization efforts with respect to our potential product candidates. Our research and development activities are expected to increase over time, and we may require further capital resources to fund the continued operation of our business model for a long enough period to achieve profitable operations.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 limited operating history, and we may not be successful in our efforts to carry out our business plan. In the past we were unable to successfully pursue our business plan and continue our clinical trials due to a lack of funding. Despite the change in our commercialization strategy for our drug preparations, which may allow us to monetize our assets in a more near term manner than our prior strategy, given our operating history we may be unable to obtain additional funds when necessary, maintain an effective management team, or hire and retain further qualified individuals. As a result, we may be unable to successfully pursue our business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PCCA Strategic Alliance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February 18, 2013, we entered into a Strategic Alliance Agreement with PCCA. The Strategic Alliance Agreement provides that during its term, PCCA will not introduce any of PCCA’s members or customers meeting certain criteria (the “Member/Customers”) to any third party whereby such third party may license or otherwise acquire the intellectual property rights of such Member/Customer, without first presenting such an opportunity to us. PCCA may, but is not required to, present such opportunities to us, use reasonable efforts to facilitate an introductory meeting with the Member/Customer, and further provide certain key technical assistance to a potential development project associated with the Member/Customer’s intellectual property rights. In the event we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us as a result of the acquired intellectual property rights. The Strategic Alliance Agreement has a term of one year and will automatically extend for successive one year periods unless either party gives the other written notice of non-renewal.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Buderer Asset Purchase Agreement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June 11, 2013, we acquired intellectual property rights related to certain proprietary innovations from the compounding pharmacy operations of Buderer Drug Company, Inc. (“Buderer”) pursuant to an Asset Purchase Agreement (the “Buderer Agreement”) which was subsequently amended on October 21, 2013 (“Buderer Amendment”). In addition, we have a right of first refusal on additional Buderer intellectual property and drug development opportunities. The Buderer Agreement provides that Buderer will cooperate with us in obtaining patent protection for the acquired intellectual property and that we will use commercially reasonable efforts to research, develop and commercialize a product based on the acquired intellectual property.</w:t>
      </w:r>
    </w:p>
    <w:p>
      <w:pPr>
        <w:spacing w:after="0" w:line="158" w:lineRule="exact"/>
        <w:rPr>
          <w:sz w:val="20"/>
          <w:szCs w:val="20"/>
          <w:color w:val="auto"/>
        </w:rPr>
      </w:pPr>
    </w:p>
    <w:p>
      <w:pPr>
        <w:jc w:val="both"/>
        <w:ind w:firstLine="744"/>
        <w:spacing w:after="0" w:line="276" w:lineRule="auto"/>
        <w:rPr>
          <w:sz w:val="20"/>
          <w:szCs w:val="20"/>
          <w:color w:val="auto"/>
        </w:rPr>
      </w:pPr>
      <w:r>
        <w:rPr>
          <w:rFonts w:ascii="Arial" w:cs="Arial" w:eastAsia="Arial" w:hAnsi="Arial"/>
          <w:sz w:val="17"/>
          <w:szCs w:val="17"/>
          <w:color w:val="auto"/>
        </w:rPr>
        <w:t>In consideration for the acquisition, we are obligated to make the following payments to Buderer: (1) one payment payable within 30 days after the issuance of the first patent in the United States arising from the acquired intellectual property (if any); (2) one payment payable within 30 days after we file the first Investigational New Drug application (“IND”) with the FDA for the first product arising from the acquired intellectual property (if any); and (3) certain royalty payments based on the net receipts received by us in connection with the sale or licensing of any product based on the acquired intellectual property (if any), after deducting (among other things) our development costs associated with such product.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Buderer Amendment amends the circumstances under which Buderer may terminate the Buderer Agreement to provide that if following five years of the date of the Buderer Agreement we have not initiated any study where data is derived or we have failed to generate royalty payments to Buderer for any product based on the acquired intellectual property, Buderer may jointly terminate the Buderer Agreement and request that we re-assign the acquired technology to Buderer. The Buderer Amendment provides us with the ability to utilize a wider range of commercialization strategies with respect to the acquired technology.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Novel Drug Solutions and Eye Care Northwest Asset Purchase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August 8, 2013, we acquired intellectual property rights related to certain proprietary innovations from the compounding pharmacy operations of Novel Drug Solutions, LLC (“Novel”) and from Eye Care Northwest, Inc. (“ECN”) pursuant to an Asset Purchase Agreement (the “Novel/ECN Agreement”), which was subsequently amended on October 14, 2013 (the “Novel/ECN Amendment”). As part of this acquisition we have acquired intellectual property assets, including a provisional patent application related to injectable ophthalmological compositions having anti-bacterial and anti-inflammatory properties for the prevention of post-ophthalmic surgery complications. In addition, under the Novel/ECN Agreement, we have a right of first refusal on any of Novel’s or ECN’s additional intellectual property and drug development opportunities. The Novel/ECN Agreement provides that Novel and ECN will cooperate with us in obtaining patent protection for the acquired intellectual property, among other things, and that we will use commercially reasonable efforts to research, develop and commercialize a product based on the acquired intellectual property.</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consideration for the acquisition, we are obligated to make the following payments to the sellers: (1) one payment payable within 30 days after the issuance of the first patent in the United States arising from the acquired intellectual property (if any); (2) one payment payable within 30 days after we file the first IND with the FDA for the first product arising from the acquired intellectual property (if any); (3) one payment payable within 30 days after we file the first New Drug application with the FDA for the first product; and (4) certain royalty payments based on the net receipts received by us in connection with the sale or licensing of any product based on the acquired intellectual property (if any), after deducting (among other things) our development costs associated with such product.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Novel/ECN Amendment amends the circumstances under which Novel and ECN may terminate the Novel/ECN Agreement to provide that if following five years of the date of the Novel/ECN Agreement we have not initiated any study where data is derived or we have failed to generate royalty payments to Novel and ECN for any product based on the acquired intellectual property, Novel and ECN may jointly terminate the Novel/ECN Agreement and request that we re-assign the acquired technology to Novel and ECN. The Novel/ECN Amendment provides us with the ability to utilize a wider range of commercialization strategies with respect to the acquired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Asset Purchase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8, 2013, we acquired intellectual property rights related to certain proprietary innovations from the compounding pharmacy research and development operations of Novel pursuant to an Asset Purchase Agreement (the “Novel Agreement”). In connection with the acquisition, we were assigned a provisional patent application related to the use of epinephrine compositions for intraocular administration. We exercised our right of first refusal on Novel’s intellectual property and drug development opportunities under the Novel/ECN Agreement in making this acquisition. The Novel Agreement provides that Novel will cooperate with us in obtaining patent protection for the acquired intellectual property, among other things, and that we will use commercially reasonable efforts to research, develop and commercialize a product based on the acquired intellectual property.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consideration for the acquisition, we are obligated to make the following payments to Novel: (1) one payment payable within 30 days after the issuance of the first patent in the United States arising from the acquired intellectual property (if any); (2) one payment payable within 30 days after the Company files the first IND with the FDA for the first product arising from the acquired intellectual property (if any); (3) one payment payable within 30 days after we file the first New Drug Application with the FDA for the first product (if any); and (4) certain royalty payments based on the net receipts received by us in connection with the sale or licensing of any product based on the acquired intellectual property (if any), after deducting (among other things) our development costs associated with such product. If following five years of the date of the Novel Agreement we have either not filed an IND or failed to generate royalty payments to Novel for any product based on the acquired intellectual property, Novel may terminate the Agreement and request that we re-assign the acquired technology to Novel.</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22, 2013, we entered into an Amendment to the Novel Agreement (the “Novel Amendment”), which amends the Novel Agreement to expand the acquired assets to include compositions comprising one or more of epinephrine, Shugarcaine, phenylephrine, or lidocaine, in each case for use in the prevention or treatment of any disease, state or condition in humans. In connection with the Novel Amendment, we were assigned a provisional patent application related to pharmaceutical compositions, including those for ophthalmological applications, comprising epinephrine-based compounds, and to methods of preparing and using such compositions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most critical accounting policies and estimates that may materially impact our results of operations include: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All share-based payments to employees, including grants of employee stock options and restricted stock grants,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the consolidated financial statements are based upon their fair values. We use the Black-Scholes-Merton option pricing model and Monte Carlo Simulation to estimate the grant-date fair value of share-based awards.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accounting policy for equity instruments issued to consultants and vendors in exchange for goods and services follows the Financial Accounting Standards Board (the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consolidated balance sheets.</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must estimate our actual current tax liabilities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expenses all costs related to research and development as they are incurred.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consist of expenses incurred in performing research and development activities including salaries and benefits, and other overhead expenses, clinical trials, contract services and outsource contracts.</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Intellectual Property. </w:t>
      </w:r>
      <w:r>
        <w:rPr>
          <w:rFonts w:ascii="Arial" w:cs="Arial" w:eastAsia="Arial" w:hAnsi="Arial"/>
          <w:sz w:val="17"/>
          <w:szCs w:val="17"/>
          <w:color w:val="auto"/>
        </w:rPr>
        <w:t>The costs of acquiring intellectual property rights to be used in the research and development process, including licensing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milestone payments, are charged to research and development expense as incurred in situations where we have not identified an alternative future use for the acquired rights, and are capitalized in situations where it has identified an alternative future use. No costs associated with acquiring intellectual property rights have been capitalized to date. Costs of maintaining intellectual property rights are expensed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period to period comparisons of our financial results and our interim results are not necessarily indicative of future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and Nine months ended September 30, 2013, Compared to the Three and Nine months ended September 30,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three and nine months ended September 30, 2013 we recognized $2,500 and $7,500, respectively, in license revenues compared to $0 and $100,000 in license revenues recognized during the same periods in the prior year. The 2012 revenues were non-refundable royalty advances unrelated to product sales, paid to us in December 2010 and April 2011 relate to our license agreement with JH Direct, which provided JH Direct rights to our anti-cellulite cosmetic product. This agreement was terminated in January 2012, and we do not expect any other revenues to be recognized from it. Revenues recognized in 2013 are related to a license agreement we entered into with resolutionMD, LLC granting resolution MD, LLC rights to our Accudel delivery technology to be used for anti-cellulite formulations. We do not expect to recognize significant revenues from this license agreement during fiscal 2013.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corporate facility expenses, investor relations, consulting, insurance, filing fees, legal and accounting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selling,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Nine months ended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00" w:type="dxa"/>
            <w:vAlign w:val="bottom"/>
          </w:tcPr>
          <w:p>
            <w:pPr>
              <w:spacing w:after="0"/>
              <w:rPr>
                <w:sz w:val="20"/>
                <w:szCs w:val="20"/>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92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11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1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1,622,924</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946,381</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89"/>
              </w:rPr>
              <w:t>676,543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4,199,018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2,240,004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1,959,014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three and nine months ended September 30, 2013, there was an increase of $676,543 and $1,959,014, respectively, in selling, general and administrative expenses, as compared to the same periods in the prior year. The increase in selling, general and administrative expenses is largely attributable to the increase in our operations and activity during the nine months ended September 30, 2013 as compared to the same period in the prior year, and is primarily due to the hiring and compensation of additional personnel, including management and appointments to the Board of Directors, investor relations activities and consultants, and additional filing fees associated with the listing of our common stock on The NASDAQ Capital Market. The increase in personnel and investor relations costs are primarily associated with an increase of $177,110 and $630,159 in stock-based compensation for the three and nine months ended September 30, 2013, respectively, as compared to the same periods in the prior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research and development expenses primarily include expenses related to the development of assets acquired through the Strategic Alliance Agreement with PCCA and our Impracor clinical program, including costs for our contract research organization. Also included are personnel costs including wages and stock-based compensation, contract manufacturing, non-clinical studies, consulting and other costs related to the clinical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research and development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Nine months ended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276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9"/>
              </w:rPr>
              <w:t>September 30,</w:t>
            </w:r>
          </w:p>
        </w:tc>
        <w:tc>
          <w:tcPr>
            <w:tcW w:w="11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Variance</w:t>
            </w:r>
          </w:p>
        </w:tc>
        <w:tc>
          <w:tcPr>
            <w:tcW w:w="1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Variance</w:t>
            </w:r>
          </w:p>
        </w:tc>
      </w:tr>
      <w:tr>
        <w:trPr>
          <w:trHeight w:val="216"/>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469,480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303,666</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165,814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1,601,927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1,021,687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and nine months ended September 30, 2013, there was an increase of $165,814 and $1,021,687, respectively, in research and development expense as compared to the same periods in the prior year. The increase was primarily related to the planning and development of our Impracor clinical program, and the hiring and compensation of additional personnel. The increase in personnel and consultant costs is primarily associated with an increase of $47,425 and $194,722 in stock-based compensation for the three and nine months ended September 30, 2013, respectively, as compared to the same periods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expense was $0 for the three and nine months ended September 30, 2013, compared to $0 and $24,658 for the same periods in the prior year. The 10% promissory notes with principal balances of $750,000 issued under a line of credit agreement accounted for $0 and $12,535 of interest expense during the three and nine months ended September 30, 2012, respectively. A 7.5% convertible note with a principal balance of $1,000,000, issued in April 2010 accounted for $0 and $12,123 of interest expense during the three and nine months ended September 30, 2012, respectively. As described in more detail under “Loss on Extinguishment of Debt” below, the entire principal balances and all accrued and unpaid interest under these notes was converted into shares of our common stock on February 28, 2012.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Interest Income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income was $12,440 and $32,448 for the three and nine months ended September 30, 2013, respectively, compared to $4,221 and $9,805 for the three and nine months ended September 30, 2012, respectively. The increase was due to a higher average cash balance during the three and nine months ended September 30, 2013 as compared to the same period in the prior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January 25, 2012, the Company entered into separate waiver and settlement agreements with Alexej Ladonnikov, the holder of 20% of a 7.5% Convertible Note (the “Note”) and DermaStar International, LLC (“DermaStar”), the holder of 80% of the Note. Pursuant to the terms of a waiver agreement, Mr. Ladonnikov and the Company agreed to the mandatory conversion of the twenty percent (20%) of the principal and accrued and unpaid interest of the Note held by Mr. Ladonnikov into the common stock of the Company at a conversion price of $0.60, at such time as the Company had a sufficient number of authorized common shares to effect such a conversion. Additionally, Mr. Ladonnikov agreed to make a one-time payment to the Company of $50,000 at the time of such conversion. On February 28, 2012, we received payment of $50,000 and issued 380,867 common shares to Mr. Ladonnikov as payment in full for his 20% ownership of the Note ($200,000) and its related accrued interest ($28,521). We determined this was a substantial modification to the debt instruments and applied debt extinguishment accounting to record a loss on extinguishment of debt of $150,000 ($200,000 Note principal balance less $50,000 cash payment) for the nine months ended September 30, 2012.</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and DermaStar agreed to the mandatory conversion of the 80% of the principal and accrued and unpaid interest of the Note held by DermaStar into the common stock of the Company at a conversion price of $0.6667 (“DermaStar Conversion Price”), at such time as the Company had a sufficient number of authorized common shares to effect such a conversion. Additionally, DermaStar agreed to a mandatory conversion of an additional $56,087 in accounts payable of the Company (“AP Conversion”) held by DermaStar, at such time as the Company had a sufficient number of authorized common shares and was able to convert the Note. The AP Conversion was made at the DermaStar Conversion Price. On February 28, 2012, we issued 1,454,962 common shares to DermaStar as payment in full for their 80% ownership of the Note ($800,000), its related accrued interest ($114,082) and $56,087 in accounts payable. We determined this was a substantial modification to the debt instrument and applied debt extinguishment accounting to record a loss on extinguishment of debt of $856,087 for the nine months ended September 30, 2012.</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April 20, 2012, DermaStar agreed to convert the promissory notes issued under a line of credit agreement and their related accrued interest, totaling $762,534, into 190,047 shares of our common stock and a related warrant to purchase up to an additional 48,262 shares of our common stock at an exercise price of $5.925 per share. We determined this to be a substantial modification to the debt instrument and applied debt extinguishment accounting to record a loss on extinguishment of debt of $189,323 for the nine months ended September 30,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loss attributable to common stockholders for the three and nine months ended September 30, 2013 was $(2,077,464), and $(5,760,997), respectively, or $(0.23) and $(0.67), respectively, per basic and diluted share, compared to a net loss attributable to common stockholders for the three and nine months ended September 30, 2012 of $(1,245,826) and $(4,130,507), respectively, or $(0.20) and $(1.11), respectively, per basic and diluted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cash on hand at September 30, 2013 was $16,827,617 as compared to $10,990,871 at September 30, 2012. The increase in cash on hand is primarily attributable to approximately $9,460,000 in net proceeds received by us in connection with the closing of an underwritten public offering of our common stock in February 2013, as well as the underwriter’s exercise of its over-allotment option in March 2013. Since inception through September 30, 2013, we have incurred aggregate losses to common stockholders of approximately $(29,900,000). These losses are primarily due to selling, general and administrative and research and development expenses incurred in connection with developing and seeking regulatory approval for our drug candidate, Impracor. We expect our total expenditures over the next 12 months to be approximately $6.2 million, which is based on our current asset portfolio and our current expectations regarding their development progress. Historically, our operations have been financed through capital contributions and debt and equity financings.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225" w:lineRule="exact"/>
        <w:rPr>
          <w:sz w:val="20"/>
          <w:szCs w:val="20"/>
          <w:color w:val="auto"/>
        </w:rPr>
      </w:pPr>
    </w:p>
    <w:p>
      <w:pPr>
        <w:jc w:val="both"/>
        <w:ind w:firstLine="694"/>
        <w:spacing w:after="0" w:line="264" w:lineRule="auto"/>
        <w:rPr>
          <w:sz w:val="20"/>
          <w:szCs w:val="20"/>
          <w:color w:val="auto"/>
        </w:rPr>
      </w:pPr>
      <w:r>
        <w:rPr>
          <w:rFonts w:ascii="Arial" w:cs="Arial" w:eastAsia="Arial" w:hAnsi="Arial"/>
          <w:sz w:val="18"/>
          <w:szCs w:val="18"/>
          <w:color w:val="auto"/>
        </w:rPr>
        <w:t>On February 13, 2013 and March 14, 2013 we issued and sold in aggregate 2,116,000 shares of common stock at a per share purchase price of $5.25 in a public offering of our common stock and subsequent exercise of the underwriter’s over-allotment option, for aggregate net proceeds to us of approximately $9,460,000 after deducting certain offering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The table below provides detailed information about our net cash flow for the nine months ended September 30, 2013 and 2012.</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5"/>
          </w:tcPr>
          <w:p>
            <w:pPr>
              <w:ind w:left="880"/>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(3,200,159)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(1,287,127)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6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10,052,641</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12,147,146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6,792,002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10,844,711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10,035,615</w:t>
            </w:r>
          </w:p>
        </w:tc>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146,160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560" w:type="dxa"/>
            <w:vAlign w:val="bottom"/>
            <w:gridSpan w:val="2"/>
          </w:tcPr>
          <w:p>
            <w:pPr>
              <w:spacing w:after="0" w:line="203" w:lineRule="exact"/>
              <w:rPr>
                <w:sz w:val="20"/>
                <w:szCs w:val="20"/>
                <w:color w:val="auto"/>
              </w:rPr>
            </w:pPr>
            <w:r>
              <w:rPr>
                <w:rFonts w:ascii="Arial" w:cs="Arial" w:eastAsia="Arial" w:hAnsi="Arial"/>
                <w:sz w:val="18"/>
                <w:szCs w:val="18"/>
                <w:color w:val="auto"/>
              </w:rPr>
              <w:t>Cash and Cash Equivalents at End of the Period</w:t>
            </w:r>
          </w:p>
        </w:tc>
        <w:tc>
          <w:tcPr>
            <w:tcW w:w="16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16,827,617</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10,990,871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was $(3,200,159) for the nine months ended September 30, 2013, as compared to $(1,287,127) used in operating activities during the same period for the prior year. The increase in net cash used in operating activities was mainly due to costs associated with resuming the operation of our business, including hiring additional employees, and the planning, development and preparation of our Impracor clinical program and Phase 3 trials.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for the nine months ended September 30, 2013 and 2012 was $(60,480) and $(15,308), respectively. The increase in investing activities during the nine months ended September 30, 2013 was due primarily to the purchase of a certificate of deposit required as collateral in connection with the Company’s corporate credit card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financing activities for the nine months ended September 30, 2013 and 2012 was $10,052,641 and $12,147,146, respectively. The cash provided by financing activities during the nine months ended September 30, 2013 is primarily attributable to aggregate proceeds received in February and March 2013 from the public offering and over-allotment exercise described above. We incurred offering costs of $596,281 in fiscal 2012 in connection with the public offering which were offset against the proceeds received in fiscal 2013. During the nine months ended September 2012, we received aggregate net proceeds of approximately $11,847,000 from the issuance of common stock and warrants in private offerings to accredited investors in April and August 2012.</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to use our current cash position to pursue our business plan, including the development and commercialization of our current assets, to pursue future asset acquisitions, and to otherwise fund our operations. If we are not able to generate significant revenues and attain profitable operations, we will need to seek additional financing, including equity or debt financing, funding from a corporate partnership or licensing arrangement or any similar financing. In addition, estimates of our operating expenses and working capital requirements could be incorrect, and we could be required to seek additional financing earlier than we anticipate.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expect to require additional funds in order to commercialize our compounded drug formulations, as well as conduct any clinical trials and other studies that may be required to obtain FDA regulatory approval to market our product candidates, to pursue additional pharmaceutical development programs and to explore other co-development opportunities. If adequate financing is not available, we may not be able to develop and commercialize our current or any future product candidates.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seek funds from equity or debt financings, corporate partnerships, or licensing arrangements, or any other similar financing. Any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on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jc w:val="both"/>
        <w:ind w:firstLine="648"/>
        <w:spacing w:after="0" w:line="255" w:lineRule="auto"/>
        <w:rPr>
          <w:sz w:val="20"/>
          <w:szCs w:val="20"/>
          <w:color w:val="auto"/>
        </w:rPr>
      </w:pPr>
      <w:r>
        <w:rPr>
          <w:rFonts w:ascii="Arial" w:cs="Arial" w:eastAsia="Arial" w:hAnsi="Arial"/>
          <w:sz w:val="18"/>
          <w:szCs w:val="18"/>
          <w:color w:val="auto"/>
        </w:rPr>
        <w:t>We may be unable to obtain financing when necessary as a result of, among other things, general economic conditions and conditions in the pharmaceuticals industry, or as a result of our operating history, including our past bankruptcy proceedings. In addition, the fact that we are not and have never been profitable could further impact the availability or cost of future financings. As a result, there is no assurance that sufficient funds will be available when needed from any source or, if available, will be available on terms that are acceptable to us. If we are unable to raise funds to satisfy our capital needs on a timely basis, then we may not be able to obtain regulatory approval to market Impracor or develop any additional products or otherwise pursue our business plan, and we may be required to cease operations.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the date of this Quarterly Report, management believes we have sufficient cash reserves to support our operating plan and fund operating cash flow requirements through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2013, the FASB issued Accounting Standards Update (“ASU”) No. 2013-11, “Presentation of an Unrecognized Tax Benefit When a Net Operating Loss Carryforward, a Similar Tax Loss, or a Tax Credit Carryforward Exists.” ASU 2013-11 provides explicit guidance on the financial statement presentation of an unrecognized tax benefit when a net operating loss carryforward, a similar tax loss, or a tax credit carryforward exists. The guidance is effective prospectively for fiscal years, and interim periods within those years, beginning after December 15, 2013, with an option for early adoption. The Company intends to adopt this guidance at the beginning of its first quarter of fiscal year 2014, and is currently evaluating the impact on its financial statements and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exposed to market risks related to changes in interest rates. The primary objective of our investments in securities is to preserve principal. We do not purchase financial instruments for trading purposes. Our investment portfolio consists primarily of cash invested in money market funds. We classify our short-term restricted investment, which is a certificate of deposit as of September 30, 2013 as held-to-maturity. This held-to-maturity investment is subject to interest rate risk. Based on our current low yield, any decrease in interest rates is not likely to have a material effect on interest income.</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2013, approximately $15,500,000 of our cash and cash equivalents was maintained in money market funds. At times, deposits held with the financial institutions may exceed the amount of insurance provided by the Federal Deposit Insurance Corporation (“FDIC”), which provides deposit coverage with limits up to $250,000 per owner. At September 30, 2013, such uninsured deposits totaled approximately $16,600,000. Generally, these deposits may be redeemed upon demand and, therefore, are believed to bear minimal risk.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and cash equivalents. However, we seek to mitigate the risk related to cash and cash equivalents by placing our cash and cash equivalents in money market funds and at financial institutions of high credit 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(the “Exchange Act”) is recorded, processed, summarized and reported within the time periods specified in the Securities and Exchange Commission (the “SEC’s”) rules and forms, and that such information is accumulated and communicated to our management, including our principal executive officer and principal financial officer, as appropriate, to allow for timely decisions regarding required disclosure.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jc w:val="both"/>
        <w:ind w:firstLine="648"/>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they existed on September 30, 2013. Based on this evaluation, our principal executive officer and principal financial officer have concluded that our disclosure controls and procedures were effective to achieve their stated purpose as of September 30, 2013, the end of the period covered by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third quarter ended September 30, 2013,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aware of any pending legal proceedings to which we are a party or of which any of our property is subject the adverse outcome of which, individually or in the aggregate, would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report and our other filings with the SEC. Our business, financial condition, results of operations and stock price could be materially adversely affected by any of these risks. Additional risks and uncertainties not presently known to us or that we currently deem immaterial may also affect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generate revenue or become profitable.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incurred losses in every year of our operations, including net losses of $(5,383,535) and $(953,936) for the years ended December 31, 2012 and 2011, respectively. As of September 30, 2013, our deficit accumulated during the development stage was $(29,865,265). 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December 8, 2011, the Bankruptcy Court entered an order dismissing the Chapter 11 Case following our entry into a line of credit agreement and securities purchase agreement with DermaStar International, LLC.</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expect to incur increasing operating losses for the foreseeable future as we continue to incur costs for research and development and commercialization activities. Our ability to generate revenue and achieve profitability depends upon our ability, alone or with others, to complete the development of our proposed products, obtain the required regulatory approvals and prepare, market and sell our proposed products. Development is costly and requires significant investment.</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not commercialized any product candidate and our ability to generate revenues from any of our product candidates will depend on a number of factors, including our ability to satisfy applicable regulatory requirements, identify appropriate distribution channels, enter into arrangements with third parties, and market and distribute any of our product candidates. In addition, we will be subject to the risk that the marketplace will not accept our products. Our ultimate success will depend on many factors. We may never successfully commercialize or achieve and sustain market acceptance of any of our product candidates, or reach the level of sales and revenues necessary to achieve and sustain profitability.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commercialize certain of our potential product candidates primarily through licensing arrangements with compounding pharmacies, physicians and other healthcare delivery organizations, and this strategy may not be successful.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commercialize certain of our potential product candidates, including our ophthalmic sterile injectable compositions, primarily through licensing arrangements with compounding pharmacies, physicians and other healthcare delivery organizations. Our product candidates are comprised of active pharmaceutical ingredients (“APIs”) that are components of drugs that have received marketing approval from the US Food and Drug Administration (the “FDA”), although our proprietary formulations have not received FDA approval. This licensing strategy would not require that we obtain FDA approval to sell and market our compounded formulations, and would result in substantially lower up-front development costs, as compared to pursuing FDA approval of a formulation utilizing the Section 505(b)(2) pathway.</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we choose to commercialize our product candidates through licensing to compounding pharmacies and physicians or other healthcare organizations, their marketing and sale is subject to and must comply with state and federal rules and regulations governing compounding pharmacies. These rules and regulations include, among other things, restrictions on compounding in advance of a patient-specific prescription, distributing compounded formulations across state lines and wholesaling or reselling. These and other restrictions on the activities of compounding pharmacies may significantly limit the extent of the market available to us utilizing this distribution channel, as compared to the market available for FDA-approved drugs. In general, pharmaceutical companies typically sell most of their products to large pharmaceutical wholesalers, who in turn sell to and supply hospitals and retail pharmacies. This distribution channel is not available to formulations prepared by compounding pharmacies.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jc w:val="both"/>
        <w:ind w:firstLine="648"/>
        <w:spacing w:after="0" w:line="290" w:lineRule="auto"/>
        <w:rPr>
          <w:sz w:val="20"/>
          <w:szCs w:val="20"/>
          <w:color w:val="auto"/>
        </w:rPr>
      </w:pPr>
      <w:r>
        <w:rPr>
          <w:rFonts w:ascii="Arial" w:cs="Arial" w:eastAsia="Arial" w:hAnsi="Arial"/>
          <w:sz w:val="16"/>
          <w:szCs w:val="16"/>
          <w:color w:val="auto"/>
        </w:rPr>
        <w:t>Certain compounding pharmacies have been the subject of widespread negative media coverage in recent months, and the actions of a small number of pharmacies have resulted in increasing scrutiny of compounding pharmacy activities from federal and state governmental agencies. As a result, physicians may be unwilling to prescribe a compounded formulation when an FDA-approved alternative is available, even if they believed the compounded formulation to be superior and less expensive. If significant adverse events or deaths were associated with the use of one of our licensed compounds or with any other compound prepared by one of our pharmacy partners, or any compounds prepared by one of our pharmacy partners were to be recalled, either voluntarily or by the FDA, physicians may be unwilling to use our compounds or partner pharmacies and our business would be seriously adversely impacted. Although we expect to require our pharmacy partners to comply with high standards for manufacturing quality and quality assurance, including relevant laboratory batch and lot testing prior to the delivery of our products, we cannot ensure that they will comply with such requirements.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 experience commercialization our formulations through licensing arrangements with compounding pharmacies, physicians and other healthcare delivery organizations. We may be unable to enter into agreements on terms that are acceptable to us, or at all. In addition to the other risks we identify elsewhere in these Risk Factors, we may experience unanticipated difficulties implementing this strategy, including difficulties that arise as a result of our lack of experience in this area. Even if we are successful, we may be unable to generate sufficient revenue to recover our costs.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currently considering alternative development and commercialization pathways for Impracor, and the pathway we pursue may not be successful.</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Historically, our business has focused on developing and commercializing our product candidate Impracor through the Section 505(b)(2) regulatory pathway. In August 2013, we were notified by our contract manufacturer that placebo and active bulk batches that were to be used in a planned Phase 3 clinical trial of Impracor had demonstrated out of specification stability test results with respect to the placebo and decreasing stability test results for Impracor, which we believe would likely have resulted in the materials being unusable for the duration of the planned Impracor clinical trial. Since that time, we have been evaluating our options with respect to the Impracor clinical program. As a result of our consideration of the totality of circumstances surrounding Impracor, including these unexpected manufacturing and formulation issues, other strategic and competitive considerations related to the Impracor program, the optimal use of our capital and other resources and other potential commercialization opportunities, we have discontinued the previously planned Phase 3 study for Impracor. We are currently considering alternative strategies with respect to Impracor, including reformulating Impracor and pursuing alternative development and commercialization strategies for Impracor. Alternative commercialization strategies could include utilizing distribution channels outside of the Section 505(b)(2) pathway, including licensing Impracor to compounding pharmacies or other facilities, to target specific patient groups. Even if we select a successful commercialization pathway for Impracor, we may never achieve market acceptance of Impracor, or reach the level of sales and revenues necessary to recover our costs associated with the Impracor development program.</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we choose to resume our previously planned Phase 3 study for Impracor, or otherwise pursue clinical approval for Impracor utilizing the Section 505(b)(2) regulatory pathway, we would continue to incur significant costs associated with this clinical program in addition to those committed to our other product development opportunities. We may be unable to demonstrate the safety and efficacy of Impracor or obtain FDA regulatory approval to market and sell Impracor. Even if we were to obtain FDA approval to market and sell Impracor, our marketing and selling efforts may not be successful and we may not recoup the costs associated with this development program. Reformulation of Impracor would result in additional delays and associated costs. Depending on the extent of any reformulation, we could be required to conduct new pharmacokinetics and toxicity studies, which would significantly increase the costs associated with the clinical program. Because our patent protection for Impracor expires in 2016, we would likely be limited to three years of market exclusivity for Impracor before becoming subject to generic competition. If Impracor were to receive FDA approval, we would experience significant competition from other FDA-approved topical and oral NSAIDs, as well as compounded formulations prepared by compounding pharmacies. In addition, the resources required to pursue the Impracor clinical program may result in under- or un-funding our other development opportunities.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jc w:val="both"/>
        <w:ind w:firstLine="648"/>
        <w:spacing w:after="0" w:line="270" w:lineRule="auto"/>
        <w:rPr>
          <w:sz w:val="20"/>
          <w:szCs w:val="20"/>
          <w:color w:val="auto"/>
        </w:rPr>
      </w:pPr>
      <w:r>
        <w:rPr>
          <w:rFonts w:ascii="Arial" w:cs="Arial" w:eastAsia="Arial" w:hAnsi="Arial"/>
          <w:sz w:val="17"/>
          <w:szCs w:val="17"/>
          <w:color w:val="auto"/>
        </w:rPr>
        <w:t>If we choose to commercialize Impracor through licensing to compounding pharmacies, physicians and other healthcare delivery organizations, we would be subject to the risks related to that commercialization strategy, which we describe elsewhere in these risk factors. The market for our Impracor formulation would be limited to those markets served by compounding pharmacies and we would be unlikely to have the same level of market penetration as we would with FDA-approved version of Impracor. In addition, we may have difficulty competing with FDA-approved topical NSAIDS, as physicians may be less likely to prescribe a compounded formulation when an FDA-approved alternative was available, even if they believed our formulation was superior. Our formulation would also be competing with other topical NSAID formulations already prepared by compounding pharmacies, including some that are substantially the same as Impracor and may violate our patent rights. However, if we were to assert our patent rights against these pharmacies, we could jeopardize our relationships with PCCA and the compounding pharmacies with whom we partner in our other product development efforts. As a result, we may receive only limited revenue from this distribution channel.</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receive significant licensing revenue through our arrangements with compounding pharmacies, physicians and other healthcare delivery organization to fund our operations and recover our development costs.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plan with respect to certain of our formulations involves the licensing of our intellectual property related to these formulations to compounding pharmacies, physicians and other healthcare delivery organizations. We expect these licensing arrangements to permit the physician to prescribe and administer the licensed formulation and the pharmacy to compound the formulation for use by the physician. We are in the processing of establishing an internal sales force to pursue these licensing opportunities and to drive demand for our formulations. Our sales force may have difficulty driving demand for our formulations with physicians and healthcare organizations. Because any of our formulations being commercialized through a compounding pharmacy distribution model will not have gone through the FDA approval process, we will have only limited data, if any, with respect to the safety and efficacy of our formulations for any particular indication. This may make it difficult to generate interest in our formulations. Our sales force may be unable to enter into a sufficient number of arrangements with physicians and healthcare organizations to generate significant licensing revenue for us. In addition, we would be substantially dependent on our pharmacy partners to compound and sell our formulations in sufficient volumes to accommodate the number of prescriptions they receive. We may be unable to enter into agreements with pharmacies of sufficient size, reputation and quality to implement our business plan, and our pharmacy partners may be unable to compound our formulations successfully. If physicians and healthcare organizations were to request our formulations in quantities our pharmacy partners are unable to fill, our business would suffer.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our total expenditures over the next 12 months to be approximately $6.2 million, which is based on our current asset portfolio and our current expectations regarding their development progress. Our projections have varied significantly over the past year as a result of changes to the Impracor clinical program and our acquisition of additional product development opportunities. We may be unable to correctly estimate the amount of cash necessary to fund our business, and we could spend our available financial resources much faster than we currently expect. If we do not have sufficient funds to continue to operate and develop our business, we could be required to seek additional financing earlier than we expect or be forced to delay, scale back or eliminate some or all of our proposed operations.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operating expenses may fluctuate significantly in the future as a result of a variety of factors, some of which are outside of our control. These factors include, among other things:</w:t>
      </w:r>
    </w:p>
    <w:p>
      <w:pPr>
        <w:spacing w:after="0" w:line="170" w:lineRule="exact"/>
        <w:rPr>
          <w:sz w:val="20"/>
          <w:szCs w:val="20"/>
          <w:color w:val="auto"/>
        </w:rPr>
      </w:pPr>
    </w:p>
    <w:p>
      <w:pPr>
        <w:ind w:left="900" w:hanging="231"/>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time and resources required to research and develop potential product candidates and pursue potential acquisition and licensing opportunities;</w:t>
      </w:r>
    </w:p>
    <w:p>
      <w:pPr>
        <w:spacing w:after="0" w:line="275" w:lineRule="exact"/>
        <w:rPr>
          <w:rFonts w:ascii="Arial" w:cs="Arial" w:eastAsia="Arial" w:hAnsi="Arial"/>
          <w:sz w:val="16"/>
          <w:szCs w:val="16"/>
          <w:color w:val="auto"/>
        </w:rPr>
      </w:pPr>
    </w:p>
    <w:p>
      <w:pPr>
        <w:ind w:left="900" w:hanging="231"/>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related to attracting and retaining personnel with the skills required for effective operations;</w:t>
      </w:r>
    </w:p>
    <w:p>
      <w:pPr>
        <w:spacing w:after="0" w:line="252" w:lineRule="exact"/>
        <w:rPr>
          <w:rFonts w:ascii="Arial" w:cs="Arial" w:eastAsia="Arial" w:hAnsi="Arial"/>
          <w:sz w:val="18"/>
          <w:szCs w:val="18"/>
          <w:color w:val="auto"/>
        </w:rPr>
      </w:pPr>
    </w:p>
    <w:p>
      <w:pPr>
        <w:ind w:left="900" w:hanging="231"/>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and resources required to conduct clinical trials and obtain regulatory approvals for any potential product candidate we may choose to commercialize using a Section 502(b) pathway; and</w:t>
      </w:r>
    </w:p>
    <w:p>
      <w:pPr>
        <w:spacing w:after="0" w:line="197" w:lineRule="exact"/>
        <w:rPr>
          <w:rFonts w:ascii="Arial" w:cs="Arial" w:eastAsia="Arial" w:hAnsi="Arial"/>
          <w:sz w:val="18"/>
          <w:szCs w:val="18"/>
          <w:color w:val="auto"/>
        </w:rPr>
      </w:pPr>
    </w:p>
    <w:p>
      <w:pPr>
        <w:ind w:left="900" w:hanging="231"/>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jc w:val="both"/>
        <w:ind w:firstLine="717"/>
        <w:spacing w:after="0" w:line="277" w:lineRule="auto"/>
        <w:rPr>
          <w:sz w:val="20"/>
          <w:szCs w:val="20"/>
          <w:color w:val="auto"/>
        </w:rPr>
      </w:pPr>
      <w:r>
        <w:rPr>
          <w:rFonts w:ascii="Arial" w:cs="Arial" w:eastAsia="Arial" w:hAnsi="Arial"/>
          <w:sz w:val="18"/>
          <w:szCs w:val="18"/>
          <w:color w:val="auto"/>
        </w:rPr>
        <w:t>If we do not have sufficient funds to continue to develop our business, we will be forced to delay, scale back or eliminate some or all of our proposed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depends on our ability to identify and acquire product development assets. If we do not successfully identify and acquire rights to potential products and successfully integrate them into our operations, our growth opportunities may be limited.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plan to conduct basic research or pre-clinical product development. We do not have an internal research and development team and rely on third parties to assist us with assessing potential acquisitions and licensing opportunities, as well as conducting research and development on both potential acquisitions and existing product candidates. Under our Strategic Alliance Agreement with PCCA, PCCA may refer us to PCCA member pharmacies or customers with potential development opportunities, in exchange for certain recovery fees and commissions. We have entered into three asset purchase agreements for product development opportunities since May 2013 as a result of these referrals. The Strategic Alliance Agreement has an initial termination date of February 18, 2014 and automatically extends for successive one year periods unless either party provides 30 day prior written notice of non-renewal. If PCCA were to terminate the Strategic Alliance Agreement, it could have a significant impact on our ability to identify and acquire additional product development opportunities.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limited resources to acquire additional assets and integrate them into our business. Acquisition opportunities may involve competition among several potential purchasers including large multi-national pharmaceutical companies and other competitors that have access to greater financial resources than we do. With future acquisitions, we may face financial and operational risks and uncertainties. We may not be able to engage in future product acquisitions, and those we do complete may not be beneficial to us in the long term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PCCA, compounding pharmacies, physicians and other consultants and advisors provide us with significant assistance in our evaluation of product development opportunities. These third parties generally engage in other business activities and may not devote sufficient time and attention to our research and development activities. If these third parties were to terminate their relationships with us, we may be unable to find other, equally qualified consultants and advisors on commercially reasonable terms or at all, and we may have significant difficulty evaluating potential opportunities and developing and commercializing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develop and commercialize our formulations, or develop and commercialize any other assets we may acquire.</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future results of operations will depend to a significant extent upon our ability to successfully develop and commercialize in a timely manner any of the assets we have acquired or will acquire rights to, whether through our relationship with PCCA or with other third parties. We have entered into three asset purchase agreements for assets related to compoundable formulations since May 2013. We are currently pursuing development and commercialization opportunities with respect to certain ophthalmic injectable compounds and we are in the process of assessing certain other assets in order to determine whether or not to pursue development or commercialization. In addition, we expect to consider the acquisition of additional intellectual property in the future. There are numerous difficulties inherent in acquiring, developing and commercializing new formulations and product candidates, including the risks identified elsewhere in these Risk Factors.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Once we determine which potential product candidates to pursue, we assess the commercialization strategy with respect to product candidate. We may incorrectly assess the risks and benefits of our commercialization options with respect to one or more product candidates, and we may not pursue a successful commercialization strategy. If we determined that the most appropriate commercialization strategy for that product candidate is through an FDA-approval process, we will be required to satisfy a number of FDA requirements both prior to commencing clinical trials and in connection with those trials. These requirements will require substantial time, effort and financial resources. We may never satisfy these requirements. In addition, prior to commencing any trials of a drug candidate, we must evaluate whether a market exists for the drug candidate. This is costly and time consuming, and any market studies we rely on may not be accurate. We may expend significant capital and other resources on a potential product candidate and find that no commercial market exists for the drug.</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determine that the most appropriate commercialization strategy for a formulation is through licensing to compounding pharmacies, physicians and healthcare organizations, we will be required to devote substantial efforts to pursuing this strategy. We may not be able to enter into agreements with these entities on acceptable terms, or at all. Any arrangements we do enter into may not result in sufficient licensing revenue to operate our business or recover our costs associated with our development programs.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jc w:val="both"/>
        <w:ind w:firstLine="648"/>
        <w:spacing w:after="0" w:line="257" w:lineRule="auto"/>
        <w:rPr>
          <w:sz w:val="20"/>
          <w:szCs w:val="20"/>
          <w:color w:val="auto"/>
        </w:rPr>
      </w:pPr>
      <w:r>
        <w:rPr>
          <w:rFonts w:ascii="Arial" w:cs="Arial" w:eastAsia="Arial" w:hAnsi="Arial"/>
          <w:sz w:val="18"/>
          <w:szCs w:val="18"/>
          <w:color w:val="auto"/>
        </w:rPr>
        <w:t>If we do not acquire or develop product candidates, any of our product candidates are not approved in a timely fashion or at all or, when acquired or developed and approved, cannot be successfully manufactured and commercialized, our operating results would be adversely affected. In addition, we may not recoup our investment in developing products, even if we are successful in commercializing those products. Our business expenditures may not result in the successful acquisition, development or commercialization of products that will prove to be commercially successful or result in the long-term profitability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need additional capital in order to continue operating our business, and such additional funds may not be available on acceptable terms or at all.</w:t>
      </w:r>
    </w:p>
    <w:p>
      <w:pPr>
        <w:spacing w:after="0" w:line="2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generate any cash from operations and, although we believe we have sufficient cash reserves to execute our business plan for at least the next twelve months, we may need significant additional capital to execute our business plan and fund our proposed business operations. In addition, if we choose to pursue acquisitions or other strategic transactions we may be required to raise additional capital to fund these dealings. We may seek to raise additional capital through, among other things, public and private equity offerings and debt financings. If we are unable to raise additional capital when necessary, we may be required to forego pursuing potentially valuable product development opportunities and reduce our expenses and cash expenditures to a material extent, which would impair or delay our ability to execute our business plan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$21.4 million in funds through equity financings since April 2012. To the extent we require additional capital, we may fund our operations through additional equity and debt financings, and could also pursue funding from corporate partnerships or licensing arrangements or similar financings. If additional capital is not available when necessary, we may not be able to continue to operate our business pursuant to our business plan or we may have to discontinue our operations entirely. 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incur additional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are able to market and sell our potential product candidates, our efforts may not be successful and we may not recoup the costs associated with our development programs.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if we are legally permitted to market and sell our product candidates, the market may not accept our products, or the market may be smaller than we anticipate. A number of factors may limit the market acceptance of our products, including the timing of market entry relative to competitive products, the availability of alternative products, the price of our products relative to alternative products, the availability of third party reimbursement and the success of our sales and marketing efforts, either internally or by third party distributors or agents that we retain. We may have difficulty marketing and selling any products we commercialize through licensing to compounding pharmacies as a result of concerns regarding, among other things, safety concerns with respect to compounded formulations in general and our formulations in particular, lack of clinical data regarding their efficacy, and competition from FDA-approved drugs or other compounded formulations.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products may not receive market acceptance in a commercially viable period of time, if at all. We cannot be certain that any investment made in developing our product candidates will be recovered.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plan to build an internal sales and marketing infrastructure to implement our business plan with respect to product candidates that we expect to commercialize through licenses to compounding pharmacies, physicians and healthcare organizations. We may also engage third parties to provide sales and marketing services for us. We may not be able to secure sales personnel or organizations that are adequate in number or expertise to successfully market and sell our products. If we are unable to establish our sales and marketing capability, train our sales force effectively or provide any other capabilities necessary to commercialize our formulations, we will need to contract with third parties to market and sell our products. In addition, we must train our employees on proper regulatory compliance. If we are unable to establish and maintain compliant and adequate sales and marketing capabilities, we may have regulatory compliance issues, and we may be unable to sell our products or generate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obtain rights to any product candidates or receive any benefits under our License Agreement with PCCA.</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expect to utilize our relationship with PCCA to identify development opportunities where we perceive an unmet need for a new drug product, and thereby facilitate our future selection, formulation and development of potential product candidates. Under our License Agreement with PCCA, PCCA has granted to us certain exclusive rights to PCCA’s proprietary formulations, other technologies and data, and we have agreed to pay to PCCA certain royalties on net sales relating to the sale of certain future products. PCCA may terminate the License Agreement if we fail to commence efforts to research and develop at least one product opportunity provided to us by PCCA by February 29, 2016. Our rights under the License Agreement apply to development and commercialization opportunities within the prescription drug field and do not apply to compounding pharmacy activities. We may not be able to meet the requirements of the License Agreement within the required time periods or at all, and our relationship with PCCA could be terminated. If we do commence clinical trials of any potential product candidates we obtain through PCCA, such product candidates may never be approved by the FDA. Even if we do develop and obtain approval to market and sell such product candidates, we may be unable to compete against the many products and treatments currently being offered or under development by other established, well-known and well-financed health care and pharmaceutical companies.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demonstrate the safety and efficacy or obtain FDA regulatory approval to market and sell any product candidates for which we seek FDA approval.</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process of obtaining FDA approval to market and sell pharmaceutical products is costly, time consuming, uncertain and subject to unanticipated delays. Our primary product candidate, Impracor, has not been approved for sale by the FDA or the regulatory authorities of any other country. In addition, we have acquired intellectual property related to a number of other potential product candidates and are currently assessing whether or not to pursue FDA approval for one or more potential product candidates. The FDA or other regulatory agencies may not approve any product candidates developed by us on a timely basis or at all. Before obtaining regulatory approvals for the sale of any of our potential product candidates, we must demonstrate through preclinical studies and clinical trials that the product candidate is safe and effective for each intended use. Preclinical and clinical studies may fail to demonstrate the safety and effectiveness of our potential product candidates. Even promising results from preclinical and early clinical studies do not always accurately predict results in later, large scale trials. A failure to demonstrate safety and efficacy would result in our failure to obtain regulatory approvals. The outcome of the final analyses of clinical trial data may vary from our initial conclusions, or the FDA may not agree with our interpretation of such results or may challenge the adequacy of our clinical trial design or the execution of the clinical trial. Moreover, even if the FDA grants regulatory approval of a product candidate, the approval may be limited to specific therapeutic areas or limited with respect to its distribution, which could limit revenues.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any clinical and non-clinical trials for any of our product candidates, or the analysis of the data from our clinical or non-clinical trials, may adversely affect our business.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Clinical trials are very expensive, time consuming and difficult to design and implement. Even if the results of clinical trials are favorable, they may continue for several years and may take significantly longer than expected to complete. Delays in the commencement or completion of clinical testing could significantly affect our product development costs and business plan. We do not know whether we will resume our proposed Phase 3 clinical trials for Impracor, and if we do so, whether these trials would be completed on schedule, if at all. In addition, we do not know whether any other pre-clinical or clinical trials related to any product development candidates we may identify will begin in a timely basis or be completed on schedule, if at all. The commencement and completion of clinical trials can be delayed for a number of reasons, including delays related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clearance from the FDA or its respective international regulatory equivalent to commence a clinical trial;</w:t>
      </w:r>
    </w:p>
    <w:p>
      <w:pPr>
        <w:spacing w:after="0" w:line="23" w:lineRule="exact"/>
        <w:rPr>
          <w:rFonts w:ascii="Arial" w:cs="Arial" w:eastAsia="Arial" w:hAnsi="Arial"/>
          <w:sz w:val="18"/>
          <w:szCs w:val="18"/>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the FDA to approve the scope or design of our clinical or non-clinical trials or manufacturing plans;</w:t>
      </w:r>
    </w:p>
    <w:p>
      <w:pPr>
        <w:spacing w:after="0" w:line="9" w:lineRule="exact"/>
        <w:rPr>
          <w:rFonts w:ascii="Arial" w:cs="Arial" w:eastAsia="Arial" w:hAnsi="Arial"/>
          <w:sz w:val="18"/>
          <w:szCs w:val="18"/>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reaching agreement on acceptable terms with clinical research organizations, or CROs, clinical investigators and trial sites;</w:t>
      </w:r>
    </w:p>
    <w:p>
      <w:pPr>
        <w:spacing w:after="0" w:line="9" w:lineRule="exact"/>
        <w:rPr>
          <w:rFonts w:ascii="Arial" w:cs="Arial" w:eastAsia="Arial" w:hAnsi="Arial"/>
          <w:sz w:val="18"/>
          <w:szCs w:val="18"/>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to initiate and conduct a clinical trial at a prospective site;</w:t>
      </w:r>
    </w:p>
    <w:p>
      <w:pPr>
        <w:spacing w:after="0" w:line="9" w:lineRule="exact"/>
        <w:rPr>
          <w:rFonts w:ascii="Arial" w:cs="Arial" w:eastAsia="Arial" w:hAnsi="Arial"/>
          <w:sz w:val="18"/>
          <w:szCs w:val="18"/>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insufficient supply or deficient quality of materials necessary for the performance of clinical or non-clinical trials;</w:t>
      </w:r>
    </w:p>
    <w:p>
      <w:pPr>
        <w:spacing w:after="0" w:line="9" w:lineRule="exact"/>
        <w:rPr>
          <w:rFonts w:ascii="Arial" w:cs="Arial" w:eastAsia="Arial" w:hAnsi="Arial"/>
          <w:sz w:val="18"/>
          <w:szCs w:val="18"/>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recruiting and enrolling subjects to participate in clinical trials;</w:t>
      </w:r>
    </w:p>
    <w:p>
      <w:pPr>
        <w:spacing w:after="0" w:line="9" w:lineRule="exact"/>
        <w:rPr>
          <w:rFonts w:ascii="Arial" w:cs="Arial" w:eastAsia="Arial" w:hAnsi="Arial"/>
          <w:sz w:val="18"/>
          <w:szCs w:val="18"/>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be prone to withdraw or who are lost to further follow-up;</w:t>
      </w:r>
    </w:p>
    <w:p>
      <w:pPr>
        <w:spacing w:after="0" w:line="9" w:lineRule="exact"/>
        <w:rPr>
          <w:rFonts w:ascii="Arial" w:cs="Arial" w:eastAsia="Arial" w:hAnsi="Arial"/>
          <w:sz w:val="18"/>
          <w:szCs w:val="18"/>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results of clinical or non-clinical studies; and</w:t>
      </w:r>
    </w:p>
    <w:p>
      <w:pPr>
        <w:spacing w:after="0" w:line="9" w:lineRule="exact"/>
        <w:rPr>
          <w:rFonts w:ascii="Arial" w:cs="Arial" w:eastAsia="Arial" w:hAnsi="Arial"/>
          <w:sz w:val="18"/>
          <w:szCs w:val="18"/>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side effects experienced by study participants in clinical trials relating to a specific product.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may be circumstances other than the ones described above, including circumstances over which we may have no control, which could materially delay the successful completion of our clinical and non-clinical studies. Furthermore, we expect to rely on CROs to ensure the proper and timely conduct of our clinical trials, and while we expect to enter into agreements governing their committed activities, we have limited influence over their actual performance.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may believe that we have planned and designed an adequate clinical trial program for any of our product candidates, the FDA could determine that it is not satisfied with our plan or the details of our clinical trial protocols and designs. Additionally, changes in applicable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 candidates may be harmed, which may have a material adverse effect on our business, results of operations, financial condition and prospects.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rely on third parties to manufacture sufficient quantities of compounds within product specifications as required by regulatory agencies for use in our pre-clinical and clinical trials, and any delays and problems with the manufacturing of our clinical materials would harm our business.</w:t>
      </w:r>
    </w:p>
    <w:p>
      <w:pPr>
        <w:spacing w:after="0" w:line="1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do not have the ability to manufacture the materials we use or may use in our pre-clinical and clinical trials. Rather, we rely on various third parties to manufacture these materials. Our third-party manufacturers may encounter delays and problems in manufacturing our investigational drug preparations and other materials associated with our clinical trials. In August 2013, we were notified by our contract manufacturer of preliminary stability test results related to clinical materials of active and placebo bulk batches of Impracor that were to be used in planned Phase 3 clinical trials for Impracor. The preliminary test results revealed an out of specification result for the placebo formulation and a lower than expected specification result for the active formulation. Shortly thereafter, a retest was performed, which confirmed the out of specification results for the placebo batch and revealed continued decreasing stability results related to the active batch. This led us to conclude that due to the decreasing stability results for the active batch, packaging of the materials would be put on hold, as further decrease in stability levels was likely and would result in the material being unusable for the upcoming planned Impracor clinical trials and cause a significant delay in the commencement of the planned clinical trials. As a result of these manufacturing issues, among other things, we have suspended our activities with respect to the Impracor Phase 3 clinical trial previously scheduled to begin during the third quarter of 2013 while we re-evaluate our options regarding the Impracor clinical program. If we decide to resume the Impracor clinical program, we may choose to move the formulation and manufacturing process to another contract manufacturer, which would result in additional delays of up to six months from the time we engage a new manufacturer.</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any third parties we rely upon in connection with the manufacturing of clinical materials do not provide materials in a timely manner, or if they otherwise breach their agreements with us, it may be difficult to replace their services quickly or at all. There may be long lead times to obtain materials. Commercially available starting materials, reagents, excipients, and other materials may become scarce, more expensive to procure, or not meet quality standards. We may not be able to identify, qualify and obtain prior regulatory approval for additional sources of clinical materials. If interruptions in our supply chain occur for any reason, including a decision by the third parties to discontinue manufacturing, technical difficulties, labor disputes, natural or other disasters, or a failure of the third parties to follow specifications or regulations, we may encounter difficulties in timely completing our clinical trials, we may be unable to obtain regulatory approvals for our investigational drug preparations in a timely manner and, ultimately, we may be unable to successfully commercialize these investigational drug preparations. If we are unable to have our clinical materials successfully manufactured by our current or any future contract manufacturer, we would be unable to initiate our clinical program.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drug preparations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employ personnel or possess the facilities necessary to conduct many of the activities associated with our programs. We have engaged, and expect to continue to engage consultants, advisors, contract research organizations (CROs) and others to design, conduct, analyze and interpret the results of studies in connection with the research and development of our product candidates. As a result, many important aspects of our product candidates’ development are outside our direct control. Such third parties may not perform all of their obligations under arrangements with us or may not perform those obligations satisfactorily.</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CROs with whom we may contract for execution of our clinical studies will play a significant role in the conduct of our anticipated clinical studies or assist with our analysis of completed studies and to develop corresponding regulatory strategies. Individuals working at such CROs,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would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the event that we successfully develop our product candidates into commercial products, we will be dependent on compounding pharmacies or outside manufacturers and will have limited control of the manufacturing or compounding process, access to raw materials, timing for delivery of finished products and costs.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event that we successfully develop our product candidates into commercial products, we expect that compounding pharmacies or third party manufacturers will prepare all of our products. Because all of our products, in the event that we successfully develop our product candidates into commercial products, will be manufactured or compounded by third parties, we have a limited ability to control this process, access to raw materials, the timing for delivery of finished products or costs related to this process. Our contract manufacturers or licensee compounding pharmacies may not be able to produce finished products in quantities that are sufficient to meet demand or in a timely manner, which could result in decreased revenues and loss of market share. There may be delays over which we will have no control, including shortages of raw materials, labor disputes, backlog or failure to meet FDA standards. Increases in the prices we pay our manufacturers, interruptions in our supply of products or lapses in quality could adversely impact our financial condition. We will be reliant on our third-party manufacturers to maintain their manufacturing facilities, and our pharmacy partners to maintain their pharmacies,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single contract manufacturer or compounding pharmacy could constitute the sole source of one or more of our products. If any of our existing or future manufacturers cease to manufacture or are otherwise unable to deliver any of our products or any of the components of our products, or our pharmacy partners were to cease compounding our formulations, we may need to engage additional manufacturing or pharmacy partners. Because of contractual restraints and the lead-time necessary to obtain FDA approval of a new manufacturer, replacement of any of these manufacturers may be expensive and time consuming and may disrupt or delay our ability to supply our products and reduce our revenues. We would also rely on our outside manufacturers to assist us in the preparation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preparations.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If approved, failure to comply with continuing federal and state regulations could result in the loss of approvals to market our drugs.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initial FDA regulatory approval of any drugs we may develop, we would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preparations will be subject to periodic review and inspection by the FDA. If a previously unknown problem or problems with a product or a manufacturing and laboratory facility used by us is discovered, the FDA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spacing w:after="0" w:line="197" w:lineRule="exact"/>
        <w:rPr>
          <w:sz w:val="20"/>
          <w:szCs w:val="20"/>
          <w:color w:val="auto"/>
        </w:rPr>
      </w:pPr>
    </w:p>
    <w:p>
      <w:pPr>
        <w:ind w:left="900" w:hanging="23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suspend or withdraw our regulatory approval;</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suspend or terminate any of our ongoing clinical trials;</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impose restrictions on our operations;</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close the facilities of our contract manufacturers; or</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If our patents are determined to be unenforceable or expire, or if we are unable to obtain new patents based on current or future patent applications, we may not be able to prevent others from using our intellectual property and this may influence our commitment to continue to fund the development of assets that have limited legal patent life.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success will depend in part on our ability to:</w:t>
      </w:r>
    </w:p>
    <w:p>
      <w:pPr>
        <w:spacing w:after="0" w:line="225" w:lineRule="exact"/>
        <w:rPr>
          <w:sz w:val="20"/>
          <w:szCs w:val="20"/>
          <w:color w:val="auto"/>
        </w:rPr>
      </w:pPr>
    </w:p>
    <w:p>
      <w:pPr>
        <w:ind w:left="900" w:hanging="231"/>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and maintain patent protection with respect to our products;</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trade secrets;</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operate without infringing upon the patents and proprietary rights of others; and</w:t>
      </w:r>
    </w:p>
    <w:p>
      <w:pPr>
        <w:spacing w:after="0" w:line="225" w:lineRule="exact"/>
        <w:rPr>
          <w:rFonts w:ascii="Arial" w:cs="Arial" w:eastAsia="Arial" w:hAnsi="Arial"/>
          <w:sz w:val="18"/>
          <w:szCs w:val="18"/>
          <w:color w:val="auto"/>
        </w:rPr>
      </w:pPr>
    </w:p>
    <w:p>
      <w:pPr>
        <w:ind w:left="5620" w:right="2020" w:hanging="4951"/>
        <w:spacing w:after="0" w:line="528" w:lineRule="auto"/>
        <w:tabs>
          <w:tab w:leader="none" w:pos="896"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appropriate licenses to patents or proprietary rights held by third parties if infringement would otherwise occur.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jc w:val="both"/>
        <w:ind w:firstLine="648"/>
        <w:spacing w:after="0" w:line="255" w:lineRule="auto"/>
        <w:rPr>
          <w:sz w:val="20"/>
          <w:szCs w:val="20"/>
          <w:color w:val="auto"/>
        </w:rPr>
      </w:pPr>
      <w:r>
        <w:rPr>
          <w:rFonts w:ascii="Arial" w:cs="Arial" w:eastAsia="Arial" w:hAnsi="Arial"/>
          <w:sz w:val="18"/>
          <w:szCs w:val="18"/>
          <w:color w:val="auto"/>
        </w:rPr>
        <w:t>We obtained a patent from the United States Patent and Trademark Office on our Accudel technology in 1998, which affords protection of Accudel through 2016 in the United States. This patent specifically identifies over 500 different drugs in over 60 therapeutic areas, including ketoprofen, the active pharmaceutical ingredient in Impracor. Our patent protection for Accudel and Impracor expires in 2016. Other than Canada, we do not have a patent for Accudel or Impracor in any other countries. We will only be able to protect our drug preparations and our technologies from unauthorized use by third parties to the extent that valid and enforceable patents cover them. If we were to pursue FDA approval for Impracor, we would expect our patent to expire prior to our beginning our marketing and sales efforts. As a result, we would likely receive only a limited exclusivity period for Impracor prior to facing generic competition.</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our issued patent for Accudel, we currently have five patent applications pending in the United States. The applications we have filed or may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patent and intellectual property positions of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rely on unpatented trade secrets and know-how and continuing technological innovation in order to develop our formulations, which we seek to protect, in part, by confidentiality agreements with current employees, consultants, collaborators and others. We also have invention or patent assignment agreements with our current employees and certain consultants. There can be no assurance, however, that these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Filing, prosecuting, defending and enforcing patents on our potential investigational drug preparations throughout the world is extremely expensive. While we have filed patent applications in many countries outside the U.S., and have obtained some patent coverage for Accudel and Impracor in Canada, we do not currently have widespread patent protection for Impracor outside the U.S. and have no protection in any foreign jurisdiction other than Canada. We have filed patent applications for our other product candidates in the U.S. but have not made any filings outside of the U.S. Competitors may use our technologies to develop their own drugs in jurisdictions where we have not obtained patent protection. These drugs may compete with our approved drugs or future investigational drug preparations and may not be covered by any of our patent claims or other intellectual property rights.</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international patent applications for our current and any future product candidates are ultimately issued or receive approval, it is likely that the scope of protection provided by such patents will be different from, and possibly less than, the scope provided by our corresponding U.S. patents. The success of our international market opportunity would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makes it difficult for us to stop the infringement of our patents. Even if we have patents issued in these jurisdictions, there can be no assurance that our patent rights will be sufficient to prevent generic competition or unauthorized use. Attempting to enforce our patent rights in foreign jurisdictions could result in substantial cost and divert our efforts and attention from other aspects of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face an inherent risk of product liability lawsuits related to the testing of our product candidates and the commercial sale of our products. An individual may bring a liability claim against us if one of our product candidates or products causes, or appears to have caused, an injury. If we cannot successfully defend ourselves against the product liability claim, we may incur substantial liabilities. Products liability claims may result in decreased demand for our products, injury to our reputation, withdrawal of clinical trial participants, significant litigation costs, substantial monetary awards to or costly settlement with patients, product recalls, loss of revenue and the inability to commercialize our product candidates.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success of our company and our products will be highly dependent upon medical and patient perceptions of us and the safety and quality of our products. We could be adversely affected if we or our products are subject to negative publicity. We could also be adversely affected if any of our products, any similar products sold by other companies, any products sold by compounding pharmacies prove to be, or are asserted to be, harmful to patients. Also, because of our dependence upon medical and patient perceptions, any adverse publicity associated with illness or other adverse effects resulting from the use or misuse of our products, any similar products sold by other companies or any products sold by compounding pharmacies could have a material adverse impact on our business.</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Although we have product liability insurance that covers our clinical trials and the marketing and sale of our products, our current or future insurance coverage may prove insufficient to cover any liability claims brought against us. Because of the increasing costs of insurance coverage, we may not be able to maintain insurance coverage at a reasonable cost or obtain insurance coverage that will be adequate to satisfy any liability that may arise.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employees and consultants. The loss of key scientific, technical and commercial employees or consultants or the failure to recruit or engage new employees and consultants could have a material adverse effect on our business. While we have employment agreements with certain key employees,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We depend upon consultants and outside contractors for key aspects of our business.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substantially dependent on consultants and other outside contractors for key aspects of our business, including our research and development activities. Our agreements with our consultants typically provide that the consultant may terminate the agreement on 30 day notice to us. If any of our consultants terminates their engagement with us, or we are unable to engage highly qualified consultants as necessary for our business, we may be unable to implement our business plan. We must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development activities may be extended, delayed or terminated, and we may not be able to obtain regulatory approval for any investigational drug preparations or otherwise commercialize our formulations or advance our business. We may not be able to manage our existing consultants or find other competent outside contractors and consultants on commercially reasonable terms, or at all.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participate in strategic transactions that could impact our liquidity, increase our expenses and present significant distractions to our management.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From time to time we consider strategic transactions, such as out-licensing or in-licensing of compounds or technologies, acquisitions of companies and asset purchases. Additional potential transactions we may consider include a variety of different business arrangements, including strategic partnerships, joint ventures, spin-offs, restructurings, divestitures, business combinations and investments. In addition, another entity may pursue us as an acquisition target. Any such transactions may require us to incur non-recurring or other charges, may increase our near and long-term expenditures and may pose significant integration challenges, require additional expertise or disrupt our management or business, any of which could harm our operations and financial results. Such transactions may also entail numerous operational and financial risks, including, among others, exposure to unknown liabilities, disruption of our business and diversion of our management’s time and attention in order to develop acquired products, product candidates or technologies,</w:t>
      </w:r>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part of an effort to enter into any significant transaction, we must conduct business, legal and financial due diligence with the goal of identifying and evaluating material risks involved in the transaction. Despite our efforts, we may be unsuccessful in ascertaining or evaluating all such risks and, as a result, might not realize the expected benefits of any such transaction. If we fail to realize the expected benefits from any transaction we may consummate, whether as a result of unidentified risks, integration difficulties, regulatory setbacks or other events, our business, results of operations and financial condition could be adversely affected. In addition, we may encounter difficulties and additional unexpected costs in combining the operations and personnel of any acquired businesses with our operations and personnel, and we may be unable to retain key employees of any acquired businesses.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compete with other companies that develop rival products to our products, we may never gain market share or achieve profitability.</w:t>
      </w:r>
    </w:p>
    <w:p>
      <w:pPr>
        <w:spacing w:after="0" w:line="2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especially those doing business in the United States, as well as compounding pharmacies selling competing formulations. In the market for pain management products, our competitors also include manufacturers of over-the-counter and prescription pain relievers. Because we are smaller than many of our national competitors, we may lack the financial and other resources needed to compete for market share with respect to any of our formulations. We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keep up with the rapid technological change in the biotechnology and pharmaceutical industries, which could make our products obsolete and reduce our potential revenues.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be detrimental to our business.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healthcare industry is changing rapidly as consumers, governments, medical professionals and the pharmaceutical industry examine ways to broaden medical coverage while controlling the increase in healthcare costs. In 2009 and 2010, the U.S. Congress adopted legislation regarding health insurance, which has been signed into law. As a result of this new legislation, substantial changes could be made to the current system of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payers and government programs, such as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biopharmaceuticals, medical devices, or our product candidates and could put pressure on the prices of pharmaceutical products, which could adversely affect our business or products.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Because of their significant stock ownership, some of our existing stockholders will be able to exert control over us and our significant corporate decisions, and sales of common stock by management and the Board of Directors from time to time could have an adverse effect on our stock price.</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executive officers and directors own or have the right to acquire within 60 days, in the aggregate, approximately 16% of the shares of common stock outstanding following such issuance to them. In addition, three individual stockholders own, or have the right to acquire within 60 days, an additional approximately 30%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spacing w:after="0" w:line="197" w:lineRule="exact"/>
        <w:rPr>
          <w:sz w:val="20"/>
          <w:szCs w:val="20"/>
          <w:color w:val="auto"/>
        </w:rPr>
      </w:pPr>
    </w:p>
    <w:p>
      <w:pPr>
        <w:ind w:left="900" w:hanging="23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 or</w:t>
      </w:r>
    </w:p>
    <w:p>
      <w:pPr>
        <w:spacing w:after="0" w:line="225" w:lineRule="exact"/>
        <w:rPr>
          <w:rFonts w:ascii="Arial" w:cs="Arial" w:eastAsia="Arial" w:hAnsi="Arial"/>
          <w:sz w:val="18"/>
          <w:szCs w:val="18"/>
          <w:color w:val="auto"/>
        </w:rPr>
      </w:pPr>
    </w:p>
    <w:p>
      <w:pPr>
        <w:ind w:left="5620" w:right="1960" w:hanging="4951"/>
        <w:spacing w:after="0" w:line="528" w:lineRule="auto"/>
        <w:tabs>
          <w:tab w:leader="none" w:pos="896"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our company.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As a result, current and potential stockholders could lose confidence in our financial reporting, which would harm our business.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As we discuss in Item 9A of our Annual Report, we have only recently remediated certain material weaknesses in our internal control over financial reporting. We have implemented actions to address these weaknesses and to enhance the reliability and effectiveness of our internal controls and operations, and our management has concluded that there are no material weaknesses in our internal controls over financial reporting as of December 31, 2012. However, our controls over financial processes and reporting may not continue to be effective, or we may identify additional material weaknesses or significant deficiencies in our internal controls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shares of our common stock may not develop or be sustained.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trading in our common stock has been sporadic and volatile, and our common stock has been “thinly-traded”. As a consequence, there may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of this lack of liquidity, the trading of relatively small quantities of shares may disproportionately influence the price of those shares in either direction. It is possible that an active and liquid trading market in our securities may never develop or, if one does develop, that the market will not continue.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w:t>
      </w:r>
    </w:p>
    <w:p>
      <w:pPr>
        <w:spacing w:after="0" w:line="170" w:lineRule="exact"/>
        <w:rPr>
          <w:sz w:val="20"/>
          <w:szCs w:val="20"/>
          <w:color w:val="auto"/>
        </w:rPr>
      </w:pPr>
    </w:p>
    <w:p>
      <w:pPr>
        <w:ind w:left="900" w:hanging="231"/>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pharmaceutical industry and markets;</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00" w:right="20" w:hanging="231"/>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900" w:hanging="231"/>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00" w:right="20" w:hanging="231"/>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any strategic relationship with our contract manufacturers or with other third parties (including PCCA) and clinical and non-clinical research organizations;</w:t>
      </w:r>
    </w:p>
    <w:p>
      <w:pPr>
        <w:spacing w:after="0" w:line="170" w:lineRule="exact"/>
        <w:rPr>
          <w:rFonts w:ascii="Arial" w:cs="Arial" w:eastAsia="Arial" w:hAnsi="Arial"/>
          <w:sz w:val="18"/>
          <w:szCs w:val="18"/>
          <w:color w:val="auto"/>
        </w:rPr>
      </w:pPr>
    </w:p>
    <w:p>
      <w:pPr>
        <w:ind w:left="900" w:hanging="231"/>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or regulatory developments; or</w:t>
      </w:r>
    </w:p>
    <w:p>
      <w:pPr>
        <w:spacing w:after="0" w:line="225" w:lineRule="exact"/>
        <w:rPr>
          <w:rFonts w:ascii="Arial" w:cs="Arial" w:eastAsia="Arial" w:hAnsi="Arial"/>
          <w:sz w:val="18"/>
          <w:szCs w:val="18"/>
          <w:color w:val="auto"/>
        </w:rPr>
      </w:pPr>
    </w:p>
    <w:p>
      <w:pPr>
        <w:ind w:left="900" w:hanging="231"/>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If we were to issue preferred stock, it is likely to have rights, preferences and privileges superior to those of our common stock.</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result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previously disclosed on a Form 8-K dated April 27, 2012, effective April 1, 2012, we entered into an advisory agreement with director Dr. Robert Kammer (the “Advisory Agreement”) pursuant to which Dr. Kammer has provided certain services to the Company in addition to his services as a director. As required under the terms of the Advisory Agreement, on September 30, 2013, we issued 6,667 shares to Dr. Kammer in consideration for services performed during the third quarter of 2013. The Advisory Agreement terminated on September 30, 2013.</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30, 2013, we issued 2,114 shares of restricted stock to a human resources consultant for certain services provided to the Company.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19, 2013, we issued warrants to purchase 60,000 shares of common stock to a financial advisory firm in consideration for certain services.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warrants have a term of five years, are fully vested, non-refundable and are exercisable after six months, and have an exercise price of $8.50 per share.</w:t>
      </w:r>
    </w:p>
    <w:p>
      <w:pPr>
        <w:spacing w:after="0" w:line="2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above securities have not been registered under the Securities Act and have been issued in reliance on an exemption from the registration requirements of the Securities Act afforded by Section 4(2) thereof. These securities may not be offered or sold in the United States in the absence of an effective registration statement or exemption from applicable registration requirements. In determining that each of the issuances qualified for an exemption under Section 4(2) of the Securities Act, we relied on the following facts: in each case, the securities were offered to a single individual or entity in consideration for services performed for the Company; and the securities issued were restricted securities.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Dr. Joachim Schupp has resigned as Chief Medical Officer of the Company, effective November 15, 2013.</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20" w:type="dxa"/>
            <w:vAlign w:val="bottom"/>
          </w:tcPr>
          <w:p>
            <w:pPr>
              <w:ind w:left="4100"/>
              <w:spacing w:after="0"/>
              <w:rPr>
                <w:sz w:val="20"/>
                <w:szCs w:val="20"/>
                <w:color w:val="auto"/>
              </w:rPr>
            </w:pPr>
            <w:r>
              <w:rPr>
                <w:rFonts w:ascii="Arial" w:cs="Arial" w:eastAsia="Arial" w:hAnsi="Arial"/>
                <w:sz w:val="18"/>
                <w:szCs w:val="18"/>
                <w:b w:val="1"/>
                <w:bCs w:val="1"/>
                <w:color w:val="auto"/>
              </w:rPr>
              <w:t>Item 6. Exhibits</w:t>
            </w:r>
          </w:p>
        </w:tc>
      </w:tr>
      <w:tr>
        <w:trPr>
          <w:trHeight w:val="41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420" w:type="dxa"/>
            <w:vAlign w:val="bottom"/>
          </w:tcPr>
          <w:p>
            <w:pPr>
              <w:spacing w:after="0"/>
              <w:rPr>
                <w:sz w:val="24"/>
                <w:szCs w:val="24"/>
                <w:color w:val="auto"/>
              </w:rPr>
            </w:pPr>
          </w:p>
        </w:tc>
      </w:tr>
      <w:tr>
        <w:trPr>
          <w:trHeight w:val="241"/>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420" w:type="dxa"/>
            <w:vAlign w:val="bottom"/>
          </w:tcPr>
          <w:p>
            <w:pPr>
              <w:ind w:left="6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17"/>
                <w:szCs w:val="17"/>
                <w:color w:val="auto"/>
              </w:rPr>
            </w:pPr>
          </w:p>
        </w:tc>
        <w:tc>
          <w:tcPr>
            <w:tcW w:w="10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Asset Purchase Agreement, dated August 8, 2013, by and among the Company, Novel Drug Solutions, LLC and Eye Care Northwest, PA</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w w:val="94"/>
              </w:rPr>
              <w:t>(Confidential treatment has been requested with respect to portions of this exhibit pursuant to Rule 24b-2 of the Securities Exchange Act of</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w w:val="91"/>
              </w:rPr>
              <w:t>1934 and these confidential portions have been redacted from the filing. A complete copy of this exhibit, including the redacted terms, has been</w:t>
            </w: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rPr>
              <w:t>filed separately with the Securities and Exchange Commission.)</w:t>
            </w: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10.2*</w:t>
            </w: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w w:val="90"/>
              </w:rPr>
              <w:t>Amendment to Asset Purchase Agreement, dated as of October 14, 2013, by and among the Company, Novel Drug Solutions, LLC and EyeCare</w:t>
            </w: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rPr>
              <w:t>Northwest, PA</w:t>
            </w: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10.3*</w:t>
            </w: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rPr>
              <w:t>Amendment No. 1 to Amended and Restated 2007 Incentive Stock and Awards Plan</w:t>
            </w: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31.1*</w:t>
            </w: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w w:val="93"/>
              </w:rPr>
              <w:t>Certification of Mark L. Baum, Chief Executive Officer, pursuant to Rule 13a-14(a) or 15d-14(a) of the Securities and Exchange Act of 1934,</w:t>
            </w: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rPr>
              <w:t>as adopted pursuant to Section 302 of the Sarbanes- Oxley Act of 2002.</w:t>
            </w: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31.2*</w:t>
            </w: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w w:val="96"/>
              </w:rPr>
              <w:t>Certification of Andrew R. Boll, Principal Accounting and Financial Officer, pursuant to Rule 13a-14(a) or 15d-14(a) of the Securities and</w:t>
            </w: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rPr>
              <w:t>Exchange Act of 1934, as adopted pursuant to Section 302 of the Sarbanes- Oxley Act of 2002.</w:t>
            </w: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32.1*</w:t>
            </w: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executed by Mark L.</w:t>
            </w: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rPr>
              <w:t>Baum, Chief Executive Officer, and Andrew R. Boll, Principal Accounting and Financial Officer.</w:t>
            </w: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101.INS**</w:t>
            </w: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rPr>
              <w:t>XBRL Instance Document</w:t>
            </w: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8"/>
              </w:rPr>
              <w:t>101.SCH**</w:t>
            </w: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9"/>
              </w:rPr>
              <w:t>101.CAL**</w:t>
            </w: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101.DEF**</w:t>
            </w: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9"/>
              </w:rPr>
              <w:t>101.LAB**</w:t>
            </w: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9"/>
              </w:rPr>
              <w:t>101.PRE**</w:t>
            </w:r>
          </w:p>
        </w:tc>
        <w:tc>
          <w:tcPr>
            <w:tcW w:w="105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460" w:hanging="452"/>
        <w:spacing w:after="0" w:line="277"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accordance with Rule 406T of Regulation S-T,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except as expressly set forth by specific reference in such filing.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Dated: November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Accounting and Public Reporting</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ind w:left="260" w:right="100"/>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THIS ASSET PURCHASE AGREEMENT (this “Agreement”) dated as of August 8, 2013 (the “Effective Date”), is entered into by and among NOVEL DRUG SOLUTIONS LLC, a New Jersey limited liability company (“NDS”), with a place of business at 540 State Route 10, Suite 3, Randolph, New Jersey 07869, and EYE CARE NORTHWEST, PA, a New Jersey profession association (“ECNW”, each of NDS and ECNW a “Seller” and collectively the “Sellers”), with a place of business at 350 Sparta Ave., Bldg A, Sparta, New Jersey 07871, and IMPRIMIS PHARMACEUTICALS, INC., a Delaware corporation (“Imprimis”), with a place of business at 12626 High Bluff Drive, Suite 150, San Diego, California 92130. The parties hereby agree as follows:</w:t>
      </w:r>
    </w:p>
    <w:p>
      <w:pPr>
        <w:spacing w:after="0" w:line="158" w:lineRule="exact"/>
        <w:rPr>
          <w:sz w:val="20"/>
          <w:szCs w:val="20"/>
          <w:color w:val="auto"/>
        </w:rPr>
      </w:pPr>
    </w:p>
    <w:p>
      <w:pPr>
        <w:ind w:firstLine="656"/>
        <w:spacing w:after="0" w:line="277" w:lineRule="auto"/>
        <w:tabs>
          <w:tab w:leader="none" w:pos="85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1.1 “Affiliate”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1.2 “Assets” shall mean, collectively, (a) the Technology; (b) all discoveries, inventions, technology, compositions, formulations, samples, components, processes, standards, methods, procedures and techniques relating thereto; (c) all formulae, data, information, results of experimentation and testing, and other know-how, whether or not patentable or copyrightable, relating thereto; (d) all product registrations and applications therefor relating thereto; and (e) all intellectual property rights and other assets relating thereto.</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1.3 “Assigned Patent Rights” shall mean, collectively, (a) all patent applications (including provisional patent applications) in any jurisdiction that claim the Technology, together with all divisionals, continuations and continuations-in-part that claim priority to, or common priority with, the foregoing; (b) all patents issuing therefrom (including utility models and design patents and certificates of invention), together with all reissues, renewals, extensions or additions thereof and thereto; and (c) all foreign counterparts with or to any of the foregoing.</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1.4 “Contract” or “Contracts” shall mean any mortgage, indenture, lease, contract, covenant, arrangement, agreement, instrument, commitment, purchase order or license.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1.5 “Development Recovery Amount” shall mean, with respect to any Product, the fully-burdened costs (determined in accordance with GAAP, consistently applied) to Imprimis or its Affiliates incurred or accrued in connection with the research, development, production and regulatory approval of such Product.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1.6 “Encumbrance” or “Encumbrances” shall mean any encumbrance, lien, charge, hypothecation, pledge, mortgage, adverse claim, option, preemptive right, or other security interest of any nature, or any Contract to create any of the foregoing entered into by any of the Sellers on or before the Effective Date.</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1.7 “First Commercial Sale” shall mean, with respect to any Product, the first sale of such Product after all applicable marketing and pricing approvals (if any) have been granted by the applicable governing health authority of such country.</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1.8 “GAAP” shall mean generally accepted accounting principles and practices as developed and modified by the American Institute of Certified Public Accountants and the Financial Accounting Standards Board, applied on a consistent basis.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1.9 “Knowledge” shall mean the actual knowledge of any director, officer, member or employee of the applicable Person, and the Knowledge such individuals would reasonably be expected to obtain in the course of diligently performing his or her duties for such Person and/or making a reasonable inquiry into the matters contemplated by this Agreement.</w:t>
      </w:r>
    </w:p>
    <w:p>
      <w:pPr>
        <w:spacing w:after="0" w:line="181"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1.10 “Licensee” shall mean a Third Party to whom Imprimis or its Affiliate has granted a license, immunity or other right under the Assigned Patent Rights to offer to sell, sell or otherwise commercialize one or more Products, provided such license has not expired or been terminated.</w:t>
      </w:r>
    </w:p>
    <w:p>
      <w:pPr>
        <w:spacing w:after="0" w:line="12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1.11 “Net Licensing Revenues” shall mean, with respect to any Product, the aggregate cash consideration received by Imprimis or its Affiliates in consideration for the grant by Imprimis or its Affiliates to a Licensee of a license, immunity or other right under the Assigned Patent Rights to offer to sell, sell or otherwise commercialize such Product (excluding amounts received to reimburse Imprimis or its Affiliates for research, development or similar services conducted for such Product, in reimbursement of patent or other out-of-pocket expenses relating to such Product, or in consideration for the purchase of any debt or securities of Imprimis or its Affiliates).</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1.12 “Net Receipts” shall mean, with respect to any Product, the aggregate of the Net Sales thereof and Net Licensing Revenues therefrom in excess of the Development Recovery Amount therefor.</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1.13 “Net Sales” shall mean, with respect to any Product, the gross sales price of such Product invoiced by Imprimis and its Affiliates to customers who are not Affiliates (or are Affiliates but are the end users of such Product), less (a) credits, allowances, discounts and rebates to, and chargebacks from the account of, such customers; (b) freight and insurance costs in transporting such Product; (c) cash, quantity and trade discounts, rebates and other price reductions for such Product; (d) sales, use, value-added and other direct taxes; (e) customs duties, tariffs, surcharges and other governmental charges incurred in exporting or importing such Product; (f) an allowance for uncollectible or bad debts determined in accordance with generally accepted accounting principles; and (g) the fully-burdened cost of goods sold determined in accordance with generally accepted accounting principles.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1.14 “Payment Period” shall mean, on a Product-by-Product and country-by-country basis, the period of time beginning on the date of the First Commercial Sale of such Product in such country and continuing during the term for which a valid claim of an issued patent within the Assigned Patent Rights in such country remains in effect and would be infringed but for rights under the Assigned Patent Rights by the use, offer for sale, sale or import of such Product in such country.</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1.15 “Person” shall mean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1.16 “Product” will mean any product, in any form or formulation, of an injectable ophthalmological pharmaceutical composition, the composition comprising at least one therapeutically effective quantity of an anti-bacterial agent, at least one therapeutically effective quantity of an anti-inflammatory agent, at least one pharmaceutically acceptable excipient and at least one pharmaceutically acceptable carrier appropriate for intraocular or intravitreal injection, in each case for use in the prevention or treatment of any ophthalmic disease, state or condition in humans, which if made, used, offered for sale, sold or imported absent rights under the Assigned Patent Rights would infringe a valid claim of an issued patent within the Assigned Patent Rights.</w:t>
      </w:r>
    </w:p>
    <w:p>
      <w:pPr>
        <w:spacing w:after="0" w:line="15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1.17 “Tax” or “Taxes” shall mean any and all federal, state, local and foreign taxes, assessments and other governmental charges, duties, impositions and liabilities, including taxes based upon or measured by gross receipts, income, profits, sales, use and occupation, and value added, ad valorem, transfer, franchise, withholding, payroll, recapture, employment, excise and property taxes as well as public imposts, fees and social security charges (including but not limited to health, unemployment and pension insurance), together with all interest, penalties and additions imposed with respect to such amounts and any obligation under any agreement or arrangement with any other Person with respect to such amounts and including any liability for taxes of a predecessor entity.</w:t>
      </w:r>
    </w:p>
    <w:p>
      <w:pPr>
        <w:spacing w:after="0" w:line="193"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1.18 “Technology” shall mean, collectively, (a) all compositions having anti-bacterial and anti-inflammatory properties comprising at least one therapeutically effective quantity of an anti-bacterial agent, at least one therapeutically effective quantity of an anti-inflammatory agent, at least one pharmaceutically acceptable excipient and at least one pharmaceutically acceptable carrier; and (b) all methods of manufacture and use of the foregoing.</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1.19 “Third Party” shall mean any Person other than Imprimis, the Sellers or their respective Affiliates.</w:t>
      </w:r>
    </w:p>
    <w:p>
      <w:pPr>
        <w:spacing w:after="0" w:line="225" w:lineRule="exact"/>
        <w:rPr>
          <w:sz w:val="20"/>
          <w:szCs w:val="20"/>
          <w:color w:val="auto"/>
        </w:rPr>
      </w:pPr>
    </w:p>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Assets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Assets</w:t>
      </w:r>
      <w:r>
        <w:rPr>
          <w:rFonts w:ascii="Arial" w:cs="Arial" w:eastAsia="Arial" w:hAnsi="Arial"/>
          <w:sz w:val="17"/>
          <w:szCs w:val="17"/>
          <w:color w:val="auto"/>
        </w:rPr>
        <w:t>. Subject to the terms and conditions of this Agreement, Imprimis hereby agrees to, and hereby does, purchase from the Sellers, and each of the Sellers hereby agrees to, and hereby does, sell, convey, transfer and assign to Imprimis, on the Effective Date, all of its right, title and interest in and to the Assets. Concurrently with the execution of this Agreement, each of the Sellers shall deliver all required consents to Material Contracts (as defined below) as set forth on Schedule 3.7 hereof. To the extent necessary to comply with applicable privacy laws, each of the Sellers shall have the right to redact patient identifying information from any data or information transferred to Imprimis.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Assumption of Liabilities</w:t>
      </w:r>
      <w:r>
        <w:rPr>
          <w:rFonts w:ascii="Arial" w:cs="Arial" w:eastAsia="Arial" w:hAnsi="Arial"/>
          <w:sz w:val="18"/>
          <w:szCs w:val="18"/>
          <w:color w:val="auto"/>
        </w:rPr>
        <w:t>. Imprimis shall not be obligated to assume or perform and is not assuming or performing any liabilities or obligations of any of the Sellers which relate to the Sellers’ ownership of the Assets prior to the Effective Date or otherwise, whether known or unknown, fixed or contingent, certain or uncertain, and regardless of when they are or were asserted, and the Sellers shall remain responsible for and shall promptly pay such liabilities.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Documents</w:t>
      </w:r>
      <w:r>
        <w:rPr>
          <w:rFonts w:ascii="Arial" w:cs="Arial" w:eastAsia="Arial" w:hAnsi="Arial"/>
          <w:sz w:val="18"/>
          <w:szCs w:val="18"/>
          <w:color w:val="auto"/>
        </w:rPr>
        <w:t>. The sale, conveyance, transfer and assignment of the Assets from the Sellers to Imprimis in accordance with this Agreement will be further evidenced by execution by the parties of such bills of sale, assignments or other title transfer documents and instruments as reasonably requested by Imprimis.</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Consideration</w:t>
      </w:r>
      <w:r>
        <w:rPr>
          <w:rFonts w:ascii="Arial" w:cs="Arial" w:eastAsia="Arial" w:hAnsi="Arial"/>
          <w:sz w:val="18"/>
          <w:szCs w:val="18"/>
          <w:color w:val="auto"/>
        </w:rPr>
        <w:t>. The consideration for the sale to Imprimis of the Assets under this Agreement shall consist of the following (collectively, the “Purchase Price”):</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2.4.1 [***], payable within thirty (30) days after the date of the issuance of the first patent in the United States within the Assigned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 Rights; and</w:t>
      </w:r>
    </w:p>
    <w:p>
      <w:pPr>
        <w:spacing w:after="0" w:line="211"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2.4.2 [***], payable within thirty (30) days after Imprimis, its Affiliate or Licensee files the first Investigational New Drug application with the United States Food and Drug Administration for the first Product; and</w:t>
      </w:r>
    </w:p>
    <w:p>
      <w:pPr>
        <w:spacing w:after="0" w:line="170"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2.4.3 [***], payable within thirty (30) days after Imprimis, its Affiliate or Licensee files the first New Drug Application with the United States Food and Drug Administration for the first Product;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2.4.4 the Net Sales Payment Consideration (as defined below).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acknowledge and agree that all payments of the Purchase Price hereunder in any form to the Sellers shall be allocated and paid fifty percent (50%) to NDS and fifty percent (50%) to ECNW (for their distribution) as described in this Section 2.4</w:t>
      </w:r>
    </w:p>
    <w:p>
      <w:pPr>
        <w:spacing w:after="0" w:line="17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Allocation of Purchase Price</w:t>
      </w:r>
      <w:r>
        <w:rPr>
          <w:rFonts w:ascii="Arial" w:cs="Arial" w:eastAsia="Arial" w:hAnsi="Arial"/>
          <w:sz w:val="16"/>
          <w:szCs w:val="16"/>
          <w:color w:val="auto"/>
        </w:rPr>
        <w:t>. The Purchase Price shall be allocated, if an allocation is required, by Imprimis within sixty (60) days following a determination that such allocation is required. After the Effective Date, Imprimis and the Sellers shall make consistent use of any allocation required under Section 1060 of the Internal Revenue Code for all Tax purposes and in all filings, declarations and reports with the Internal Revenue Service or any other applicable taxing authority in respect thereof. In any and all actions, suits, proceedings, arbitration, or governmental or regulatory investigations or audits related to the determination of any Tax, neither Imprimis nor the Sellers shall contend or represent that such allocation is not a correct allocation.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4" w:name="page55"/>
    <w:bookmarkEnd w:id="54"/>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ind w:firstLine="656"/>
        <w:spacing w:after="0" w:line="277" w:lineRule="auto"/>
        <w:tabs>
          <w:tab w:leader="none" w:pos="85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Sellers</w:t>
      </w:r>
      <w:r>
        <w:rPr>
          <w:rFonts w:ascii="Arial" w:cs="Arial" w:eastAsia="Arial" w:hAnsi="Arial"/>
          <w:sz w:val="18"/>
          <w:szCs w:val="18"/>
          <w:color w:val="auto"/>
        </w:rPr>
        <w:t>. Each of the Sellers hereby represents and warrants to Imprimis, except as indicated on the disclosure schedules attached to this Agreement, as follows:</w:t>
      </w:r>
    </w:p>
    <w:p>
      <w:pPr>
        <w:spacing w:after="0" w:line="17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Authority and Binding Effect</w:t>
      </w:r>
      <w:r>
        <w:rPr>
          <w:rFonts w:ascii="Arial" w:cs="Arial" w:eastAsia="Arial" w:hAnsi="Arial"/>
          <w:sz w:val="16"/>
          <w:szCs w:val="16"/>
          <w:color w:val="auto"/>
        </w:rPr>
        <w:t>. The Sellers have full power and authority to execute and deliver this Agreement and the other documents and instruments contemplated hereby. This Agreement and the other documents and instruments contemplated hereby, and the consummation by the Sellers of their obligations contained herein and therein, have been duly authorized by all necessary actions of the Sellers, and this Agreement and the other documents and instruments contemplated hereby have been duly executed and delivered by the Sellers. This Agreement and the other documents and instruments contemplated hereby are valid and binding agreements of the Sellers, enforceable against the Sellers in accordance with their respective terms.</w:t>
      </w:r>
    </w:p>
    <w:p>
      <w:pPr>
        <w:spacing w:after="0" w:line="15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Organization and Standing</w:t>
      </w:r>
      <w:r>
        <w:rPr>
          <w:rFonts w:ascii="Arial" w:cs="Arial" w:eastAsia="Arial" w:hAnsi="Arial"/>
          <w:sz w:val="17"/>
          <w:szCs w:val="17"/>
          <w:color w:val="auto"/>
        </w:rPr>
        <w:t>. NDS is a limited liability company duly organized, validly existing and in good standing under the laws of the State of New Jersey. ECNW is a physician association duly organized, validly existing and in good standing under the laws of the State of New Jersey. Each of the Sellers is qualified to do business in each jurisdiction where such qualification is necessary. Each of the Sellers has the requisite corporate power and authority to conduct its business as now conducted, to own the Assets and to use such Assets in the conduct of its business.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3.3.1 There exist no Assigned Patent Rights as of the Effective Date.</w:t>
      </w:r>
    </w:p>
    <w:p>
      <w:pPr>
        <w:spacing w:after="0" w:line="225" w:lineRule="exact"/>
        <w:rPr>
          <w:sz w:val="20"/>
          <w:szCs w:val="20"/>
          <w:color w:val="auto"/>
        </w:rPr>
      </w:pPr>
    </w:p>
    <w:p>
      <w:pPr>
        <w:jc w:val="both"/>
        <w:ind w:right="20" w:firstLine="1945"/>
        <w:spacing w:after="0" w:line="312" w:lineRule="auto"/>
        <w:rPr>
          <w:sz w:val="20"/>
          <w:szCs w:val="20"/>
          <w:color w:val="auto"/>
        </w:rPr>
      </w:pPr>
      <w:r>
        <w:rPr>
          <w:rFonts w:ascii="Arial" w:cs="Arial" w:eastAsia="Arial" w:hAnsi="Arial"/>
          <w:sz w:val="16"/>
          <w:szCs w:val="16"/>
          <w:color w:val="auto"/>
        </w:rPr>
        <w:t>3.3.2 The Sellers have good and marketable title to each of the Assets, and each of the Assets is held or controlled by one or both of the Sellers free and clear of any Encumbrances (including without limitation any distribution rights and royalty rights). All Assets are, and all Assigned Patent Rights will be, fully transferable, alienable or licensable by Imprimis without restriction and without payment of any kind to any Third Party.</w:t>
      </w:r>
    </w:p>
    <w:p>
      <w:pPr>
        <w:spacing w:after="0" w:line="147"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3.3.3 All Assets are currently in compliance with applicable legal requirements (including payment of filing, examination and maintenance fees and proofs of use), and are not subject to any unpaid maintenance fees or taxes or actions falling due within ten (10) days after the Effective Date.</w:t>
      </w:r>
    </w:p>
    <w:p>
      <w:pPr>
        <w:spacing w:after="0" w:line="181" w:lineRule="exact"/>
        <w:rPr>
          <w:sz w:val="20"/>
          <w:szCs w:val="20"/>
          <w:color w:val="auto"/>
        </w:rPr>
      </w:pPr>
    </w:p>
    <w:p>
      <w:pPr>
        <w:jc w:val="both"/>
        <w:ind w:firstLine="1945"/>
        <w:spacing w:after="0" w:line="276" w:lineRule="auto"/>
        <w:rPr>
          <w:sz w:val="20"/>
          <w:szCs w:val="20"/>
          <w:color w:val="auto"/>
        </w:rPr>
      </w:pPr>
      <w:r>
        <w:rPr>
          <w:rFonts w:ascii="Arial" w:cs="Arial" w:eastAsia="Arial" w:hAnsi="Arial"/>
          <w:sz w:val="17"/>
          <w:szCs w:val="17"/>
          <w:color w:val="auto"/>
        </w:rPr>
        <w:t>3.3.4 To the extent that any Assets or Assigned Patent Rights were originally owned or created by or for any Person other than the Sellers, (a) the Sellers have obtained or will procure the complete, unencumbered and unrestricted right to effect the transfer of the Assets or Assigned Patent Rights from the Sellers to Imprimis and hereby confirm that such transfer does not violate any such right to transfer; (b) no Third Parties have retained or otherwise have any rights or licenses with respect to the Assets and Assigned Patent Rights; and (iv) to the Knowledge of the Sellers, no valid basis exists for any such Person to challenge or object to this Agreement or the transactions contemplated herein.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5" w:name="page56"/>
    <w:bookmarkEnd w:id="55"/>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3.3.5 No Seller or Affiliate of a Seller has transferred ownership of, or granted any license of or right to use, or authorized the retention of any rights to use, to any Person any Assets or Assigned Patent Rights.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3.3.6 No Seller is required to make or accrue any royalty, milestone or other similar payment to any Third Party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of the Assets.</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3.3.7 To Sellers’ Knowledge, none of the Assets transferred hereunder infringe upon or misappropriate the intellectual property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Third Party.</w:t>
      </w:r>
    </w:p>
    <w:p>
      <w:pPr>
        <w:spacing w:after="0" w:line="21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Conflicts; Consents</w:t>
      </w:r>
      <w:r>
        <w:rPr>
          <w:rFonts w:ascii="Arial" w:cs="Arial" w:eastAsia="Arial" w:hAnsi="Arial"/>
          <w:sz w:val="18"/>
          <w:szCs w:val="18"/>
          <w:color w:val="auto"/>
        </w:rPr>
        <w:t>. The execution and delivery by the Sellers of this Agreement, and the consummation of the transactions contemplated hereby, will not conflict with (i) any provision of the organizational documents or bylaws of the Sellers; (ii) Contracts to which any Seller or any of its properties or assets (including intangible assets) is subject; or (iii) any judgment, order, decree, statute, law, ordinance, rule or regulation applicable to any of the Sellers or any of its properties or assets (tangible and intangible). It is not necessary for any of the Sellers to take any action or to obtain any approval, consent or release by or from any Third Party, governmental or other, to enable the Sellers to enter into or perform their obligations under this Agreement.</w:t>
      </w:r>
    </w:p>
    <w:p>
      <w:pPr>
        <w:spacing w:after="0" w:line="19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Litigation and Proceedings</w:t>
      </w:r>
      <w:r>
        <w:rPr>
          <w:rFonts w:ascii="Arial" w:cs="Arial" w:eastAsia="Arial" w:hAnsi="Arial"/>
          <w:sz w:val="17"/>
          <w:szCs w:val="17"/>
          <w:color w:val="auto"/>
        </w:rPr>
        <w:t>. There is no claim, action, suit, proceeding or investigation (or any counter or cross-claim in an action brought by or on behalf of a Seller), whether at law or in equity, or before or by any governmental department, commission, board, bureau, agency or instrumentality, domestic or foreign, or before any arbitrator of any kind, that is pending or, to Sellers’ Knowledge, threatened, against any Seller, which</w:t>
      </w:r>
    </w:p>
    <w:p>
      <w:pPr>
        <w:jc w:val="both"/>
        <w:ind w:firstLine="8"/>
        <w:spacing w:after="0" w:line="295" w:lineRule="auto"/>
        <w:tabs>
          <w:tab w:leader="none" w:pos="228"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could reasonably be expected to adversely affect the Sellers’ ability to perform its obligations under this Agreement or complete any of the transactions contemplated hereby; or (ii) involves the possibility of any judgment or liability, or which may become a claim, against the Assets, Imprimis or its business. None of the Sellers is subject to any judgment, order, writ, injunction, decree or award of any court, arbitrator or governmental department, commission, board, bureau, agency or instrumentality having jurisdiction over Sellers or any of the Assets that affects, involves or relates to the Assets.</w:t>
      </w:r>
    </w:p>
    <w:p>
      <w:pPr>
        <w:spacing w:after="0" w:line="16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Compliance with Law/Permits</w:t>
      </w:r>
      <w:r>
        <w:rPr>
          <w:rFonts w:ascii="Arial" w:cs="Arial" w:eastAsia="Arial" w:hAnsi="Arial"/>
          <w:sz w:val="17"/>
          <w:szCs w:val="17"/>
          <w:color w:val="auto"/>
        </w:rPr>
        <w:t>. Each Seller is in compliance with all, and is not in violation of any, law, ordinance, order, decree, rule or regulation of any governmental agency or authority, the violation of or noncompliance with which could have a material adverse effect on such Seller. No unresolved (i) charges of violations of laws or regulations relating to any of the Sellers’ business have been made or threatened; (ii) proceedings or investigations relating to any of the Sellers’ business are pending or have been threatened; and (iii) citations or notices of deficiency have been issued or have been threatened against any of the Sellers relating to or arising out of its business by any governmental authorities.</w:t>
      </w:r>
    </w:p>
    <w:p>
      <w:pPr>
        <w:spacing w:after="0" w:line="17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Contracts</w:t>
      </w:r>
      <w:r>
        <w:rPr>
          <w:rFonts w:ascii="Arial" w:cs="Arial" w:eastAsia="Arial" w:hAnsi="Arial"/>
          <w:sz w:val="18"/>
          <w:szCs w:val="18"/>
          <w:color w:val="auto"/>
        </w:rPr>
        <w:t>. Schedule 3.7 lists the Contracts to which the any of the Sellers is a party as of the date hereof which arise out of or relate to the Assets by which any of the Assets are currently bound (the “Material Contracts”). No Seller is in violation of or in default under (nor is there existing conditions which with the passage of time either giving of notice or both would cause such a violation or default under) any such Material Contract. Each such Material Contract is in full force and effect, and has a legal, valid and binding obligation of such Seller, and to Sellers’ Knowledge, each of the other parties thereto, and is enforceable in accordance with its terms. No Seller has received notice that it is in violation or breach of or in default under any such Material Contract. Except as set forth on Schedule 3.7, no such Material Contract has a provision that would require consent, notice or the payment of money or transfer of property as a result of the transactions contemplated herein.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Full Disclosure</w:t>
      </w:r>
      <w:r>
        <w:rPr>
          <w:rFonts w:ascii="Arial" w:cs="Arial" w:eastAsia="Arial" w:hAnsi="Arial"/>
          <w:sz w:val="18"/>
          <w:szCs w:val="18"/>
          <w:color w:val="auto"/>
        </w:rPr>
        <w:t>. The representations and warranties made by the Sellers in this Agreement and the schedules to be delivered pursuant to this Agreement do not contain any untrue statement of material fact or omit to state a material fact necessary to make any of them in the light of the circumstances in which they were made, not misleading.</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No Broker</w:t>
      </w:r>
      <w:r>
        <w:rPr>
          <w:rFonts w:ascii="Arial" w:cs="Arial" w:eastAsia="Arial" w:hAnsi="Arial"/>
          <w:sz w:val="18"/>
          <w:szCs w:val="18"/>
          <w:color w:val="auto"/>
        </w:rPr>
        <w:t>. The Sellers have not retained or used the services of an agent, finder, or broker in connection with the transactions contemplated by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Representations and Warranties of Imprimis</w:t>
      </w:r>
      <w:r>
        <w:rPr>
          <w:rFonts w:ascii="Arial" w:cs="Arial" w:eastAsia="Arial" w:hAnsi="Arial"/>
          <w:sz w:val="18"/>
          <w:szCs w:val="18"/>
          <w:color w:val="auto"/>
        </w:rPr>
        <w:t>. Imprimis represents and warrants to the Sellers as follows:</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Authority and Binding Effect</w:t>
      </w:r>
      <w:r>
        <w:rPr>
          <w:rFonts w:ascii="Arial" w:cs="Arial" w:eastAsia="Arial" w:hAnsi="Arial"/>
          <w:sz w:val="16"/>
          <w:szCs w:val="16"/>
          <w:color w:val="auto"/>
        </w:rPr>
        <w:t>. Imprimis has the full corporate power and authority to execute and deliver this Agreement and the other documents and instruments contemplated hereby. This Agreement and the other documents and instruments contemplated hereby, and the consummation by Imprimis of its obligations contained herein and therein, have been duly authorized by all necessary corporate actions of Imprimis, and this Agreement and the other documents and instruments contemplated hereby have been duly executed and delivered by Imprimis. This Agreement and the other documents and instruments contemplated hereby t are valid and binding agreements of Imprimis, enforceable against Imprimis in accordance with their respective terms.</w:t>
      </w:r>
    </w:p>
    <w:p>
      <w:pPr>
        <w:spacing w:after="0" w:line="15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Organization and Standing</w:t>
      </w:r>
      <w:r>
        <w:rPr>
          <w:rFonts w:ascii="Arial" w:cs="Arial" w:eastAsia="Arial" w:hAnsi="Arial"/>
          <w:sz w:val="16"/>
          <w:szCs w:val="16"/>
          <w:color w:val="auto"/>
        </w:rPr>
        <w:t>. Imprimis is a corporation duly organized, validly existing and in good standing under the laws of the State of Delaware, and Imprimis is qualified to do business in each jurisdiction where such qualification is necessary and where the failure to be so qualified would have a material adverse effect on Imprimis. Imprimis has the requisite corporate power and authority to conduct its business as now conducted.</w:t>
      </w:r>
    </w:p>
    <w:p>
      <w:pPr>
        <w:spacing w:after="0" w:line="14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Conflicts; Consents</w:t>
      </w:r>
      <w:r>
        <w:rPr>
          <w:rFonts w:ascii="Arial" w:cs="Arial" w:eastAsia="Arial" w:hAnsi="Arial"/>
          <w:sz w:val="16"/>
          <w:szCs w:val="16"/>
          <w:color w:val="auto"/>
        </w:rPr>
        <w:t>. The execution and delivery by Imprimis of this Agreement, and the consummation of the transactions contemplated hereby, will not give rise to a Conflict with respect to (i) any provision of the certificate of incorporation or bylaws of Imprimis, each as amended to date;</w:t>
      </w:r>
    </w:p>
    <w:p>
      <w:pPr>
        <w:jc w:val="both"/>
        <w:ind w:firstLine="8"/>
        <w:spacing w:after="0" w:line="295" w:lineRule="auto"/>
        <w:tabs>
          <w:tab w:leader="none" w:pos="281"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Contracts to which Imprimis or any of its properties or assets (including intangible assets) is subject; or (iii) any judgment, order, decree, statute, law, ordinance, rule or regulation applicable to Imprimis or any of its properties or assets (tangible and intangible), except in any such case where it would not have a material adverse effect on the Seller’s rights under the Assets. It is not necessary for Imprimis to take any action or to obtain any approval, consent, or release by or from any Third Party, governmental or other, to enable Imprimis to enter into or perform its obligations under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7" w:name="page58"/>
    <w:bookmarkEnd w:id="57"/>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Compliance with Law/Permits</w:t>
      </w:r>
      <w:r>
        <w:rPr>
          <w:rFonts w:ascii="Arial" w:cs="Arial" w:eastAsia="Arial" w:hAnsi="Arial"/>
          <w:sz w:val="18"/>
          <w:szCs w:val="18"/>
          <w:color w:val="auto"/>
        </w:rPr>
        <w:t>. Imprimis is in compliance with all, and is not in violation of any, law, ordinance, order, decree, rule or regulation of any governmental agency or authority, the violation of or noncompliance with which could have a material adverse effect on Imprimis. No unresolved (i) charges of violations of laws or regulations relating to Imprimis’ business have been made or threatened; (ii) proceedings or investigations relating to Imprimis’ business are pending or have been threatened; and (iii) citations or notices of deficiency have been issued or have been threatened, against Imprimis relating to or arising out of its business by any governmental authorities, which have had or could reasonably be expected to have, individually or in the aggregate, a material adverse effect on Imprimis.</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Broker</w:t>
      </w:r>
      <w:r>
        <w:rPr>
          <w:rFonts w:ascii="Arial" w:cs="Arial" w:eastAsia="Arial" w:hAnsi="Arial"/>
          <w:sz w:val="18"/>
          <w:szCs w:val="18"/>
          <w:color w:val="auto"/>
        </w:rPr>
        <w:t>. Imprimis has not retained or used the services of an agent, finder, or broker in connection with the transactions contemplated by this Agreement.</w:t>
      </w:r>
    </w:p>
    <w:p>
      <w:pPr>
        <w:spacing w:after="0" w:line="170" w:lineRule="exact"/>
        <w:rPr>
          <w:sz w:val="20"/>
          <w:szCs w:val="20"/>
          <w:color w:val="auto"/>
        </w:rPr>
      </w:pPr>
    </w:p>
    <w:p>
      <w:pPr>
        <w:ind w:left="840" w:hanging="18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Net Sales Payments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Net Sales Payment Amounts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Net Sales Payment Consideration</w:t>
      </w:r>
      <w:r>
        <w:rPr>
          <w:rFonts w:ascii="Arial" w:cs="Arial" w:eastAsia="Arial" w:hAnsi="Arial"/>
          <w:sz w:val="18"/>
          <w:szCs w:val="18"/>
          <w:color w:val="auto"/>
        </w:rPr>
        <w:t>. Subject to the provisions in this Section 5.1 and Section 5.2, on a Product-by-Product and country-by-country basis, Imprimis shall pay to the Sellers, on a quarterly basis, an aggregate of [***] of Net Receipts of any Product during the applicable Payment Period (the “Net Sales Payment Consideration”).</w:t>
      </w:r>
    </w:p>
    <w:p>
      <w:pPr>
        <w:spacing w:after="0" w:line="181" w:lineRule="exact"/>
        <w:rPr>
          <w:sz w:val="20"/>
          <w:szCs w:val="20"/>
          <w:color w:val="auto"/>
        </w:rPr>
      </w:pPr>
    </w:p>
    <w:p>
      <w:pPr>
        <w:jc w:val="both"/>
        <w:ind w:firstLine="1945"/>
        <w:spacing w:after="0" w:line="276"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Third Party Royalties</w:t>
      </w:r>
      <w:r>
        <w:rPr>
          <w:rFonts w:ascii="Arial" w:cs="Arial" w:eastAsia="Arial" w:hAnsi="Arial"/>
          <w:sz w:val="17"/>
          <w:szCs w:val="17"/>
          <w:color w:val="auto"/>
        </w:rPr>
        <w:t>. If Imprimis, its Licensees or their respective Affiliates is required to pay royalties to any Third Party in order to make, have made, use, sell, offer to sale or import any Product, then Imprimis shall have the right to credit [***] of such Third Party royalty payments against the Net Sales Payment Consideration owing to the Sellers under Section 5.1.1 with respect to sales of such Product; provided, however, that Imprimis shall not reduce the amount of the royalties paid to the Sellers under Section 5.1.1 by reason of this Section 5.1.2, with respect to sales of such Product for any period, to less than an aggregate of [***] of Net Receipts of such Product for such period.</w:t>
      </w:r>
    </w:p>
    <w:p>
      <w:pPr>
        <w:spacing w:after="0" w:line="173"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Combination/Bundled Products</w:t>
      </w:r>
      <w:r>
        <w:rPr>
          <w:rFonts w:ascii="Arial" w:cs="Arial" w:eastAsia="Arial" w:hAnsi="Arial"/>
          <w:sz w:val="18"/>
          <w:szCs w:val="18"/>
          <w:color w:val="auto"/>
        </w:rPr>
        <w:t>. In the event that a Product is sold by Imprimis, its Licensees or their respective Affiliates in combination with one or more products which is itself not a Product, then Net Sales shall be calculated by multiplying the sales price of such combination sale by the fraction A/(A+B) where A is the fair market value of the Product(s) and B is the fair market value of the other product(s) in the combination sale, each as reasonably determined by Imprimis.</w:t>
      </w:r>
    </w:p>
    <w:p>
      <w:pPr>
        <w:spacing w:after="0" w:line="18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Reports and Net Sales Payments</w:t>
      </w:r>
      <w:r>
        <w:rPr>
          <w:rFonts w:ascii="Arial" w:cs="Arial" w:eastAsia="Arial" w:hAnsi="Arial"/>
          <w:sz w:val="16"/>
          <w:szCs w:val="16"/>
          <w:color w:val="auto"/>
        </w:rPr>
        <w:t>. Within sixty (60) days after the end of each calendar quarter during the applicable Payment Period, Imprimis will deliver to the Sellers a report setting forth for such calendar quarter (a) the calculation of the applicable Net Sales Payment Consideration;</w:t>
      </w:r>
    </w:p>
    <w:p>
      <w:pPr>
        <w:jc w:val="both"/>
        <w:ind w:firstLine="8"/>
        <w:spacing w:after="0" w:line="269" w:lineRule="auto"/>
        <w:tabs>
          <w:tab w:leader="none" w:pos="267"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payments due under this Agreement for the sale of each Product; and (c) the applicable exchange rate as determined below. Imprimis will remit the total payments due for the sale of Products during such calendar quarter at the time such report is made. No such reports or payments will be due for any Product before the First Commercial Sale of such Product. With respect to Net Receipts received in United States dollars, all amounts shall be expressed in United States dollars. With respect to Net Receipts received in a currency other than United States dollars, all amounts shall be expressed both in the currency in which the amount is invoiced (or received as applicable) and in the United States dollar equivalent. The United States dollar equivalent shall be calculated using the average of the exchange rate (local currency per US$1) published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Western Edition, under the heading “Currency Trading” on the last business day of each month during the applicable calendar quarter.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8" w:name="page59"/>
    <w:bookmarkEnd w:id="58"/>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Payment Terms</w:t>
      </w:r>
      <w:r>
        <w:rPr>
          <w:rFonts w:ascii="Arial" w:cs="Arial" w:eastAsia="Arial" w:hAnsi="Arial"/>
          <w:sz w:val="18"/>
          <w:szCs w:val="18"/>
          <w:color w:val="auto"/>
        </w:rPr>
        <w:t>. The Net Sales Payment Consideration shown to have accrued by each report provided for under Section 5.2 shall be due on the date such report is due, and shall be paid 50% to NDS and 50% to ECNW. Payment of Net Sales Payment Consideration in whole or in part may be made in advance of such due date.</w:t>
      </w:r>
    </w:p>
    <w:p>
      <w:pPr>
        <w:spacing w:after="0" w:line="181"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Exchange Control</w:t>
      </w:r>
      <w:r>
        <w:rPr>
          <w:rFonts w:ascii="Arial" w:cs="Arial" w:eastAsia="Arial" w:hAnsi="Arial"/>
          <w:sz w:val="18"/>
          <w:szCs w:val="18"/>
          <w:color w:val="auto"/>
        </w:rPr>
        <w:t>. If at any time legal restrictions prevent the prompt remittance of part or all Net Sales Payment Consideration with respect to any country in where a Product is sold, Imprimis shall have the right, in its sole discretion, to make such payments by depositing the amount thereof in local currency to the each of the Seller’s accounts in a bank or other depository institution in such country. If the payment rate specified in this Agreement should exceed the permissible rate established in any country, the payment rate for sales in such country shall be adjusted to the highest legally permissible or government-approved rate.</w:t>
      </w:r>
    </w:p>
    <w:p>
      <w:pPr>
        <w:spacing w:after="0" w:line="188"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Withholding Taxes</w:t>
      </w:r>
      <w:r>
        <w:rPr>
          <w:rFonts w:ascii="Arial" w:cs="Arial" w:eastAsia="Arial" w:hAnsi="Arial"/>
          <w:sz w:val="18"/>
          <w:szCs w:val="18"/>
          <w:color w:val="auto"/>
        </w:rPr>
        <w:t>. Imprimis shall be entitled to deduct the amount of any withholding taxes, value-added taxes or other taxes, levies or charges with respect to such amounts, other than United States taxes, payable by Imprimis, its Licensees or their respective Affiliates, or any taxes required to be withheld by Imprimis, its Licensees or their respective Affiliates, to the extent Imprimis, its Licensees or their respective Affiliates pay to the appropriate governmental authority on behalf of the Sellers such taxes, levies or charges. Imprimis shall use reasonable efforts to minimize any such taxes, levies or charges required to be withheld on behalf of the Sellers by Imprimis, its Licensees or their respective Affiliates. Imprimis promptly shall deliver to the Sellers proof of payment of all such taxes, levies and other charges, together with copies of all communications from or with such governmental authority with respect thereto.</w:t>
      </w:r>
    </w:p>
    <w:p>
      <w:pPr>
        <w:spacing w:after="0" w:line="18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Audits</w:t>
      </w:r>
      <w:r>
        <w:rPr>
          <w:rFonts w:ascii="Arial" w:cs="Arial" w:eastAsia="Arial" w:hAnsi="Arial"/>
          <w:sz w:val="16"/>
          <w:szCs w:val="16"/>
          <w:color w:val="auto"/>
        </w:rPr>
        <w:t>. Upon the written request of both Sellers and not more than once in each calendar year, Imprimis shall permit an independent certified public accounting firm of nationally recognized standing selected by the Sellers and reasonably acceptable to Imprimis, at the Sellers’ expense, to have access during normal business hours to such of the financial records of Imprimis as may be reasonably necessary to verify the accuracy of the Net Sales Payment Consideration reports hereunder for the eight (8) calendar quarters immediately prior to the date of such request (other than records for which the Sellers have already conducted an audit under this Section). If such accounting firm concludes that additional amounts were owed during the audited period, Imprimis shall pay such additional amounts within thirty (30) days after the date the Sellers deliver to Imprimis such accounting firm’s written report so concluding. The fees charged by such accounting firm shall be paid by the Sellers; provided, however, if the audit discloses that the Net Sales Payment Consideration payable by Imprimis for such period are more than one hundred ten percent (110%) of the Net Sales Payment Consideration actually paid for such period, then Imprimis shall pay the reasonable fees and expenses charged by such accounting firm. The Sellers shall cause their accounting firm to retain all financial information subject to review under this Section 5.4 in strict confidence; provided, however, that Imprimis shall have the right to require that such accounting firm, prior to conducting such audit, enter into an appropriate non-disclosure agreement with Imprimis regarding such financial information. The accounting firm shall disclose to the Sellers only whether the reports are correct or not and the amount of any discrepancy. No other information shall be shared. The Sellers shall treat all such financial information as Imprimis’ confidential information, and shall not disclose such financial information to any Third Party or use it for any purpose other than as specified in this Section 5.4.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9" w:name="page60"/>
    <w:bookmarkEnd w:id="59"/>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Survival</w:t>
      </w:r>
      <w:r>
        <w:rPr>
          <w:rFonts w:ascii="Arial" w:cs="Arial" w:eastAsia="Arial" w:hAnsi="Arial"/>
          <w:sz w:val="18"/>
          <w:szCs w:val="18"/>
          <w:color w:val="auto"/>
        </w:rPr>
        <w:t>. This Section 5 shall survive the expiration or termination of this Agreement and shall only terminate upon the expiration of the Payment Period and all payment obligations.</w:t>
      </w:r>
    </w:p>
    <w:p>
      <w:pPr>
        <w:spacing w:after="0" w:line="170" w:lineRule="exact"/>
        <w:rPr>
          <w:sz w:val="20"/>
          <w:szCs w:val="20"/>
          <w:color w:val="auto"/>
        </w:rPr>
      </w:pPr>
    </w:p>
    <w:p>
      <w:pPr>
        <w:ind w:left="1300" w:right="8320" w:hanging="644"/>
        <w:spacing w:after="0" w:line="563" w:lineRule="auto"/>
        <w:tabs>
          <w:tab w:leader="none" w:pos="83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Post-Effective Date Covenants</w:t>
      </w:r>
      <w:r>
        <w:rPr>
          <w:rFonts w:ascii="Arial" w:cs="Arial" w:eastAsia="Arial" w:hAnsi="Arial"/>
          <w:sz w:val="16"/>
          <w:szCs w:val="16"/>
          <w:color w:val="auto"/>
        </w:rPr>
        <w:t xml:space="preserve">. 6.1 </w:t>
      </w:r>
      <w:r>
        <w:rPr>
          <w:rFonts w:ascii="Arial" w:cs="Arial" w:eastAsia="Arial" w:hAnsi="Arial"/>
          <w:sz w:val="16"/>
          <w:szCs w:val="16"/>
          <w:u w:val="single" w:color="auto"/>
          <w:color w:val="auto"/>
        </w:rPr>
        <w:t>Imprimis Diligence</w:t>
      </w:r>
      <w:r>
        <w:rPr>
          <w:rFonts w:ascii="Arial" w:cs="Arial" w:eastAsia="Arial" w:hAnsi="Arial"/>
          <w:sz w:val="16"/>
          <w:szCs w:val="16"/>
          <w:color w:val="auto"/>
        </w:rPr>
        <w:t>.</w:t>
      </w:r>
    </w:p>
    <w:p>
      <w:pPr>
        <w:spacing w:after="0" w:line="1"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6.1.1 Imprimis shall use commercially reasonable efforts (whether alone or with or through its Licensees and its or their respective Affiliates) to research, develop and commercialize a Product in major markets.</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6.1.2 Imprimis shall control, at its sole expense, the preparation, filing, prosecution, maintenance and enforcement of the Assigned Patent Rights consistent with prudent business practices, and shall consider in good faith the interests of the Sellers.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Seller Covenants</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6.2.1 The Sellers shall transfer to Imprimis all documents and information comprising the Assets within thirty (30) days after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11"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6.2.2 During the term of the Agreement, Imprimis shall have the first right (at its sole option in its sole discretion) to acquire each new product and technology opportunity of each of the Sellers and their respective Affiliates pursuant to a transaction with substantially the same structure as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color w:val="auto"/>
        </w:rPr>
        <w:t>6.3.1 The Sellers shall provide all cooperation reasonably requested by Imprimis in connection with any effort by Imprimis to establish, perfect, defend, or enforce its rights in or to the Assets (including the Assigned Patent Rights). Such cooperation shall include, without limitation,</w:t>
      </w:r>
    </w:p>
    <w:p>
      <w:pPr>
        <w:jc w:val="both"/>
        <w:ind w:firstLine="8"/>
        <w:spacing w:after="0" w:line="286" w:lineRule="auto"/>
        <w:tabs>
          <w:tab w:leader="none" w:pos="218"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executing further consistent assignments, transfers, licenses, and releases, and (ii) providing data and information, consulting with Imprimis and executing and delivering any documents and instruments regarding the preparation and prosecution of the Assigned Patent Rights. In addition, to the extent any of the Sellers cannot transfer and assign any of the Assigned Patent Rights, or any portion thereof, as of the Effective Date, then such Seller will assign and transfer the same at the first opportunity to do so. To the extent further transfer or assignment of any patents rights is required and the Sellers have not, within fifteen (15) days after the delivery of such assignment to the Sellers, (a) executed and returned to Imprimis the form of assignment reasonably requested by Imprimis, or (b) delivered to Imprimis a written objection to Imprimis’ request, then each Seller hereby irrevocably appoints Imprimis as its attorney-in-fact with the right, authority, and ability to execute and enter into such assignment on behalf of such Seller. The Sellers each further stipulates and agrees that such appointment is a right coupled with an interest and will survive the incapacity or unavailability of such Seller at any future time. To the extent that any of the Assigned Patent Rights cannot be assigned and transferred by any of the Sellers, then each of the Sellers hereby grants Imprimis an irrevocable, worldwide, fully-paid up, royalty-free, exclusive license, with the right to sublicense through multiple tiers, under the Assigned Patent Rights for all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0" w:name="page61"/>
    <w:bookmarkEnd w:id="60"/>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6.3.2 The Sellers shall provide all cooperation reasonably requested by Imprimis, and shall provide reasonable to support to Imprimis, in connection with any effort by Imprimis to perform: (a) processes and activities for the further discovery and research of any Product for a particular indication; (b) processes and activities conducted to obtain all approvals, licenses, registrations or authorizations necessary for the commercialization of any Product for a particular indication; and (c) processes and activities conducted for the manufacture or other production of any Product. Such cooperation shall include, without limitation, providing data and information and consulting with Imprimis.</w:t>
      </w:r>
    </w:p>
    <w:p>
      <w:pPr>
        <w:spacing w:after="0" w:line="188" w:lineRule="exact"/>
        <w:rPr>
          <w:sz w:val="20"/>
          <w:szCs w:val="20"/>
          <w:color w:val="auto"/>
        </w:rPr>
      </w:pPr>
    </w:p>
    <w:p>
      <w:pPr>
        <w:jc w:val="both"/>
        <w:ind w:firstLine="1945"/>
        <w:spacing w:after="0" w:line="287" w:lineRule="auto"/>
        <w:rPr>
          <w:sz w:val="20"/>
          <w:szCs w:val="20"/>
          <w:color w:val="auto"/>
        </w:rPr>
      </w:pPr>
      <w:r>
        <w:rPr>
          <w:rFonts w:ascii="Arial" w:cs="Arial" w:eastAsia="Arial" w:hAnsi="Arial"/>
          <w:sz w:val="16"/>
          <w:szCs w:val="16"/>
          <w:color w:val="auto"/>
        </w:rPr>
        <w:t>6.3.3 Imprimis shall determine the strategy for, and coordinate, the publication and presentation of any disclosures related to the Technology, and the Sellers and their respective Affiliates are not permitted to publish or present any disclosures related to the Technology without the prior written consent of Imprimis. Imprimis shall authorize and permit the publication or presentation of information related to the Technology by the Sellers and their Affiliates only in compliance with the following guidelines: A publishing party shall provide, and shall cause its Affiliates to provide, to Imprimis copies of any manuscript intended for publication or any presentation intended for public disclosure (including any oral disclosure made with or without obligation of confidentiality) by or on behalf of the publishing party or its Affiliates that incorporates any information related to the Technology or that may include confidential information of Imprimis, at least sixty (60) days before the submission of any manuscript for publication or the public presentation for Imprimis’ review and approval. If after review Imprimis determines that the publishing party may publish or present such publication, Imprimis shall return to the publishing party the manuscript or presentation with any proposed changes. The publishing party shall incorporate Imprimis’ proposed changes to the manuscript or presentation prior to publication. Imprimis may further request that the publishing party postpone the publication or presentation in order to consider appropriate patent applications or other protection to be filed on information contained in the publication or presentation.</w:t>
      </w:r>
    </w:p>
    <w:p>
      <w:pPr>
        <w:spacing w:after="0" w:line="173" w:lineRule="exact"/>
        <w:rPr>
          <w:sz w:val="20"/>
          <w:szCs w:val="20"/>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Indemnification of Imprimis</w:t>
      </w:r>
      <w:r>
        <w:rPr>
          <w:rFonts w:ascii="Arial" w:cs="Arial" w:eastAsia="Arial" w:hAnsi="Arial"/>
          <w:sz w:val="18"/>
          <w:szCs w:val="18"/>
          <w:color w:val="auto"/>
        </w:rPr>
        <w:t>. Subject to the provisions of this Section 7, each of the Sellers shall indemnify and hold harmless Imprimis, its officers, directors, affiliates, agents, stockholders and representatives (collectively, the “Imprimis Indemnitees”), from and against any and all damage, loss, liability and expense (including without limitation reasonable expenses of investigation and reasonable attorneys’ and consultants’ fees and expenses in connection with any action, suit or proceeding or settlement of any of the foregoing) (collectively, “Losses”) incurred or suffered by an Imprimis Indemnitee arising out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1" w:name="page62"/>
    <w:bookmarkEnd w:id="61"/>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7.1.1 any breach of the representations and warranties of such Seller set forth in this Agreement;</w:t>
      </w:r>
    </w:p>
    <w:p>
      <w:pPr>
        <w:spacing w:after="0" w:line="225"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7.1.2 any breach of any covenant or agreement of such Seller set forth in this Agreement or in any certificate, instrument, or other document delivered pursuant to this Agreement;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7.1.3 the ownership or operation of the Assets prior to the Effective Date or any liability or obligation whatsoever of such Seller.</w:t>
      </w:r>
    </w:p>
    <w:p>
      <w:pPr>
        <w:spacing w:after="0" w:line="248"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of the Sellers</w:t>
      </w:r>
      <w:r>
        <w:rPr>
          <w:rFonts w:ascii="Arial" w:cs="Arial" w:eastAsia="Arial" w:hAnsi="Arial"/>
          <w:sz w:val="18"/>
          <w:szCs w:val="18"/>
          <w:color w:val="auto"/>
        </w:rPr>
        <w:t>. Subject to the provisions of this Section 7, Imprimis shall indemnify and hold harmless the Sellers and their respective officers, directors, managers, members, affiliates, agents, stockholders and representatives (collectively, the “Seller Indemnitees”), from and against any and all Losses incurred or suffered by a Seller Indemnitee arising out of:</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7.2.1 any breach of the representations and warranties of Imprimis set forth in this Agreement;</w:t>
      </w:r>
    </w:p>
    <w:p>
      <w:pPr>
        <w:spacing w:after="0" w:line="225"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7.2.2 any breach of any covenant or agreement of Imprimis set forth in this Agreement or in any certificate, instrument, or other document delivered pursuant to this Agreement; and</w:t>
      </w:r>
    </w:p>
    <w:p>
      <w:pPr>
        <w:spacing w:after="0" w:line="170" w:lineRule="exact"/>
        <w:rPr>
          <w:sz w:val="20"/>
          <w:szCs w:val="20"/>
          <w:color w:val="auto"/>
        </w:rPr>
      </w:pPr>
    </w:p>
    <w:p>
      <w:pPr>
        <w:jc w:val="both"/>
        <w:ind w:firstLine="1945"/>
        <w:spacing w:after="0" w:line="308" w:lineRule="auto"/>
        <w:rPr>
          <w:sz w:val="20"/>
          <w:szCs w:val="20"/>
          <w:color w:val="auto"/>
        </w:rPr>
      </w:pPr>
      <w:r>
        <w:rPr>
          <w:rFonts w:ascii="Arial" w:cs="Arial" w:eastAsia="Arial" w:hAnsi="Arial"/>
          <w:sz w:val="17"/>
          <w:szCs w:val="17"/>
          <w:color w:val="auto"/>
        </w:rPr>
        <w:t>7.2.3 the activities of Imprimis regarding the ownership or operation of the Assets after the Effective Date, including without limitation the manufacture, use, or sale of Product by Imprimis, its Licensees or their respective Affiliates or the use of Product by their customers.</w:t>
      </w:r>
    </w:p>
    <w:p>
      <w:pPr>
        <w:spacing w:after="0" w:line="14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Offset</w:t>
      </w:r>
      <w:r>
        <w:rPr>
          <w:rFonts w:ascii="Arial" w:cs="Arial" w:eastAsia="Arial" w:hAnsi="Arial"/>
          <w:sz w:val="17"/>
          <w:szCs w:val="17"/>
          <w:color w:val="auto"/>
        </w:rPr>
        <w:t>. Imprimis may offset against the Net Sales Payment Consideration or any other amounts due the Sellers from Imprimis, any amounts owed to Imprimis for indemnification under Section 7.1. The exercise of such offset by Imprimis in good faith, whether or not ultimately determined to be justified, will not constitute an event of default hereunder. Neither the exercise nor the failure to exercise, any such right of offset will constitute an election of remedies or limit Imprimis in any manner in the enforcement of any other remedies that may be available to it.</w:t>
      </w:r>
    </w:p>
    <w:p>
      <w:pPr>
        <w:spacing w:after="0" w:line="17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Procedure</w:t>
      </w:r>
      <w:r>
        <w:rPr>
          <w:rFonts w:ascii="Arial" w:cs="Arial" w:eastAsia="Arial" w:hAnsi="Arial"/>
          <w:sz w:val="16"/>
          <w:szCs w:val="16"/>
          <w:color w:val="auto"/>
        </w:rPr>
        <w:t>. A party seeking indemnification (the “Indemnitee”) will promptly notify the other party (the “Indemnifying Party”) in writing of a claim or suit; provided that an Indemnitee’s failure to give such notice or delay in giving such notice will not affect such Indemnitee’s right to indemnification under this Section 7 except to the extent that the Indemnifying Party has been prejudiced by such failure or delay. Imprimis shall have the right to control the defense of all indemnification claims hereunder. The Sellers shall have the right to participate at their own expense in the claim or suit with counsel of their own choosing. Imprimis will consult with the Indemnitee in good faith with respect to all non-privileged aspects of the defense strategy. The Sellers cooperate with the Imprimis as reasonably requested, at the Sellers’ sole cost and expense. Imprimis will not settle any claim or suit with respect to which any of the Sellers is the Indemnifying Party without such Seller’s prior written consent, which consent shall not be unreasonably withheld.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2" w:name="page63"/>
    <w:bookmarkEnd w:id="62"/>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Several Liability</w:t>
      </w:r>
      <w:r>
        <w:rPr>
          <w:rFonts w:ascii="Arial" w:cs="Arial" w:eastAsia="Arial" w:hAnsi="Arial"/>
          <w:sz w:val="18"/>
          <w:szCs w:val="18"/>
          <w:color w:val="auto"/>
        </w:rPr>
        <w:t>. All obligations of the Sellers hereunder are several and not joint, and in no event shall a party have any liability or obligation with respect to the acts or omissions of any other party to this Agreement.</w:t>
      </w:r>
    </w:p>
    <w:p>
      <w:pPr>
        <w:spacing w:after="0" w:line="170" w:lineRule="exact"/>
        <w:rPr>
          <w:sz w:val="20"/>
          <w:szCs w:val="20"/>
          <w:color w:val="auto"/>
        </w:rPr>
      </w:pPr>
    </w:p>
    <w:p>
      <w:pPr>
        <w:ind w:left="840" w:hanging="184"/>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continue until expiration of all payment obligations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8.2.1 Imprimis shall have the right to terminate this Agreement at its option in its sole discretion upon written notice to the Sellers.</w:t>
      </w:r>
    </w:p>
    <w:p>
      <w:pPr>
        <w:spacing w:after="0" w:line="248"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8.2.2 If Imprimis, its Licensee or their respective Affiliates fails to file an Investigational New Drug Application in the United States for a Product before the fifth anniversary of the Effective Date, then (unless the parties otherwise mutually agree in writing) the Sellers shall jointly have the right, at their option and as their sole remedy, to terminate the Agreement.</w:t>
      </w:r>
    </w:p>
    <w:p>
      <w:pPr>
        <w:spacing w:after="0" w:line="181"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8.2.3 In the event of the termination of this Agreement in accordance with this Section 8.2, Imprimis shall re-assign to the Sellers the Technology and the other Assets.</w:t>
      </w:r>
    </w:p>
    <w:p>
      <w:pPr>
        <w:spacing w:after="0" w:line="170" w:lineRule="exact"/>
        <w:rPr>
          <w:sz w:val="20"/>
          <w:szCs w:val="20"/>
          <w:color w:val="auto"/>
        </w:rPr>
      </w:pPr>
    </w:p>
    <w:p>
      <w:pPr>
        <w:ind w:left="840" w:hanging="18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No party shall make any public announcements concerning matters concerning this Agreement or the negotiation thereof without the prior written consent of the other parties unless such disclosure is required by law, in which case the announcing party shall provide the other party with reasonable notice of such disclosure.</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Assignment</w:t>
      </w:r>
      <w:r>
        <w:rPr>
          <w:rFonts w:ascii="Arial" w:cs="Arial" w:eastAsia="Arial" w:hAnsi="Arial"/>
          <w:sz w:val="18"/>
          <w:szCs w:val="18"/>
          <w:color w:val="auto"/>
        </w:rPr>
        <w:t>. No party shall assign its rights or obligations under this Agreement without the prior written consent of the other parties;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9.2 shall be void.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3" w:name="page64"/>
    <w:bookmarkEnd w:id="63"/>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party hereby agrees, and agrees to cause its stockholders, members, and representatives, to keep the terms of this Agreement confidential and, without limiting its other obligations hereunder, will treat and safeguard such terms with the same degree of care with which it treats its own confidential information (but in no less a reasonable degree of care) and to limit access to such terms to such employees, consultants, representatives and professional advisors of such party who reasonably require such access in connection with the activities contemplated by this Agreement or otherwise to administer the terms of this Agreement. To the extent practicable, in the event that a party is required to disclose such terms pursuant to any law, regulation, or judicial or administrative directive, such party will promptly notify the other party in order to allow the other party a reasonable period of time to obtain protective or confidential treatment of such terms before they are disclosed. Either party may disclose the terms of this Agreement (i) to the extent required, in the reasonable opinion of such party’s legal counsel, to comply with applicable laws, including, without limitation, the rules and regulations promulgated by the United States Securities and Exchange Commission; and (ii) in connection with a prospective acquisition, merger, financing, or license for such party, to prospective acquirers or merger candidates or to existing or potential investors or licensees;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prior to such disclosure each such candidate or investor will agree to be bound by obligations of confidentiality and non-use at least equivalent in scope to those set forth in this Section 9.3. Each party acknowledges that it will be impossible to measure in money the damage to the other party if such party fails to comply with the obligations imposed by this Section 9.3, and that, in the event of any such failure, the non-disclosing party may not have an adequate remedy at law or in damages. Accordingly, each party agrees that injunctive relief or other equitable remedy, in addition to remedies at law or damages, is an appropriate remedy for any such failure and will not oppose the granting of such relief on the basis that the disclosing party has an adequate remedy at law. Each party agrees that it will not seek, and agrees to waive any requirement for, the securing or posting of a bond in connection with the non-disclosing party seeking or obtaining such equitable relief.</w:t>
      </w:r>
    </w:p>
    <w:p>
      <w:pPr>
        <w:spacing w:after="0" w:line="19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Governing Law; Exclusive Jurisdiction</w:t>
      </w:r>
      <w:r>
        <w:rPr>
          <w:rFonts w:ascii="Arial" w:cs="Arial" w:eastAsia="Arial" w:hAnsi="Arial"/>
          <w:sz w:val="16"/>
          <w:szCs w:val="16"/>
          <w:color w:val="auto"/>
        </w:rPr>
        <w:t>. This Agreement shall be governed by and construed in accordance with the laws of the State of Delaware, without regard to the conflicts of law principles thereof. Each of the parties hereto irrevocably consents to the exclusive jurisdiction and venue of any federal court located in the State of Delaware having jurisdiction, in connection with any matter based upon or arising out of this Agreement or the matters contemplated herein, agrees that process may be served upon them in any manner authorized by laws of the State of Delaware for such persons and waives and covenants not to assert or plead any objection which they might otherwise have to such jurisdiction, venue and such process.</w:t>
      </w:r>
    </w:p>
    <w:p>
      <w:pPr>
        <w:spacing w:after="0" w:line="15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and each additional agreement and document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4" w:name="page65"/>
    <w:bookmarkEnd w:id="64"/>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Notices</w:t>
      </w:r>
      <w:r>
        <w:rPr>
          <w:rFonts w:ascii="Arial" w:cs="Arial" w:eastAsia="Arial" w:hAnsi="Arial"/>
          <w:sz w:val="17"/>
          <w:szCs w:val="17"/>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ectPr>
          <w:pgSz w:w="11900" w:h="16838" w:orient="portrait"/>
          <w:cols w:equalWidth="0" w:num="1">
            <w:col w:w="11420"/>
          </w:cols>
          <w:pgMar w:left="240" w:top="692" w:right="239" w:bottom="1440" w:gutter="0" w:footer="0" w:header="0"/>
        </w:sectPr>
      </w:pP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to NDS: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Novel Drug Solutions,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540 Route 10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Randolph, NJ 07869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Dilzer</w:t>
      </w:r>
    </w:p>
    <w:p>
      <w:pPr>
        <w:spacing w:after="0" w:line="200" w:lineRule="exact"/>
        <w:rPr>
          <w:sz w:val="20"/>
          <w:szCs w:val="20"/>
          <w:color w:val="auto"/>
        </w:rPr>
      </w:pPr>
    </w:p>
    <w:p>
      <w:pPr>
        <w:sectPr>
          <w:pgSz w:w="11900" w:h="16838" w:orient="portrait"/>
          <w:cols w:equalWidth="0" w:num="2">
            <w:col w:w="2420" w:space="720"/>
            <w:col w:w="8280"/>
          </w:cols>
          <w:pgMar w:left="240" w:top="692" w:right="239" w:bottom="1440" w:gutter="0" w:footer="0" w:header="0"/>
          <w:type w:val="continuous"/>
        </w:sectPr>
      </w:pPr>
    </w:p>
    <w:p>
      <w:pPr>
        <w:spacing w:after="0" w:line="1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to ECNW: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Eye Care Northwest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350 Sparta Ave., Bldg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Sparta, NJ 07871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Dr. Jeffrey T. Liegner</w:t>
      </w:r>
    </w:p>
    <w:p>
      <w:pPr>
        <w:spacing w:after="0" w:line="200" w:lineRule="exact"/>
        <w:rPr>
          <w:sz w:val="20"/>
          <w:szCs w:val="20"/>
          <w:color w:val="auto"/>
        </w:rPr>
      </w:pPr>
    </w:p>
    <w:p>
      <w:pPr>
        <w:sectPr>
          <w:pgSz w:w="11900" w:h="16838" w:orient="portrait"/>
          <w:cols w:equalWidth="0" w:num="2">
            <w:col w:w="2420" w:space="720"/>
            <w:col w:w="8280"/>
          </w:cols>
          <w:pgMar w:left="240" w:top="692" w:right="239" w:bottom="1440" w:gutter="0" w:footer="0" w:header="0"/>
          <w:type w:val="continuous"/>
        </w:sectPr>
      </w:pPr>
    </w:p>
    <w:p>
      <w:pPr>
        <w:spacing w:after="0" w:line="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to Imprimis: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12626 High Bluff Drive, Suite 150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2420" w:space="720"/>
            <w:col w:w="8280"/>
          </w:cols>
          <w:pgMar w:left="240" w:top="692" w:right="239" w:bottom="1440" w:gutter="0" w:footer="0" w:header="0"/>
          <w:type w:val="continuous"/>
        </w:sectPr>
      </w:pPr>
    </w:p>
    <w:p>
      <w:pPr>
        <w:spacing w:after="0" w:line="2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65" w:name="page66"/>
    <w:bookmarkEnd w:id="65"/>
    <w:p>
      <w:pPr>
        <w:jc w:val="center"/>
        <w:spacing w:after="0" w:line="277" w:lineRule="auto"/>
        <w:rPr>
          <w:sz w:val="20"/>
          <w:szCs w:val="20"/>
          <w:color w:val="auto"/>
        </w:rPr>
      </w:pPr>
      <w:r>
        <w:rPr>
          <w:rFonts w:ascii="Arial" w:cs="Arial" w:eastAsia="Arial" w:hAnsi="Arial"/>
          <w:sz w:val="18"/>
          <w:szCs w:val="18"/>
          <w:color w:val="auto"/>
        </w:rPr>
        <w:t>CONFIDENTIAL TREATMENT REQUESTED. OMITTED PORTIONS ARE MARKED WITH [***] AND HAVE BEEN FILED SEPARATELY WITH THE SEC.</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each of Imprimis and the Sellers has caused a duly authorized representative to execute this Asset Purchase Agreement on the date first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NOVEL DRUG SOLUTIONS,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Scott Karolchyk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John Scott Karolchyk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Owner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EYE CARE NORTHWEST, PA</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T. Liegner, MD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Jeffrey T. Liegner,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Asset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6" w:name="page67"/>
    <w:bookmarkEnd w:id="6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ASSET PURCHASE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Amendment to Asset Purchase Agreement, dated as of October 14, 2013 (the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by and among NOVEL DRUG SOLUTIONS LLC, a New Jersey limited liability company (“</w:t>
      </w:r>
      <w:r>
        <w:rPr>
          <w:rFonts w:ascii="Arial" w:cs="Arial" w:eastAsia="Arial" w:hAnsi="Arial"/>
          <w:sz w:val="18"/>
          <w:szCs w:val="18"/>
          <w:b w:val="1"/>
          <w:bCs w:val="1"/>
          <w:color w:val="auto"/>
        </w:rPr>
        <w:t>NDS</w:t>
      </w:r>
      <w:r>
        <w:rPr>
          <w:rFonts w:ascii="Arial" w:cs="Arial" w:eastAsia="Arial" w:hAnsi="Arial"/>
          <w:sz w:val="18"/>
          <w:szCs w:val="18"/>
          <w:color w:val="auto"/>
        </w:rPr>
        <w:t>”), and EYE CARE NORTHWEST, PA, a New Jersey profession association (“</w:t>
      </w:r>
      <w:r>
        <w:rPr>
          <w:rFonts w:ascii="Arial" w:cs="Arial" w:eastAsia="Arial" w:hAnsi="Arial"/>
          <w:sz w:val="18"/>
          <w:szCs w:val="18"/>
          <w:b w:val="1"/>
          <w:bCs w:val="1"/>
          <w:color w:val="auto"/>
        </w:rPr>
        <w:t>ECNW</w:t>
      </w:r>
      <w:r>
        <w:rPr>
          <w:rFonts w:ascii="Arial" w:cs="Arial" w:eastAsia="Arial" w:hAnsi="Arial"/>
          <w:sz w:val="18"/>
          <w:szCs w:val="18"/>
          <w:color w:val="auto"/>
        </w:rPr>
        <w:t>”, each of NDS and ECNW a “</w:t>
      </w:r>
      <w:r>
        <w:rPr>
          <w:rFonts w:ascii="Arial" w:cs="Arial" w:eastAsia="Arial" w:hAnsi="Arial"/>
          <w:sz w:val="18"/>
          <w:szCs w:val="18"/>
          <w:b w:val="1"/>
          <w:bCs w:val="1"/>
          <w:color w:val="auto"/>
        </w:rPr>
        <w:t>Seller</w:t>
      </w:r>
      <w:r>
        <w:rPr>
          <w:rFonts w:ascii="Arial" w:cs="Arial" w:eastAsia="Arial" w:hAnsi="Arial"/>
          <w:sz w:val="18"/>
          <w:szCs w:val="18"/>
          <w:color w:val="auto"/>
        </w:rPr>
        <w:t>” and collectively the “</w:t>
      </w:r>
      <w:r>
        <w:rPr>
          <w:rFonts w:ascii="Arial" w:cs="Arial" w:eastAsia="Arial" w:hAnsi="Arial"/>
          <w:sz w:val="18"/>
          <w:szCs w:val="18"/>
          <w:b w:val="1"/>
          <w:bCs w:val="1"/>
          <w:color w:val="auto"/>
        </w:rPr>
        <w:t>Sellers</w:t>
      </w:r>
      <w:r>
        <w:rPr>
          <w:rFonts w:ascii="Arial" w:cs="Arial" w:eastAsia="Arial" w:hAnsi="Arial"/>
          <w:sz w:val="18"/>
          <w:szCs w:val="18"/>
          <w:color w:val="auto"/>
        </w:rPr>
        <w:t>”), and IMPRIMIS PHARMACEUTICALS, INC., a Delaware corporation (“</w:t>
      </w:r>
      <w:r>
        <w:rPr>
          <w:rFonts w:ascii="Arial" w:cs="Arial" w:eastAsia="Arial" w:hAnsi="Arial"/>
          <w:sz w:val="18"/>
          <w:szCs w:val="18"/>
          <w:b w:val="1"/>
          <w:bCs w:val="1"/>
          <w:color w:val="auto"/>
        </w:rPr>
        <w:t>Imprimis</w:t>
      </w:r>
      <w:r>
        <w:rPr>
          <w:rFonts w:ascii="Arial" w:cs="Arial" w:eastAsia="Arial" w:hAnsi="Arial"/>
          <w:sz w:val="18"/>
          <w:szCs w:val="18"/>
          <w:color w:val="auto"/>
        </w:rPr>
        <w:t>” and together with NDS and ECNW, the “</w:t>
      </w:r>
      <w:r>
        <w:rPr>
          <w:rFonts w:ascii="Arial" w:cs="Arial" w:eastAsia="Arial" w:hAnsi="Arial"/>
          <w:sz w:val="18"/>
          <w:szCs w:val="18"/>
          <w:b w:val="1"/>
          <w:bCs w:val="1"/>
          <w:color w:val="auto"/>
        </w:rPr>
        <w:t>Parties</w:t>
      </w:r>
      <w:r>
        <w:rPr>
          <w:rFonts w:ascii="Arial" w:cs="Arial" w:eastAsia="Arial" w:hAnsi="Arial"/>
          <w:sz w:val="18"/>
          <w:szCs w:val="18"/>
          <w:color w:val="auto"/>
        </w:rPr>
        <w:t>”, and each,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Parties have entered into that certain Asset Purchase Agreement, dated as of August 8, 2013 (the “</w:t>
      </w:r>
      <w:r>
        <w:rPr>
          <w:rFonts w:ascii="Arial" w:cs="Arial" w:eastAsia="Arial" w:hAnsi="Arial"/>
          <w:sz w:val="16"/>
          <w:szCs w:val="16"/>
          <w:b w:val="1"/>
          <w:bCs w:val="1"/>
          <w:color w:val="auto"/>
        </w:rPr>
        <w:t>Existing Agreement</w:t>
      </w:r>
      <w:r>
        <w:rPr>
          <w:rFonts w:ascii="Arial" w:cs="Arial" w:eastAsia="Arial" w:hAnsi="Arial"/>
          <w:sz w:val="16"/>
          <w:szCs w:val="16"/>
          <w:color w:val="auto"/>
        </w:rPr>
        <w:t>”); 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hereto desire to amend the Existing Agreement on the terms and subject to the conditions set forth herein.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set forth above and other good and valuable consideration, the receipt and sufficiency of which are hereby acknowledged, the Parties agree as follows:</w:t>
      </w:r>
    </w:p>
    <w:p>
      <w:pPr>
        <w:spacing w:after="0" w:line="170"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defined in this Amendment have the respective meanings assigned to them in the Existing Agreement.</w:t>
      </w:r>
    </w:p>
    <w:p>
      <w:pPr>
        <w:spacing w:after="0" w:line="236" w:lineRule="exact"/>
        <w:rPr>
          <w:rFonts w:ascii="Arial" w:cs="Arial" w:eastAsia="Arial" w:hAnsi="Arial"/>
          <w:sz w:val="17"/>
          <w:szCs w:val="17"/>
          <w:color w:val="auto"/>
        </w:rPr>
      </w:pPr>
    </w:p>
    <w:p>
      <w:pPr>
        <w:ind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Amendment to the Existing Agreement</w:t>
      </w:r>
      <w:r>
        <w:rPr>
          <w:rFonts w:ascii="Arial" w:cs="Arial" w:eastAsia="Arial" w:hAnsi="Arial"/>
          <w:sz w:val="18"/>
          <w:szCs w:val="18"/>
          <w:color w:val="auto"/>
        </w:rPr>
        <w:t>. As of the Effective Date (defined below), Section 8.2.2 of the Existing Agreement is hereby amended in its entirety to read as follows: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Imprimis, its Licensee or their respective Affiliates fails to either initiate any study where data is derived with respect to a Product, or to generate Net Receipts, before the fifth anniversary of the Effective Date, then (unless the parties otherwise mutually agree in writing), the Sellers shall jointly have the right, at their option and as their sole remedy, to terminate the Agreement.”</w:t>
      </w:r>
    </w:p>
    <w:p>
      <w:pPr>
        <w:spacing w:after="0" w:line="177" w:lineRule="exact"/>
        <w:rPr>
          <w:sz w:val="20"/>
          <w:szCs w:val="20"/>
          <w:color w:val="auto"/>
        </w:rPr>
      </w:pPr>
    </w:p>
    <w:p>
      <w:pPr>
        <w:jc w:val="both"/>
        <w:ind w:firstLine="8"/>
        <w:spacing w:after="0" w:line="255"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Date of Effectiveness; Limited Effect</w:t>
      </w:r>
      <w:r>
        <w:rPr>
          <w:rFonts w:ascii="Arial" w:cs="Arial" w:eastAsia="Arial" w:hAnsi="Arial"/>
          <w:sz w:val="18"/>
          <w:szCs w:val="18"/>
          <w:color w:val="auto"/>
        </w:rPr>
        <w:t>. This Amendment will become effective as of the date first written above (the “</w:t>
      </w:r>
      <w:r>
        <w:rPr>
          <w:rFonts w:ascii="Arial" w:cs="Arial" w:eastAsia="Arial" w:hAnsi="Arial"/>
          <w:sz w:val="18"/>
          <w:szCs w:val="18"/>
          <w:b w:val="1"/>
          <w:bCs w:val="1"/>
          <w:color w:val="auto"/>
        </w:rPr>
        <w:t>Effective Date”</w:t>
      </w:r>
      <w:r>
        <w:rPr>
          <w:rFonts w:ascii="Arial" w:cs="Arial" w:eastAsia="Arial" w:hAnsi="Arial"/>
          <w:sz w:val="18"/>
          <w:szCs w:val="18"/>
          <w:color w:val="auto"/>
        </w:rPr>
        <w:t>). Except as expressly provided in this Amendment, all of the terms and provisions of the Existing Agreement are and will remain 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any Party that would require the waiver or consent of another Party. On and after the Effective Date, each reference in the Existing Agreement to “this Agreement,” “the Agreement,” “hereunder,” “hereof,” “herein” or words of like import, and each reference to the Existing Agreement in any other agreements, documents or instruments executed and delivered pursuant to, or in connection with, the Existing Agreement, will mean and be a reference to the Existing Agreement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9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Amendment is governed by, and construed in accordance with, the laws of the State of Delaware, without regard to the conflict of laws provisions of such State.</w:t>
      </w:r>
    </w:p>
    <w:p>
      <w:pPr>
        <w:spacing w:after="0" w:line="170" w:lineRule="exact"/>
        <w:rPr>
          <w:rFonts w:ascii="Arial" w:cs="Arial" w:eastAsia="Arial" w:hAnsi="Arial"/>
          <w:sz w:val="18"/>
          <w:szCs w:val="18"/>
          <w:color w:val="auto"/>
        </w:rPr>
      </w:pPr>
    </w:p>
    <w:p>
      <w:pPr>
        <w:ind w:firstLine="656"/>
        <w:spacing w:after="0" w:line="277" w:lineRule="auto"/>
        <w:tabs>
          <w:tab w:leader="none" w:pos="921"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Amendment shall inure to the benefit of and be binding upon each of the Parties and each of their respective permitted successors and permitted assigns.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headings in this Amendment are for reference only and do not affect the interpretation of this Amendment.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901"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Amendment may be executed in counterparts, each of which is deemed an original, but all of which constitutes one and the same agreement. Delivery of an executed counterpart of this Amendment electronically or by facsimile shall be effective as delivery of an original executed counterpart of this Amendment.</w:t>
      </w:r>
    </w:p>
    <w:p>
      <w:pPr>
        <w:spacing w:after="0" w:line="181" w:lineRule="exact"/>
        <w:rPr>
          <w:rFonts w:ascii="Arial" w:cs="Arial" w:eastAsia="Arial" w:hAnsi="Arial"/>
          <w:sz w:val="18"/>
          <w:szCs w:val="18"/>
          <w:color w:val="auto"/>
        </w:rPr>
      </w:pPr>
    </w:p>
    <w:p>
      <w:pPr>
        <w:ind w:firstLine="656"/>
        <w:spacing w:after="0" w:line="342" w:lineRule="auto"/>
        <w:tabs>
          <w:tab w:leader="none" w:pos="901"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This Amendment constitutes the sole and entire agreement of the Parties with respect to the subject matter contained herein, and supersedes all prior and contemporaneous understandings, agreements, representations and warranties, both written and oral, with respect to such subject matter.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auto"/>
        </w:rPr>
        <w:t>IN WITNESS WHEREOF, the Parties have executed this Amendment as of the date first written above.</w:t>
      </w: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NOVEL DRUG SOLUTIONS, LLC</w:t>
      </w:r>
    </w:p>
    <w:p>
      <w:pPr>
        <w:spacing w:after="0" w:line="225" w:lineRule="exact"/>
        <w:rPr>
          <w:sz w:val="20"/>
          <w:szCs w:val="20"/>
          <w:color w:val="auto"/>
        </w:rPr>
      </w:pPr>
    </w:p>
    <w:p>
      <w:pPr>
        <w:ind w:left="49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Scott Karolchyk</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Name:John Scott Karolchyk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-130810</wp:posOffset>
            </wp:positionV>
            <wp:extent cx="33705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Owner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EYE CARE NORTHWEST, PA</w:t>
      </w:r>
    </w:p>
    <w:p>
      <w:pPr>
        <w:spacing w:after="0" w:line="225" w:lineRule="exact"/>
        <w:rPr>
          <w:sz w:val="20"/>
          <w:szCs w:val="20"/>
          <w:color w:val="auto"/>
        </w:rPr>
      </w:pPr>
    </w:p>
    <w:p>
      <w:pPr>
        <w:ind w:left="49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T. Liegner, MD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Name:Jeffrey T. Liegner,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-130810</wp:posOffset>
            </wp:positionV>
            <wp:extent cx="33705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IMPRIMIS PHARMACEUTICALS, INC.</w:t>
      </w:r>
    </w:p>
    <w:p>
      <w:pPr>
        <w:spacing w:after="0" w:line="237" w:lineRule="exact"/>
        <w:rPr>
          <w:sz w:val="20"/>
          <w:szCs w:val="20"/>
          <w:color w:val="auto"/>
        </w:rPr>
      </w:pPr>
    </w:p>
    <w:p>
      <w:pPr>
        <w:ind w:left="49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-130810</wp:posOffset>
            </wp:positionV>
            <wp:extent cx="33705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92" w:right="1440" w:bottom="1440" w:gutter="0" w:footer="0" w:header="0"/>
        </w:sectPr>
      </w:pPr>
    </w:p>
    <w:bookmarkStart w:id="70" w:name="page71"/>
    <w:bookmarkEnd w:id="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ind w:left="10280"/>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 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2007 Incentive Stock and Awards Plan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Amendment No. 1 to the Imprimis Pharmaceuticals, Inc. Amended and Restated 2007 Incentive Stock and Awards Plan (the “Plan”) is effective as of September 27,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Plan is hereby amended by replacing Section 4(a) in its entirety as follows:</w:t>
      </w:r>
    </w:p>
    <w:p>
      <w:pPr>
        <w:spacing w:after="0" w:line="225" w:lineRule="exact"/>
        <w:rPr>
          <w:sz w:val="20"/>
          <w:szCs w:val="20"/>
          <w:color w:val="auto"/>
        </w:rPr>
      </w:pPr>
    </w:p>
    <w:p>
      <w:pPr>
        <w:jc w:val="both"/>
        <w:ind w:left="660" w:firstLine="645"/>
        <w:spacing w:after="0" w:line="289" w:lineRule="auto"/>
        <w:tabs>
          <w:tab w:leader="none" w:pos="1563"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Subject to adjustment as provided in Section 9 hereof, a total of Five Million (5,000,000) shares of the Company’s common stock, par value $0.001 per share (the “Stock”), shall be subject to the Plan. The shares of Stock subject to the Plan shall consist of unissued shares, treasury shares or previously issued shares held by any Subsidiary of the Company, and such number of shares of Stock shall be and is hereby reserved for such purpose. Any of such shares of Stock that may remain unissued and that are not subject to outstanding Options or Restricted Stock Units at the termination of the Plan shall cease to be reserved for the purposes of the Plan, but until termination of the Plan the Company shall at all times reserve a sufficient number of shares of Stock to meet the requirements of the Plan. Should any Option or award of Restricted Stock or Restricted Stock Units expire or be canceled prior to its exercise or vesting in full or should the number of shares of Stock to be delivered upon the exercise or vesting in full of an Option or award of Restricted Stock or Restricted Stock Units be reduced for any reason, the shares of Stock theretofore subject to such Option, Restricted Stock or Restricted Stock Units may be subject to future Options, Restricted Stock or Restricted Stock Units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Plan is hereby further amended by replacing Section 4(c) in its entirety as follows:</w:t>
      </w:r>
    </w:p>
    <w:p>
      <w:pPr>
        <w:spacing w:after="0" w:line="225" w:lineRule="exact"/>
        <w:rPr>
          <w:sz w:val="20"/>
          <w:szCs w:val="20"/>
          <w:color w:val="auto"/>
        </w:rPr>
      </w:pPr>
    </w:p>
    <w:p>
      <w:pPr>
        <w:jc w:val="both"/>
        <w:ind w:left="660" w:firstLine="645"/>
        <w:spacing w:after="0" w:line="253" w:lineRule="auto"/>
        <w:tabs>
          <w:tab w:leader="none" w:pos="15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awards of Restricted Stock or Restricted Stock Units that are intended to qualify as “performance-based compensation” under Section 162(m) of the Code, the maximum number of shares of Stock with respect to which such awards may be granted to any Grantee in any calendar year shall be One Million Two Hundred Fifty Thousand (1,250,000) shares. The foregoing limitation shall be adjusted proportionately in connection with any change in the Company’s capitalization pursuant to Section 9, below. Subject to the terms of the Plan, awards of Restricted Stock or Restricted Stock Units that are intended to qualify as performance-based compensation under Section 162(m) of the Code shall be subject to satisfaction of performance criteria. The performance criteria established by the Committee may be based on any one of, or combination of, the following: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both"/>
        <w:ind w:left="660"/>
        <w:spacing w:after="0" w:line="253" w:lineRule="auto"/>
        <w:rPr>
          <w:sz w:val="20"/>
          <w:szCs w:val="20"/>
          <w:color w:val="auto"/>
        </w:rPr>
      </w:pPr>
      <w:r>
        <w:rPr>
          <w:rFonts w:ascii="Arial" w:cs="Arial" w:eastAsia="Arial" w:hAnsi="Arial"/>
          <w:sz w:val="18"/>
          <w:szCs w:val="18"/>
          <w:color w:val="auto"/>
        </w:rPr>
        <w:t>earnings before interest, taxes and depreciation, (xvi) economic value added and (xvii) market share. The performance criteria may be applicable to the Company, Subsidiaries and/or any individual business units of the Company or any Subsidiary. Partial achievement of the specified criteria may result in a payment or vesting corresponding to the degree of achievement as specified in the Restricted Stock or Restricted Stock Unit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witness of the foregoing, the undersigned Secretary of Imprimis Pharmaceuticals, Inc. hereby certifies that the foregoing Amendment to the Amended and Restated 2007 Incentive Stock and Awards Plan was duly adopted by the Board of Directors of the Company on September 9, 2013 and approved by the stockholders on September 27, 2013.</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3" w:name="page74"/>
    <w:bookmarkEnd w:id="7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11"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1040" w:hanging="519"/>
        <w:spacing w:after="0" w:line="291"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7"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540" w:hanging="506"/>
        <w:spacing w:after="0" w:line="308" w:lineRule="auto"/>
        <w:tabs>
          <w:tab w:leader="none" w:pos="15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6, 2013</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11"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1040" w:hanging="519"/>
        <w:spacing w:after="0" w:line="291"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7"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540" w:hanging="506"/>
        <w:spacing w:after="0" w:line="308" w:lineRule="auto"/>
        <w:tabs>
          <w:tab w:leader="none" w:pos="15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6, 2013</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Vice-President of Accounting and Public Reporting</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September 30, 2013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Vice-President of Accounting and Public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2"/>
    </w:lvl>
  </w:abstractNum>
  <w:abstractNum w:abstractNumId="13">
    <w:nsid w:val="721DA317"/>
    <w:multiLevelType w:val="hybridMultilevel"/>
    <w:lvl w:ilvl="0">
      <w:lvlJc w:val="left"/>
      <w:lvlText w:val="%1."/>
      <w:numFmt w:val="decimal"/>
      <w:start w:val="3"/>
    </w:lvl>
  </w:abstractNum>
  <w:abstractNum w:abstractNumId="14">
    <w:nsid w:val="2443A858"/>
    <w:multiLevelType w:val="hybridMultilevel"/>
    <w:lvl w:ilvl="0">
      <w:lvlJc w:val="left"/>
      <w:lvlText w:val="(%1)"/>
      <w:numFmt w:val="lowerRoman"/>
      <w:start w:val="1"/>
    </w:lvl>
  </w:abstractNum>
  <w:abstractNum w:abstractNumId="15">
    <w:nsid w:val="2D1D5AE9"/>
    <w:multiLevelType w:val="hybridMultilevel"/>
    <w:lvl w:ilvl="0">
      <w:lvlJc w:val="left"/>
      <w:lvlText w:val="(%1)"/>
      <w:numFmt w:val="lowerRoman"/>
      <w:start w:val="2"/>
    </w:lvl>
  </w:abstractNum>
  <w:abstractNum w:abstractNumId="16">
    <w:nsid w:val="6763845E"/>
    <w:multiLevelType w:val="hybridMultilevel"/>
    <w:lvl w:ilvl="0">
      <w:lvlJc w:val="left"/>
      <w:lvlText w:val="%1."/>
      <w:numFmt w:val="decimal"/>
      <w:start w:val="5"/>
    </w:lvl>
  </w:abstractNum>
  <w:abstractNum w:abstractNumId="17">
    <w:nsid w:val="75A2A8D4"/>
    <w:multiLevelType w:val="hybridMultilevel"/>
    <w:lvl w:ilvl="0">
      <w:lvlJc w:val="left"/>
      <w:lvlText w:val="(%1)"/>
      <w:numFmt w:val="lowerLetter"/>
      <w:start w:val="2"/>
    </w:lvl>
  </w:abstractNum>
  <w:abstractNum w:abstractNumId="18">
    <w:nsid w:val="8EDBDAB"/>
    <w:multiLevelType w:val="hybridMultilevel"/>
    <w:lvl w:ilvl="0">
      <w:lvlJc w:val="left"/>
      <w:lvlText w:val="%1."/>
      <w:numFmt w:val="decimal"/>
      <w:start w:val="6"/>
    </w:lvl>
  </w:abstractNum>
  <w:abstractNum w:abstractNumId="19">
    <w:nsid w:val="79838CB2"/>
    <w:multiLevelType w:val="hybridMultilevel"/>
    <w:lvl w:ilvl="0">
      <w:lvlJc w:val="left"/>
      <w:lvlText w:val="(%1)"/>
      <w:numFmt w:val="lowerRoman"/>
      <w:start w:val="1"/>
    </w:lvl>
  </w:abstractNum>
  <w:abstractNum w:abstractNumId="20">
    <w:nsid w:val="4353D0CD"/>
    <w:multiLevelType w:val="hybridMultilevel"/>
    <w:lvl w:ilvl="0">
      <w:lvlJc w:val="left"/>
      <w:lvlText w:val="%1."/>
      <w:numFmt w:val="decimal"/>
      <w:start w:val="7"/>
    </w:lvl>
  </w:abstractNum>
  <w:abstractNum w:abstractNumId="21">
    <w:nsid w:val="B03E0C6"/>
    <w:multiLevelType w:val="hybridMultilevel"/>
    <w:lvl w:ilvl="0">
      <w:lvlJc w:val="left"/>
      <w:lvlText w:val="%1."/>
      <w:numFmt w:val="decimal"/>
      <w:start w:val="8"/>
    </w:lvl>
  </w:abstractNum>
  <w:abstractNum w:abstractNumId="22">
    <w:nsid w:val="189A769B"/>
    <w:multiLevelType w:val="hybridMultilevel"/>
    <w:lvl w:ilvl="0">
      <w:lvlJc w:val="left"/>
      <w:lvlText w:val="%1."/>
      <w:numFmt w:val="decimal"/>
      <w:start w:val="9"/>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3"/>
    </w:lvl>
  </w:abstractNum>
  <w:abstractNum w:abstractNumId="25">
    <w:nsid w:val="2CA88611"/>
    <w:multiLevelType w:val="hybridMultilevel"/>
    <w:lvl w:ilvl="0">
      <w:lvlJc w:val="left"/>
      <w:lvlText w:val="%1."/>
      <w:numFmt w:val="decimal"/>
      <w:start w:val="4"/>
    </w:lvl>
    <w:lvl w:ilvl="1">
      <w:lvlJc w:val="left"/>
      <w:lvlText w:val="(%2)"/>
      <w:numFmt w:val="lowerLetter"/>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3"/>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2020-02-26T05:18:21Z</dcterms:created>
  <dcterms:modified xsi:type="dcterms:W3CDTF">2020-02-26T05:18:21Z</dcterms:modified>
</cp:coreProperties>
</file>