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26, 2022</w:t>
      </w:r>
    </w:p>
    <w:p>
      <w:pPr>
        <w:spacing w:after="0" w:line="221"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SECURITIES ACT OF 1933</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1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45-0567010</w:t>
            </w:r>
          </w:p>
        </w:tc>
      </w:tr>
      <w:tr>
        <w:trPr>
          <w:trHeight w:val="22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I.R.S. Employer</w:t>
            </w:r>
          </w:p>
        </w:tc>
      </w:tr>
      <w:tr>
        <w:trPr>
          <w:trHeight w:val="23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H. Nixon III,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Waller Lansden Dortch &amp; Davis,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511 Union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244-6380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2240" w:val="left"/>
          <w:tab w:leader="none" w:pos="4280" w:val="left"/>
          <w:tab w:leader="none" w:pos="6520" w:val="left"/>
          <w:tab w:leader="none" w:pos="8540" w:val="left"/>
        </w:tabs>
        <w:rPr>
          <w:sz w:val="20"/>
          <w:szCs w:val="20"/>
          <w:color w:val="auto"/>
        </w:rPr>
      </w:pPr>
      <w:r>
        <w:rPr>
          <w:rFonts w:ascii="Arial" w:cs="Arial" w:eastAsia="Arial" w:hAnsi="Arial"/>
          <w:sz w:val="18"/>
          <w:szCs w:val="18"/>
          <w:color w:val="auto"/>
        </w:rPr>
        <w:t>Large accelerated</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w:t>
      </w:r>
      <w:r>
        <w:rPr>
          <w:sz w:val="20"/>
          <w:szCs w:val="20"/>
          <w:color w:val="auto"/>
        </w:rPr>
        <w:tab/>
      </w:r>
      <w:r>
        <w:rPr>
          <w:rFonts w:ascii="Arial" w:cs="Arial" w:eastAsia="Arial" w:hAnsi="Arial"/>
          <w:sz w:val="16"/>
          <w:szCs w:val="16"/>
          <w:color w:val="auto"/>
        </w:rPr>
        <w:t>Emerging Growth Company</w:t>
      </w:r>
    </w:p>
    <w:p>
      <w:pPr>
        <w:sectPr>
          <w:pgSz w:w="11900" w:h="16838" w:orient="portrait"/>
          <w:cols w:equalWidth="0" w:num="1">
            <w:col w:w="11240"/>
          </w:cols>
          <w:pgMar w:left="320" w:top="449" w:right="339" w:bottom="0" w:gutter="0" w:footer="0" w:header="0"/>
        </w:sectPr>
      </w:pPr>
    </w:p>
    <w:bookmarkStart w:id="1" w:name="page2"/>
    <w:bookmarkEnd w:id="1"/>
    <w:p>
      <w:pPr>
        <w:spacing w:after="0" w:line="207" w:lineRule="exact"/>
        <w:tabs>
          <w:tab w:leader="none" w:pos="2240" w:val="left"/>
          <w:tab w:leader="none" w:pos="6520" w:val="left"/>
          <w:tab w:leader="none" w:pos="8540" w:val="left"/>
        </w:tabs>
        <w:rPr>
          <w:sz w:val="20"/>
          <w:szCs w:val="20"/>
          <w:color w:val="auto"/>
        </w:rPr>
      </w:pPr>
      <w:r>
        <w:rPr>
          <w:rFonts w:ascii="Arial" w:cs="Arial" w:eastAsia="Arial" w:hAnsi="Arial"/>
          <w:sz w:val="18"/>
          <w:szCs w:val="18"/>
          <w:color w:val="auto"/>
        </w:rPr>
        <w:t xml:space="preserve">filer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MAY 26,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On May 25, 2022, the closing price of our common stock on the Nasdaq Global Market was $6.50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This prospectus is dated ______,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858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8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FORWARD-LOOKING STATEMENTS</w:t>
              </w:r>
            </w:hyperlink>
          </w:p>
        </w:tc>
        <w:tc>
          <w:tcPr>
            <w:tcW w:w="774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CAPITAL STOCK</w:t>
              </w:r>
            </w:hyperlink>
          </w:p>
        </w:tc>
        <w:tc>
          <w:tcPr>
            <w:tcW w:w="780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1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THE DEPOSITARY SHARES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UNITS</w:t>
              </w:r>
            </w:hyperlink>
          </w:p>
        </w:tc>
        <w:tc>
          <w:tcPr>
            <w:tcW w:w="780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DEBT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726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9220" w:type="dxa"/>
            <w:vAlign w:val="bottom"/>
            <w:tcBorders>
              <w:top w:val="single" w:sz="8" w:color="CCEEFF"/>
            </w:tcBorders>
            <w:gridSpan w:val="11"/>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56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39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ImprimisRx is our </w:t>
      </w:r>
      <w:r>
        <w:rPr>
          <w:rFonts w:ascii="Arial" w:cs="Arial" w:eastAsia="Arial" w:hAnsi="Arial"/>
          <w:sz w:val="16"/>
          <w:szCs w:val="16"/>
          <w:color w:val="auto"/>
          <w:highlight w:val="white"/>
        </w:rPr>
        <w:t>ophthalmology-focused prescription pharmaceutical business.</w:t>
      </w:r>
      <w:r>
        <w:rPr>
          <w:rFonts w:ascii="Arial" w:cs="Arial" w:eastAsia="Arial" w:hAnsi="Arial"/>
          <w:sz w:val="16"/>
          <w:szCs w:val="16"/>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6" w:name="page7"/>
    <w:bookmarkEnd w:id="6"/>
    <w:p>
      <w:pPr>
        <w:jc w:val="both"/>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02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8"/>
          <w:szCs w:val="18"/>
          <w:i w:val="1"/>
          <w:iCs w:val="1"/>
          <w:color w:val="auto"/>
        </w:rPr>
        <w:t>harrowinc.com</w:t>
      </w:r>
      <w:r>
        <w:rPr>
          <w:rFonts w:ascii="Arial" w:cs="Arial" w:eastAsia="Arial" w:hAnsi="Arial"/>
          <w:sz w:val="18"/>
          <w:szCs w:val="18"/>
          <w:color w:val="auto"/>
        </w:rPr>
        <w:t>. Information contained on our website is not deemed part of this prospectus and is not incorporated in this prospectus or any other document that we file with the SEC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693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jc w:val="right"/>
        <w:ind w:left="5580" w:right="5520" w:hanging="4924"/>
        <w:spacing w:after="0" w:line="623" w:lineRule="auto"/>
        <w:tabs>
          <w:tab w:leader="none" w:pos="981"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withdrawals of preferred stock by owners of depositary shares.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5540" w:right="1660" w:hanging="4884"/>
        <w:spacing w:after="0" w:line="559" w:lineRule="auto"/>
        <w:tabs>
          <w:tab w:leader="none" w:pos="9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 w:name="page17"/>
    <w:bookmarkEnd w:id="16"/>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 w:name="page18"/>
    <w:bookmarkEnd w:id="17"/>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184"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be the surviving person, or the successor entity, if any, is a U.S. corporation, limited liability company, partnership, trust or other business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successor entity (if other than the Company) expressly assumes our obligations on the debt securities and under the indentures;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the transaction, no default or event of default shall have occurred and be continuing;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ind w:left="98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18"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2021 filed with the SEC on March 10,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amended, filed with the SEC on April 26,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2022, filed with the SEC on May 5,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31, 2022 and April 13, 2022;</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8.625% Senior Notes due 2026 contained in our Registration Statement on Form 8-A filed with the SEC on April 20, 2021 (File No. 001-35814), pursuant to Section 12(b) of the Exchange Act, including any amendment or report filed for the purpose of updating such description.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aggregate estimated (other than the registration fee) costs and expenses payable by Harrow in connection with a distribution of securities registered hereby:</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8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27,810</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137160</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820" w:hanging="2"/>
        <w:spacing w:after="0" w:line="277" w:lineRule="auto"/>
        <w:tabs>
          <w:tab w:leader="none" w:pos="10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prospectus supplement will set forth the estimated aggregate amount of expenses payable with respect to any offering of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Harrow’s charter documents, Harrow generally enters into separate indemnification agreements with Harrow’s directors and officers. These agreements require Harrow, among other things, to indemnify the director or officer against specified expenses and liabilities, such as attorneys’ fees, judgments, fines and settlements, paid by the individual in connection with any action, suit or proceeding arising out of the individual’s status or service as Harrow’s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Harrow.</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580" w:type="dxa"/>
            <w:vAlign w:val="bottom"/>
            <w:gridSpan w:val="17"/>
          </w:tcPr>
          <w:p>
            <w:pPr>
              <w:spacing w:after="0"/>
              <w:rPr>
                <w:sz w:val="20"/>
                <w:szCs w:val="20"/>
                <w:color w:val="auto"/>
              </w:rPr>
            </w:pPr>
            <w:r>
              <w:rPr>
                <w:rFonts w:ascii="Arial" w:cs="Arial" w:eastAsia="Arial" w:hAnsi="Arial"/>
                <w:sz w:val="18"/>
                <w:szCs w:val="18"/>
                <w:color w:val="auto"/>
              </w:rPr>
              <w:t>The following exhibits are filed herewith or incorporated by reference herein:</w:t>
            </w:r>
          </w:p>
        </w:tc>
      </w:tr>
      <w:tr>
        <w:trPr>
          <w:trHeight w:val="414"/>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Amended and Restated Certificate of Incorporation, effective September 10, 2014 (incorporated herein by reference to Exhibit 3.1 to the</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Annual Report on Form 10-K of the Company for the year ended December 31, 2014 filed with the SEC on March 12, 2015).</w:t>
              </w:r>
            </w:hyperlink>
          </w:p>
        </w:tc>
        <w:tc>
          <w:tcPr>
            <w:tcW w:w="1220" w:type="dxa"/>
            <w:vAlign w:val="bottom"/>
            <w:gridSpan w:val="3"/>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Amendment to Amended and Restated Certificate of Incorporation, filed July 10, 2018.</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6"/>
              </w:rPr>
            </w:pPr>
            <w:hyperlink r:id="rId54">
              <w:r>
                <w:rPr>
                  <w:rFonts w:ascii="Arial" w:cs="Arial" w:eastAsia="Arial" w:hAnsi="Arial"/>
                  <w:sz w:val="18"/>
                  <w:szCs w:val="18"/>
                  <w:color w:val="0000EE"/>
                  <w:w w:val="96"/>
                </w:rPr>
                <w:t>Amendment to Amended and Restated Certificate of Incorporation, filed as of December 27, 2018 (incorporated herein by reference to</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Exhibit 3.1 to the Current Report on Form 8-K of the Company filed with the SEC on December 31, 2018).</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Certificate of Designation of Series A Convertible Preferred Stock (incorporated herein by reference to Exhibit 3.1 to the Current Report on</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Form 8-K of the Company filed with the SEC on December 20, 2011).</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Certificate of Designation of Series B Cumulative Preferred Stock (incorporated herein by reference to Exhibit 3.1 to the Current Report on</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Form 8-K of the Company filed with the SEC on May 5, 2021).</w:t>
              </w:r>
            </w:hyperlink>
          </w:p>
        </w:tc>
        <w:tc>
          <w:tcPr>
            <w:tcW w:w="5680" w:type="dxa"/>
            <w:vAlign w:val="bottom"/>
            <w:gridSpan w:val="11"/>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3"/>
              </w:rPr>
            </w:pPr>
            <w:hyperlink r:id="rId57">
              <w:r>
                <w:rPr>
                  <w:rFonts w:ascii="Arial" w:cs="Arial" w:eastAsia="Arial" w:hAnsi="Arial"/>
                  <w:sz w:val="18"/>
                  <w:szCs w:val="18"/>
                  <w:color w:val="0000EE"/>
                  <w:w w:val="93"/>
                </w:rPr>
                <w:t>Amended and Restated Bylaws of Imprimis Pharmaceuticals, Inc. (incorporated herein by reference to Exhibit 3.2 to the Annual Report on</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Form 10-K of Imprimis Pharmaceuticals, Inc. for the year ended December 31, 2013 filed with the SEC on March 28, 2014).</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Form of Senior Indenture (incorporated herein by reference to Exhibit 4.1 to the Registration Statement on Form S-3 of the Company filed</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with the SEC on July 2, 2020, Registration No. 333-239669).</w:t>
              </w:r>
            </w:hyperlink>
          </w:p>
        </w:tc>
        <w:tc>
          <w:tcPr>
            <w:tcW w:w="5860" w:type="dxa"/>
            <w:vAlign w:val="bottom"/>
            <w:gridSpan w:val="13"/>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Form of Subordinated Indenture (incorporated herein by reference to Exhibit 4.2 to the Registration Statement on Form S-3 of the Company</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filed with the SEC on July 2, 2020, Registration No. 333-239669).</w:t>
              </w:r>
            </w:hyperlink>
          </w:p>
        </w:tc>
        <w:tc>
          <w:tcPr>
            <w:tcW w:w="54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Borders>
              <w:bottom w:val="single" w:sz="8" w:color="0000EE"/>
            </w:tcBorders>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Form of Senior Debt Security (included in Exhibit 4.1)</w:t>
              </w:r>
            </w:hyperlink>
          </w:p>
        </w:tc>
        <w:tc>
          <w:tcPr>
            <w:tcW w:w="6320" w:type="dxa"/>
            <w:vAlign w:val="bottom"/>
            <w:gridSpan w:val="14"/>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rPr>
            </w:pPr>
            <w:hyperlink r:id="rId59">
              <w:r>
                <w:rPr>
                  <w:rFonts w:ascii="Arial" w:cs="Arial" w:eastAsia="Arial" w:hAnsi="Arial"/>
                  <w:sz w:val="18"/>
                  <w:szCs w:val="18"/>
                  <w:color w:val="0000EE"/>
                </w:rPr>
                <w:t>Form of Subordinated Debt Security (included in Exhibit 4.2)</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Indenture, dated as of April 20, 2021, by and between the Company and U.S. Bank National Association, as Trustee (incorporated herein by</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reference to Exhibit 4.1 to the Current Report on Form 8-K of the Company filed with the SEC on April 20, 2021).</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5"/>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First Supplemental Indenture, dated as of April 20, 2021, by and between the Company and U.S. Bank National Association, as Trustee</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(incorporated herein by reference to Exhibit 4.2 to the Current Report on Form 8-K of the Company filed with the SEC on April 20, 2021).</w:t>
              </w:r>
            </w:hyperlink>
          </w:p>
        </w:tc>
        <w:tc>
          <w:tcPr>
            <w:tcW w:w="260" w:type="dxa"/>
            <w:vAlign w:val="bottom"/>
            <w:gridSpan w:val="2"/>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rPr>
            </w:pPr>
            <w:hyperlink r:id="rId62">
              <w:r>
                <w:rPr>
                  <w:rFonts w:ascii="Arial" w:cs="Arial" w:eastAsia="Arial" w:hAnsi="Arial"/>
                  <w:sz w:val="18"/>
                  <w:szCs w:val="18"/>
                  <w:color w:val="0000EE"/>
                </w:rPr>
                <w:t>Form of 8.625% Senior Note due 2026 (included in Exhibit 4.6)</w:t>
              </w:r>
            </w:hyperlink>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Form of Certificate of Designation</w:t>
            </w:r>
          </w:p>
        </w:tc>
        <w:tc>
          <w:tcPr>
            <w:tcW w:w="5660" w:type="dxa"/>
            <w:vAlign w:val="bottom"/>
            <w:gridSpan w:val="10"/>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Form of Deposit Agreement</w:t>
            </w:r>
          </w:p>
        </w:tc>
      </w:tr>
      <w:tr>
        <w:trPr>
          <w:trHeight w:val="439"/>
        </w:trPr>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12"/>
          </w:tcPr>
          <w:p>
            <w:pPr>
              <w:ind w:left="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240"/>
          </w:cols>
          <w:pgMar w:left="320" w:top="688"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of Depositary Receipt (included in Exhibit 4.10)</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4.13*</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4.14*</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of Unit Agreement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4.15*</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of Unit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4.16</w:t>
            </w:r>
          </w:p>
        </w:tc>
        <w:tc>
          <w:tcPr>
            <w:tcW w:w="10260" w:type="dxa"/>
            <w:vAlign w:val="bottom"/>
            <w:tcBorders>
              <w:bottom w:val="single" w:sz="8" w:color="0000EE"/>
            </w:tcBorders>
            <w:gridSpan w:val="7"/>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Description of the Company’s Securities (incorporated herein by reference to Exhibit 4.1 to the Annual Report on Form 10-K of the Company</w:t>
              </w:r>
            </w:hyperlink>
          </w:p>
        </w:tc>
      </w:tr>
      <w:tr>
        <w:trPr>
          <w:trHeight w:val="196"/>
        </w:trPr>
        <w:tc>
          <w:tcPr>
            <w:tcW w:w="960" w:type="dxa"/>
            <w:vAlign w:val="bottom"/>
          </w:tcPr>
          <w:p>
            <w:pPr>
              <w:spacing w:after="0"/>
              <w:rPr>
                <w:sz w:val="17"/>
                <w:szCs w:val="17"/>
                <w:color w:val="auto"/>
              </w:rPr>
            </w:pPr>
          </w:p>
        </w:tc>
        <w:tc>
          <w:tcPr>
            <w:tcW w:w="10260" w:type="dxa"/>
            <w:vAlign w:val="bottom"/>
            <w:gridSpan w:val="7"/>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for the year ended December 31, 2021 filed with the SEC on March 10, 2022).</w:t>
              </w:r>
            </w:hyperlink>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5.1**</w:t>
            </w:r>
          </w:p>
        </w:tc>
        <w:tc>
          <w:tcPr>
            <w:tcW w:w="566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Opinion of Waller Lansden Dortch &amp; Davis, LLP</w:t>
              </w:r>
            </w:hyperlink>
          </w:p>
        </w:tc>
        <w:tc>
          <w:tcPr>
            <w:tcW w:w="460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30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Consent of KMJ Corbin &amp; Company LLP</w:t>
              </w:r>
            </w:hyperlink>
          </w:p>
        </w:tc>
        <w:tc>
          <w:tcPr>
            <w:tcW w:w="520" w:type="dxa"/>
            <w:vAlign w:val="bottom"/>
            <w:tcBorders>
              <w:top w:val="single" w:sz="8" w:color="0000EE"/>
            </w:tcBorders>
          </w:tcPr>
          <w:p>
            <w:pPr>
              <w:spacing w:after="0"/>
              <w:rPr>
                <w:sz w:val="24"/>
                <w:szCs w:val="24"/>
                <w:color w:val="auto"/>
              </w:rPr>
            </w:pPr>
          </w:p>
        </w:tc>
        <w:tc>
          <w:tcPr>
            <w:tcW w:w="6700" w:type="dxa"/>
            <w:vAlign w:val="bottom"/>
            <w:gridSpan w:val="4"/>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Consent of Waller Lansden Dortch &amp; Davis, LLP (included in Exhibit 5.1)</w:t>
              </w:r>
            </w:hyperlink>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24.1**</w:t>
            </w:r>
          </w:p>
        </w:tc>
        <w:tc>
          <w:tcPr>
            <w:tcW w:w="538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Power of Attorney (included on the signature page)</w:t>
              </w:r>
            </w:hyperlink>
          </w:p>
        </w:tc>
        <w:tc>
          <w:tcPr>
            <w:tcW w:w="4880" w:type="dxa"/>
            <w:vAlign w:val="bottom"/>
            <w:gridSpan w:val="2"/>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25.1*</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25.2*</w:t>
            </w:r>
          </w:p>
        </w:tc>
        <w:tc>
          <w:tcPr>
            <w:tcW w:w="10260" w:type="dxa"/>
            <w:vAlign w:val="bottom"/>
            <w:gridSpan w:val="7"/>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1026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Filing Fee Table</w:t>
              </w:r>
            </w:hyperlink>
          </w:p>
        </w:tc>
      </w:tr>
      <w:tr>
        <w:trPr>
          <w:trHeight w:val="20"/>
        </w:trPr>
        <w:tc>
          <w:tcPr>
            <w:tcW w:w="9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60" w:hanging="652"/>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 to:</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960" w:hanging="656"/>
        <w:spacing w:after="0" w:line="254"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 and</w:t>
      </w:r>
    </w:p>
    <w:p>
      <w:pPr>
        <w:spacing w:after="0" w:line="191"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30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1960" w:hanging="656"/>
        <w:spacing w:after="0" w:line="287" w:lineRule="auto"/>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left="1300" w:hanging="644"/>
        <w:spacing w:after="0" w:line="275"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76" w:lineRule="exact"/>
        <w:rPr>
          <w:rFonts w:ascii="Arial" w:cs="Arial" w:eastAsia="Arial" w:hAnsi="Arial"/>
          <w:sz w:val="17"/>
          <w:szCs w:val="17"/>
          <w:color w:val="auto"/>
        </w:rPr>
      </w:pPr>
    </w:p>
    <w:p>
      <w:pPr>
        <w:ind w:left="1960" w:right="20" w:hanging="656"/>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5"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920" w:hanging="264"/>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of the Trust Indenture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Nashville, State of Tennessee, on May 26,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Chairman of the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Mark L. Baum and Andrew R. Boll,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38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w:t>
            </w:r>
          </w:p>
        </w:tc>
        <w:tc>
          <w:tcPr>
            <w:tcW w:w="292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7"/>
        </w:trPr>
        <w:tc>
          <w:tcPr>
            <w:tcW w:w="3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shd w:val="clear" w:color="auto" w:fill="000000"/>
          </w:tcPr>
          <w:p>
            <w:pPr>
              <w:spacing w:after="0"/>
              <w:rPr>
                <w:sz w:val="2"/>
                <w:szCs w:val="2"/>
                <w:color w:val="auto"/>
              </w:rPr>
            </w:pPr>
          </w:p>
        </w:tc>
      </w:tr>
      <w:tr>
        <w:trPr>
          <w:trHeight w:val="439"/>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43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Chairman of the Board of Directors</w:t>
            </w:r>
          </w:p>
        </w:tc>
        <w:tc>
          <w:tcPr>
            <w:tcW w:w="292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2920" w:type="dxa"/>
            <w:vAlign w:val="bottom"/>
          </w:tcPr>
          <w:p>
            <w:pPr>
              <w:spacing w:after="0"/>
              <w:rPr>
                <w:sz w:val="20"/>
                <w:szCs w:val="20"/>
                <w:color w:val="auto"/>
              </w:rPr>
            </w:pPr>
          </w:p>
        </w:tc>
      </w:tr>
      <w:tr>
        <w:trPr>
          <w:trHeight w:val="439"/>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Andrew R. Boll</w:t>
            </w:r>
          </w:p>
        </w:tc>
        <w:tc>
          <w:tcPr>
            <w:tcW w:w="438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92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A. Makary</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Martin A. Makary</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Teresa F. Sparks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Teresa F. Sparks</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Perry J. Sternberg</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Perry J. Sternberg</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 Lawrence Van Horn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20"/>
                <w:szCs w:val="20"/>
                <w:color w:val="auto"/>
              </w:rPr>
            </w:pPr>
            <w:r>
              <w:rPr>
                <w:rFonts w:ascii="Arial" w:cs="Arial" w:eastAsia="Arial" w:hAnsi="Arial"/>
                <w:sz w:val="18"/>
                <w:szCs w:val="18"/>
                <w:color w:val="auto"/>
              </w:rPr>
              <w:t>May 26,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 Lawrence Van Horn</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organized and existing under and by virtue of the General Corporation Law of the State of Delaware does hereby certify:</w:t>
      </w:r>
    </w:p>
    <w:p>
      <w:pPr>
        <w:spacing w:after="0" w:line="221"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That at a meeting of the Board of Directors of Imprimis Pharmaceuticals, Inc. resolutions were duly adopted setting forth a proposed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Amended and Restated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Amended and Restated Certificate of Incorporation of this corporation be amended by changing the Article thereof numbered</w:t>
      </w:r>
      <w:r>
        <w:rPr>
          <w:rFonts w:ascii="Arial" w:cs="Arial" w:eastAsia="Arial" w:hAnsi="Arial"/>
          <w:sz w:val="18"/>
          <w:szCs w:val="18"/>
          <w:b w:val="1"/>
          <w:bCs w:val="1"/>
          <w:color w:val="auto"/>
        </w:rPr>
        <w:t xml:space="preserve"> </w:t>
      </w:r>
      <w:r>
        <w:rPr>
          <w:rFonts w:ascii="Arial" w:cs="Arial" w:eastAsia="Arial" w:hAnsi="Arial"/>
          <w:sz w:val="18"/>
          <w:szCs w:val="18"/>
          <w:color w:val="auto"/>
        </w:rPr>
        <w:t>“FOURTH” so that, as amended, said Article shall be and read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The total number of shares of stock that the Corporation shall have authority to issue is Fifty Five Million (55,000,000). The classes and aggregate number of shares of each class which the Corporation shall have authority to issue are as follows:</w:t>
      </w:r>
    </w:p>
    <w:p>
      <w:pPr>
        <w:spacing w:after="0" w:line="170" w:lineRule="exact"/>
        <w:rPr>
          <w:sz w:val="20"/>
          <w:szCs w:val="20"/>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Fifty Million (50,000,000) shares of Common Stock, par value $0.001 per share (the “Common Stock”);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Five Million (5,000,000) shares of Preferred Stock, par value $0.001 per share (the “Preferred Stock).</w:t>
      </w:r>
    </w:p>
    <w:p>
      <w:pPr>
        <w:spacing w:after="0" w:line="225" w:lineRule="exact"/>
        <w:rPr>
          <w:rFonts w:ascii="Arial" w:cs="Arial" w:eastAsia="Arial" w:hAnsi="Arial"/>
          <w:sz w:val="18"/>
          <w:szCs w:val="18"/>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B. The Corporation may issue any class of the Preferred Stock in any series. The Board of Directors shall have authority to establish and designate series, and to fix the number of shares included in each such series and the variations in the relative rights, preferences and limitations as between series, provided that, if the stated dividends and amounts payable on liquidation are not paid in full, the shares of all series of the same class shall share ratably in the payment of dividends including accumulations, if any, in accordance with the sums which would be payable on such shares if all dividends were declared and paid in full, and in any distribution of assets other than by way of dividends in accordance with the sums which would be payable on such distribution if all sums payable were discharged in full. Shares of each such series when issued shall be designated to distinguish the shares of each series from shares of all other series.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pursuant to resolution of its Board of Directors, the annual meeting of the stockholders of said corporation was duly called and</w:t>
      </w:r>
      <w:r>
        <w:rPr>
          <w:rFonts w:ascii="Arial" w:cs="Arial" w:eastAsia="Arial" w:hAnsi="Arial"/>
          <w:sz w:val="18"/>
          <w:szCs w:val="18"/>
          <w:b w:val="1"/>
          <w:bCs w:val="1"/>
          <w:color w:val="auto"/>
        </w:rPr>
        <w:t xml:space="preserve"> </w:t>
      </w:r>
      <w:r>
        <w:rPr>
          <w:rFonts w:ascii="Arial" w:cs="Arial" w:eastAsia="Arial" w:hAnsi="Arial"/>
          <w:sz w:val="18"/>
          <w:szCs w:val="18"/>
          <w:color w:val="auto"/>
        </w:rPr>
        <w:t>held upon notice in accordance with Section 222 of the General Corporation Law of the State of Delaware at which meeting the necessary number of shares as required by statute were voted in favor of the amendment.</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said amendment was duly adopted in accordance with the provisions of Section 242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10</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2018.</w:t>
      </w:r>
    </w:p>
    <w:p>
      <w:pPr>
        <w:spacing w:after="0" w:line="135"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Officer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154305</wp:posOffset>
            </wp:positionV>
            <wp:extent cx="5743575" cy="497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7435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acted as special securities counsel to Harrow Health,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by the Company with the Securities and Exchange Commission relating to the registration of up to $300,000,000 in aggregate amount of (i) shares of Common Stock, $0.001 par value (“</w:t>
      </w:r>
      <w:r>
        <w:rPr>
          <w:rFonts w:ascii="Arial" w:cs="Arial" w:eastAsia="Arial" w:hAnsi="Arial"/>
          <w:sz w:val="16"/>
          <w:szCs w:val="16"/>
          <w:u w:val="single" w:color="auto"/>
          <w:color w:val="auto"/>
        </w:rPr>
        <w:t>Common Shares</w:t>
      </w:r>
      <w:r>
        <w:rPr>
          <w:rFonts w:ascii="Arial" w:cs="Arial" w:eastAsia="Arial" w:hAnsi="Arial"/>
          <w:sz w:val="16"/>
          <w:szCs w:val="16"/>
          <w:color w:val="auto"/>
        </w:rPr>
        <w:t>”), (ii) shares of Preferred Stock, $0.001 par value (“</w:t>
      </w:r>
      <w:r>
        <w:rPr>
          <w:rFonts w:ascii="Arial" w:cs="Arial" w:eastAsia="Arial" w:hAnsi="Arial"/>
          <w:sz w:val="16"/>
          <w:szCs w:val="16"/>
          <w:u w:val="single" w:color="auto"/>
          <w:color w:val="auto"/>
        </w:rPr>
        <w:t>Preferred Shares</w:t>
      </w:r>
      <w:r>
        <w:rPr>
          <w:rFonts w:ascii="Arial" w:cs="Arial" w:eastAsia="Arial" w:hAnsi="Arial"/>
          <w:sz w:val="16"/>
          <w:szCs w:val="16"/>
          <w:color w:val="auto"/>
        </w:rPr>
        <w:t>”), (iii)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which may be either senior or subordinated and which may be convertible into or exchangeable for Common Shares or Preferred Shares, (iv) warrants to purchase any of the foregoing securities (“</w:t>
      </w:r>
      <w:r>
        <w:rPr>
          <w:rFonts w:ascii="Arial" w:cs="Arial" w:eastAsia="Arial" w:hAnsi="Arial"/>
          <w:sz w:val="16"/>
          <w:szCs w:val="16"/>
          <w:u w:val="single" w:color="auto"/>
          <w:color w:val="auto"/>
        </w:rPr>
        <w:t>Warrants</w:t>
      </w:r>
      <w:r>
        <w:rPr>
          <w:rFonts w:ascii="Arial" w:cs="Arial" w:eastAsia="Arial" w:hAnsi="Arial"/>
          <w:sz w:val="16"/>
          <w:szCs w:val="16"/>
          <w:color w:val="auto"/>
        </w:rPr>
        <w:t>”), (v) depositary shares representing fractional interests in the Preferred Shares (“</w:t>
      </w:r>
      <w:r>
        <w:rPr>
          <w:rFonts w:ascii="Arial" w:cs="Arial" w:eastAsia="Arial" w:hAnsi="Arial"/>
          <w:sz w:val="16"/>
          <w:szCs w:val="16"/>
          <w:u w:val="single" w:color="auto"/>
          <w:color w:val="auto"/>
        </w:rPr>
        <w:t>Depositary Shares</w:t>
      </w:r>
      <w:r>
        <w:rPr>
          <w:rFonts w:ascii="Arial" w:cs="Arial" w:eastAsia="Arial" w:hAnsi="Arial"/>
          <w:sz w:val="16"/>
          <w:szCs w:val="16"/>
          <w:color w:val="auto"/>
        </w:rPr>
        <w:t>”), and (vi) units, comprised of any combination of the foregoing securities, which may be separable from one another (“</w:t>
      </w:r>
      <w:r>
        <w:rPr>
          <w:rFonts w:ascii="Arial" w:cs="Arial" w:eastAsia="Arial" w:hAnsi="Arial"/>
          <w:sz w:val="16"/>
          <w:szCs w:val="16"/>
          <w:u w:val="single" w:color="auto"/>
          <w:color w:val="auto"/>
        </w:rPr>
        <w:t>Units</w:t>
      </w:r>
      <w:r>
        <w:rPr>
          <w:rFonts w:ascii="Arial" w:cs="Arial" w:eastAsia="Arial" w:hAnsi="Arial"/>
          <w:sz w:val="16"/>
          <w:szCs w:val="16"/>
          <w:color w:val="auto"/>
        </w:rPr>
        <w:t>” and, together with Depositary Shares, Warrants, Debt Securities, Preferred Shares and Common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all of which Securities may be offered and sold by the Company from time to time as set forth in the prospectus which forms a part of the Registration 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and as to be set forth in one or more supplements to the Prospectus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assumed that the issuance, sale, amount and terms of the Securities to be offered from time to time will be duly authorized and determined by proper action of the Board of Directors of the Company (each, a “</w:t>
      </w:r>
      <w:r>
        <w:rPr>
          <w:rFonts w:ascii="Arial" w:cs="Arial" w:eastAsia="Arial" w:hAnsi="Arial"/>
          <w:sz w:val="17"/>
          <w:szCs w:val="17"/>
          <w:u w:val="single" w:color="auto"/>
          <w:color w:val="auto"/>
        </w:rPr>
        <w:t>Board Action</w:t>
      </w:r>
      <w:r>
        <w:rPr>
          <w:rFonts w:ascii="Arial" w:cs="Arial" w:eastAsia="Arial" w:hAnsi="Arial"/>
          <w:sz w:val="17"/>
          <w:szCs w:val="17"/>
          <w:color w:val="auto"/>
        </w:rPr>
        <w:t>”) and in accordance with the Company’s Amended and Restated Certificate of Incorporation, as amended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applicable Delaware law. We further assume that (i) any Debt Securities will be issued pursuant to an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a financial institution identified therein as a trustee (each, a “</w:t>
      </w:r>
      <w:r>
        <w:rPr>
          <w:rFonts w:ascii="Arial" w:cs="Arial" w:eastAsia="Arial" w:hAnsi="Arial"/>
          <w:sz w:val="17"/>
          <w:szCs w:val="17"/>
          <w:u w:val="single" w:color="auto"/>
          <w:color w:val="auto"/>
        </w:rPr>
        <w:t>Trustee</w:t>
      </w:r>
      <w:r>
        <w:rPr>
          <w:rFonts w:ascii="Arial" w:cs="Arial" w:eastAsia="Arial" w:hAnsi="Arial"/>
          <w:sz w:val="17"/>
          <w:szCs w:val="17"/>
          <w:color w:val="auto"/>
        </w:rPr>
        <w:t>”), (ii) any Warrants will be issued under one or more warrant agreements (each, a “</w:t>
      </w:r>
      <w:r>
        <w:rPr>
          <w:rFonts w:ascii="Arial" w:cs="Arial" w:eastAsia="Arial" w:hAnsi="Arial"/>
          <w:sz w:val="17"/>
          <w:szCs w:val="17"/>
          <w:u w:val="single" w:color="auto"/>
          <w:color w:val="auto"/>
        </w:rPr>
        <w:t>Warrant Agreement</w:t>
      </w:r>
      <w:r>
        <w:rPr>
          <w:rFonts w:ascii="Arial" w:cs="Arial" w:eastAsia="Arial" w:hAnsi="Arial"/>
          <w:sz w:val="17"/>
          <w:szCs w:val="17"/>
          <w:color w:val="auto"/>
        </w:rPr>
        <w:t>”), each to be between the Company and a financial institution identified therein as a warrant agent, if any (each, a “</w:t>
      </w:r>
      <w:r>
        <w:rPr>
          <w:rFonts w:ascii="Arial" w:cs="Arial" w:eastAsia="Arial" w:hAnsi="Arial"/>
          <w:sz w:val="17"/>
          <w:szCs w:val="17"/>
          <w:u w:val="single" w:color="auto"/>
          <w:color w:val="auto"/>
        </w:rPr>
        <w:t>Warrant Agent</w:t>
      </w:r>
      <w:r>
        <w:rPr>
          <w:rFonts w:ascii="Arial" w:cs="Arial" w:eastAsia="Arial" w:hAnsi="Arial"/>
          <w:sz w:val="17"/>
          <w:szCs w:val="17"/>
          <w:color w:val="auto"/>
        </w:rPr>
        <w:t>”), (iii) any Depositary Shares will be issued pursuant to a “</w:t>
      </w:r>
      <w:r>
        <w:rPr>
          <w:rFonts w:ascii="Arial" w:cs="Arial" w:eastAsia="Arial" w:hAnsi="Arial"/>
          <w:sz w:val="17"/>
          <w:szCs w:val="17"/>
          <w:u w:val="single" w:color="auto"/>
          <w:color w:val="auto"/>
        </w:rPr>
        <w:t>Deposit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the financial institution identified therein as a depositary, the form of which will be filed by amendment to the Registration Statement or as an exhibit to a document to be incorporated therein by reference, and (iv) any Units will be issued pursuant to a “</w:t>
      </w:r>
      <w:r>
        <w:rPr>
          <w:rFonts w:ascii="Arial" w:cs="Arial" w:eastAsia="Arial" w:hAnsi="Arial"/>
          <w:sz w:val="17"/>
          <w:szCs w:val="17"/>
          <w:u w:val="single" w:color="auto"/>
          <w:color w:val="auto"/>
        </w:rPr>
        <w:t>Unit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a financial institution identified therein as a unit agent, the form of which will be filed by amendment to the Registration Statement or as an exhibit to a document to be incorporated therein by reference.</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opinion,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following opinion, we express no opinion as to the laws of any jurisdiction other than the State of Tennessee, the General Corporation Law of the State of Delaware and the federal law of the United States to the extent specifically referred to herein. All opinions expressed are as of the date hereof except where expressly stated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subject to and limited by the foregoing, we are of the opinion that, as of the date hereof:</w:t>
      </w:r>
    </w:p>
    <w:p>
      <w:pPr>
        <w:spacing w:after="0" w:line="225" w:lineRule="exact"/>
        <w:rPr>
          <w:sz w:val="20"/>
          <w:szCs w:val="20"/>
          <w:color w:val="auto"/>
        </w:rPr>
      </w:pPr>
    </w:p>
    <w:p>
      <w:pPr>
        <w:jc w:val="both"/>
        <w:ind w:firstLine="656"/>
        <w:spacing w:after="0" w:line="293" w:lineRule="auto"/>
        <w:tabs>
          <w:tab w:leader="none" w:pos="9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upon due authorization by Board Action of an issuance of Common Shares, and upon issuance and delivery of certificates, if any, for Common Shares against payment therefor in accordance with the terms of such Board Action, any applicable underwriting agreement and as contemplated by the Registration Statement and/or the applicable Prospectus Supplement, and, if issued upon the conversion, exchange or exercise of Preferred Shares, Debt Securities, Warrants or Units, when such shares have been duly issued and delivered as contemplated by the terms of the applicable Indenture, Warrant Agreement, Unit Agreement or the Certificate of Incorporation, the shares represented by such certificates, if any, will be duly authorized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656"/>
        <w:spacing w:after="0" w:line="272"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when a series of Preferred Shares has been duly authorized and established by applicable Board Action, in accordance with the terms of the Certificate of Incorporation and applicable law, and, upon issuance and delivery of certificates, if any, for such series of Preferred Shares against payment therefor in accordance with the terms of such Board Action, any applicable underwriting agreement, and as contemplated by the Registration Statement and/or the applicable Prospectus Supplement, and, if issued upon the conversion, exchange or exercise of Debt Securities, Warrants, Depositary Shares or Units, when such shares have been duly issued and delivered as contemplated by the terms of the applicable Indenture, Warrant Agreement, Deposit Agreement or Unit Agreement, the shares represented by such certificates, if any, will be duly authorized and validly issued, fully paid and non-assessable.</w:t>
      </w:r>
    </w:p>
    <w:p>
      <w:pPr>
        <w:spacing w:after="0" w:line="177" w:lineRule="exact"/>
        <w:rPr>
          <w:rFonts w:ascii="Arial" w:cs="Arial" w:eastAsia="Arial" w:hAnsi="Arial"/>
          <w:sz w:val="17"/>
          <w:szCs w:val="17"/>
          <w:color w:val="auto"/>
        </w:rPr>
      </w:pPr>
    </w:p>
    <w:p>
      <w:pPr>
        <w:jc w:val="both"/>
        <w:ind w:firstLine="656"/>
        <w:spacing w:after="0" w:line="255" w:lineRule="auto"/>
        <w:tabs>
          <w:tab w:leader="none" w:pos="9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the Registration Statement has become effective under the Act, and when a series of Debt Securities has been (a) duly established by an Indenture or any supplemental indenture thereto, (b) duly authorized and established by applicable Board Action and duly authenticated by the Trustee under such Indenture, and (c) duly executed and delivered on behalf of the Company against payment therefor in accordance with the terms of such Board Action, any applicable underwriting agreement, the Indenture and any applicable supplemental indenture thereto, and as contemplated by the Registration Statement and/or the applicable Prospectus Supplement, the Debt Securities will be valid and binding obligations of the Company enforceable against the Company in accordance with their respective terms.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0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Act and when Warrants have been (a) duly established by the related Warrant Agreement, (b) duly authorized and established by applicable Board Action and duly authenticated by the Warrant Agent to the extent applicable, and (c) duly executed and delivered on behalf of the Company against payment therefor in accordance with the terms of such Board Action, any applicable underwriting agreement, the applicable Warrant Agreement, and as contemplated by the Registration Statement and/or the applicable Prospectus Supplement, the Warrants will be valid and binding obligations of the Company enforceable against the Company in accordance with their terms.</w:t>
      </w:r>
    </w:p>
    <w:p>
      <w:pPr>
        <w:spacing w:after="0" w:line="161" w:lineRule="exact"/>
        <w:rPr>
          <w:rFonts w:ascii="Arial" w:cs="Arial" w:eastAsia="Arial" w:hAnsi="Arial"/>
          <w:sz w:val="16"/>
          <w:szCs w:val="16"/>
          <w:color w:val="auto"/>
        </w:rPr>
      </w:pPr>
    </w:p>
    <w:p>
      <w:pPr>
        <w:jc w:val="both"/>
        <w:ind w:firstLine="656"/>
        <w:spacing w:after="0" w:line="270" w:lineRule="auto"/>
        <w:tabs>
          <w:tab w:leader="none" w:pos="901"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(a) when Depositary Shares have been duly established by a Deposit Agreement and the related depositary receipts, (b) when any Preferred Shares underlying such Depositary Shares have been duly and validly issued and are fully paid and nonassessable as contemplated in Opinion Paragraph 2 above and deposited with a bank or trust company (which meets the requirements for depositary set forth in the Registration Statement) under the applicable Deposit Agreement, (c) when the Depositary Shares and the related depositary receipts have been duly authorized and established by applicable Board Action and duly authenticated by the depositary to the extent applicable, and (d) when the Depositary Shares and the related depositary receipts have been duly executed and delivered on behalf of the Company against payment therefor in accordance with the terms of such Board Action, the Deposit Agreement, and as contemplated by the Registration Statement and/or the applicable Prospectus Supplement, the Depositary Shares will be validly issued, fully paid and non-assessable and entitle the holders thereof to the rights specified in such depositary receipts and Deposit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obligations of the Company under any agreement (including, without limitation, any Indenture, Warrant Agreement, Deposit Agreement, or Unit Agreement) may be dependent upon such matters, we assume for purposes of this opinion that: (i) the other party or parties to such agreement is duly organized, validly existing and in good standing under the laws of its jurisdiction of organization; (ii) the other party or parties to such agreement is duly qualified to engage in the activities contemplated by the agreement, as applicable; (iii) the agreement has been duly authorized, executed and delivered by the other party or parties to such agreement, as applicable, and constitutes the valid and binding obligation of the other party or parties to such agreement, as applicable, enforceable against the other party or parties to such agreement, as applicable, in accordance with its terms; (iv) the other party or parties to such agreement is in compliance, with respect to any actions the other party to such agreement may take under such agreement, as applicable, with all applicable laws and regulations; and (v) the other party or parties to such agreement has the requisite organizational and legal power and authority to perform its obligations under such agreement, as applicable.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assume no obligation to advise you of any changes in the foregoing subsequent to the delivery of this opinion letter. This opinion letter has been prepared solely for your use in connection with the transmitting for filing of the Registration Statement on the date of this opinion letter and should not be quoted in whole or in part or otherwise be referred to, or filed with or furnished to any governmental agency or other person or entity, without the prior written consent of this firm.</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hereby consent to the filing of this opinion letter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and further consent to the reference to this firm under the caption “Legal Matters” in the Prospectus. In giving such consent, we do not thereby admit that we are in the category of persons whose consent is required under Section 7 of the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S-3 of Harrow Health, Inc. of our report dated March 10, 2022, relating to the consolidated financial statements of Harrow Health, Inc. and subsidiaries, appearing in the Annual Report on Form 10-K of Harrow Health, Inc.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Filing Fee</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Previously</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Paid In</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Connection</w:t>
            </w:r>
          </w:p>
        </w:tc>
      </w:tr>
      <w:tr>
        <w:trPr>
          <w:trHeight w:val="149"/>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with</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Fee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Proposed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Carry</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Unsold</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Calculation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Carry</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Forward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Securities</w:t>
            </w: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or Carry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Offering</w:t>
            </w: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Maximum</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Amount of</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Carry</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Forward</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Initial</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 be</w:t>
            </w:r>
          </w:p>
        </w:tc>
      </w:tr>
      <w:tr>
        <w:trPr>
          <w:trHeight w:val="148"/>
        </w:trPr>
        <w:tc>
          <w:tcPr>
            <w:tcW w:w="7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Security</w:t>
            </w: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Security</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Forward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Amount</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Price Per</w:t>
            </w: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Aggregate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Registration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Forward</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File</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effective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Carried</w:t>
            </w:r>
          </w:p>
        </w:tc>
      </w:tr>
      <w:tr>
        <w:trPr>
          <w:trHeight w:val="167"/>
        </w:trPr>
        <w:tc>
          <w:tcPr>
            <w:tcW w:w="7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Type</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Class Title</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7"/>
              </w:rPr>
              <w:t>Rule</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Registered</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Security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Offering Price</w:t>
            </w: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Fee Rate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Fee</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Form Type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Number</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date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Forward</w:t>
            </w:r>
          </w:p>
        </w:tc>
      </w:tr>
      <w:tr>
        <w:trPr>
          <w:trHeight w:val="27"/>
        </w:trPr>
        <w:tc>
          <w:tcPr>
            <w:tcW w:w="76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35"/>
        </w:trPr>
        <w:tc>
          <w:tcPr>
            <w:tcW w:w="7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60" w:type="dxa"/>
            <w:vAlign w:val="bottom"/>
            <w:gridSpan w:val="6"/>
            <w:shd w:val="clear" w:color="auto" w:fill="CCEEFF"/>
          </w:tcPr>
          <w:p>
            <w:pPr>
              <w:jc w:val="right"/>
              <w:ind w:right="348"/>
              <w:spacing w:after="0" w:line="135" w:lineRule="exact"/>
              <w:rPr>
                <w:sz w:val="20"/>
                <w:szCs w:val="20"/>
                <w:color w:val="auto"/>
              </w:rPr>
            </w:pPr>
            <w:r>
              <w:rPr>
                <w:rFonts w:ascii="Arial" w:cs="Arial" w:eastAsia="Arial" w:hAnsi="Arial"/>
                <w:sz w:val="14"/>
                <w:szCs w:val="14"/>
                <w:color w:val="auto"/>
              </w:rPr>
              <w:t>Newly Registered Securities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0"/>
        </w:trPr>
        <w:tc>
          <w:tcPr>
            <w:tcW w:w="760" w:type="dxa"/>
            <w:vAlign w:val="bottom"/>
          </w:tcPr>
          <w:p>
            <w:pPr>
              <w:spacing w:after="0" w:line="130" w:lineRule="exact"/>
              <w:rPr>
                <w:sz w:val="20"/>
                <w:szCs w:val="20"/>
                <w:color w:val="auto"/>
              </w:rPr>
            </w:pPr>
            <w:r>
              <w:rPr>
                <w:rFonts w:ascii="Arial" w:cs="Arial" w:eastAsia="Arial" w:hAnsi="Arial"/>
                <w:sz w:val="14"/>
                <w:szCs w:val="14"/>
                <w:color w:val="auto"/>
              </w:rPr>
              <w:t>Fees to Be</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5"/>
              </w:rPr>
              <w:t>Common</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60" w:type="dxa"/>
            <w:vAlign w:val="bottom"/>
          </w:tcPr>
          <w:p>
            <w:pPr>
              <w:spacing w:after="0" w:line="149" w:lineRule="exact"/>
              <w:rPr>
                <w:sz w:val="20"/>
                <w:szCs w:val="20"/>
                <w:color w:val="auto"/>
              </w:rPr>
            </w:pPr>
            <w:r>
              <w:rPr>
                <w:rFonts w:ascii="Arial" w:cs="Arial" w:eastAsia="Arial" w:hAnsi="Arial"/>
                <w:sz w:val="14"/>
                <w:szCs w:val="14"/>
                <w:color w:val="auto"/>
              </w:rPr>
              <w:t>Paid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Stock, par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value $0.001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per share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7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Preferred</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7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Stock, par</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value $0.001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7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7"/>
              </w:rPr>
              <w:t>per share</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76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Depositary</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Warrants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Units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7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Debt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4"/>
              </w:rPr>
              <w:t>Debt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7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Securities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76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4"/>
              </w:rPr>
              <w:t>Unallocated</w:t>
            </w:r>
          </w:p>
        </w:tc>
        <w:tc>
          <w:tcPr>
            <w:tcW w:w="86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0"/>
              </w:rPr>
              <w:t>Rule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7"/>
              </w:rPr>
              <w:t>(Universal)</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457(o)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Shelf</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220" w:type="dxa"/>
            <w:vAlign w:val="bottom"/>
            <w:gridSpan w:val="3"/>
          </w:tcPr>
          <w:p>
            <w:pPr>
              <w:ind w:left="100"/>
              <w:spacing w:after="0"/>
              <w:rPr>
                <w:sz w:val="20"/>
                <w:szCs w:val="20"/>
                <w:color w:val="auto"/>
              </w:rPr>
            </w:pPr>
            <w:r>
              <w:rPr>
                <w:rFonts w:ascii="Arial" w:cs="Arial" w:eastAsia="Arial" w:hAnsi="Arial"/>
                <w:sz w:val="14"/>
                <w:szCs w:val="14"/>
                <w:color w:val="auto"/>
              </w:rPr>
              <w:t>$ 300,000,000(2)</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.0000927</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27,810(3)</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6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Total Offering Amounts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$ 300,000,000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27,810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2560" w:type="dxa"/>
            <w:vAlign w:val="bottom"/>
            <w:gridSpan w:val="6"/>
          </w:tcPr>
          <w:p>
            <w:pPr>
              <w:jc w:val="center"/>
              <w:ind w:right="100"/>
              <w:spacing w:after="0" w:line="149" w:lineRule="exact"/>
              <w:rPr>
                <w:sz w:val="20"/>
                <w:szCs w:val="20"/>
                <w:color w:val="auto"/>
              </w:rPr>
            </w:pPr>
            <w:r>
              <w:rPr>
                <w:rFonts w:ascii="Arial" w:cs="Arial" w:eastAsia="Arial" w:hAnsi="Arial"/>
                <w:sz w:val="14"/>
                <w:szCs w:val="14"/>
                <w:color w:val="auto"/>
                <w:w w:val="92"/>
              </w:rPr>
              <w:t>Total Fees Previously Paid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800" w:type="dxa"/>
            <w:vAlign w:val="bottom"/>
            <w:gridSpan w:val="5"/>
            <w:shd w:val="clear" w:color="auto" w:fill="CCEEFF"/>
          </w:tcPr>
          <w:p>
            <w:pPr>
              <w:jc w:val="center"/>
              <w:ind w:right="840"/>
              <w:spacing w:after="0" w:line="149" w:lineRule="exact"/>
              <w:rPr>
                <w:sz w:val="20"/>
                <w:szCs w:val="20"/>
                <w:color w:val="auto"/>
              </w:rPr>
            </w:pPr>
            <w:r>
              <w:rPr>
                <w:rFonts w:ascii="Arial" w:cs="Arial" w:eastAsia="Arial" w:hAnsi="Arial"/>
                <w:sz w:val="14"/>
                <w:szCs w:val="14"/>
                <w:color w:val="auto"/>
                <w:w w:val="89"/>
              </w:rPr>
              <w:t>Total Fee Offsets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13,638(4)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90"/>
              </w:rPr>
              <w:t>Net Fees Due</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14,172</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05"/>
        </w:trPr>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11"/>
          </w:tcPr>
          <w:p>
            <w:pPr>
              <w:jc w:val="right"/>
              <w:ind w:right="260"/>
              <w:spacing w:after="0"/>
              <w:rPr>
                <w:sz w:val="20"/>
                <w:szCs w:val="20"/>
                <w:color w:val="auto"/>
              </w:rPr>
            </w:pPr>
            <w:r>
              <w:rPr>
                <w:rFonts w:ascii="Arial" w:cs="Arial" w:eastAsia="Arial" w:hAnsi="Arial"/>
                <w:sz w:val="18"/>
                <w:szCs w:val="18"/>
                <w:color w:val="auto"/>
              </w:rPr>
              <w:t>Table 2: Fee Offset Claims and Sources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Unsold</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Security</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Security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Offering</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Type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Title</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Unsold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Associated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Associated</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Associated</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Fee Paid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Registrant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or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color w:val="auto"/>
              </w:rPr>
              <w:t>Initial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Fee</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with Fee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with Fee</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with Fee</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with Fee</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with Fee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or Filer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File</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color w:val="auto"/>
              </w:rPr>
              <w:t>Filing</w:t>
            </w:r>
          </w:p>
        </w:tc>
        <w:tc>
          <w:tcPr>
            <w:tcW w:w="720" w:type="dxa"/>
            <w:vAlign w:val="bottom"/>
          </w:tcPr>
          <w:p>
            <w:pPr>
              <w:jc w:val="center"/>
              <w:spacing w:after="0"/>
              <w:rPr>
                <w:sz w:val="20"/>
                <w:szCs w:val="20"/>
                <w:color w:val="auto"/>
              </w:rPr>
            </w:pPr>
            <w:r>
              <w:rPr>
                <w:rFonts w:ascii="Arial" w:cs="Arial" w:eastAsia="Arial" w:hAnsi="Arial"/>
                <w:sz w:val="18"/>
                <w:szCs w:val="18"/>
                <w:color w:val="auto"/>
              </w:rPr>
              <w:t>Filing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Offset</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Offset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Offset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Offset</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Offset</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Offset</w:t>
            </w: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Type</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Date</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Claimed</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Claimed</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Claimed</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Claimed</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Claimed</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Source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Rule 457(p)</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0"/>
              </w:rPr>
              <w:t>Fee Offset</w:t>
            </w:r>
          </w:p>
        </w:tc>
        <w:tc>
          <w:tcPr>
            <w:tcW w:w="96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6"/>
              </w:rPr>
              <w:t>Harrow</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Form S-3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4"/>
              </w:rPr>
              <w:t>333-</w:t>
            </w:r>
          </w:p>
        </w:tc>
        <w:tc>
          <w:tcPr>
            <w:tcW w:w="120" w:type="dxa"/>
            <w:vAlign w:val="bottom"/>
          </w:tcPr>
          <w:p>
            <w:pPr>
              <w:spacing w:after="0"/>
              <w:rPr>
                <w:sz w:val="17"/>
                <w:szCs w:val="17"/>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2"/>
              </w:rPr>
              <w:t>26-May-22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4"/>
              </w:rPr>
              <w:t>Claims</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Health, Inc.</w:t>
            </w:r>
          </w:p>
        </w:tc>
        <w:tc>
          <w:tcPr>
            <w:tcW w:w="9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13,638</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Fee Offset</w:t>
            </w:r>
          </w:p>
        </w:tc>
        <w:tc>
          <w:tcPr>
            <w:tcW w:w="96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6"/>
              </w:rPr>
              <w:t>Harrow</w:t>
            </w:r>
          </w:p>
        </w:tc>
        <w:tc>
          <w:tcPr>
            <w:tcW w:w="9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Form S-3</w:t>
            </w:r>
          </w:p>
        </w:tc>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333-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02-Jul-20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Claims</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Health, Inc.</w:t>
            </w:r>
          </w:p>
        </w:tc>
        <w:tc>
          <w:tcPr>
            <w:tcW w:w="900" w:type="dxa"/>
            <w:vAlign w:val="bottom"/>
            <w:gridSpan w:val="2"/>
            <w:vMerge w:val="continue"/>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239669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125,000,000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$ 10,471</w:t>
            </w:r>
          </w:p>
        </w:tc>
        <w:tc>
          <w:tcPr>
            <w:tcW w:w="0" w:type="dxa"/>
            <w:vAlign w:val="bottom"/>
          </w:tcPr>
          <w:p>
            <w:pPr>
              <w:spacing w:after="0"/>
              <w:rPr>
                <w:sz w:val="1"/>
                <w:szCs w:val="1"/>
                <w:color w:val="auto"/>
              </w:rPr>
            </w:pPr>
          </w:p>
        </w:tc>
      </w:tr>
      <w:tr>
        <w:trPr>
          <w:trHeight w:val="202"/>
        </w:trPr>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0"/>
              </w:rPr>
              <w:t>Fee Offset</w:t>
            </w:r>
          </w:p>
        </w:tc>
        <w:tc>
          <w:tcPr>
            <w:tcW w:w="96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6"/>
              </w:rPr>
              <w:t>Harrow</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Form S-3</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4"/>
              </w:rPr>
              <w:t>333-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7"/>
              </w:rPr>
              <w:t>03-Sep-</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ind w:right="10"/>
              <w:spacing w:after="0"/>
              <w:rPr>
                <w:sz w:val="20"/>
                <w:szCs w:val="20"/>
                <w:color w:val="auto"/>
              </w:rPr>
            </w:pPr>
            <w:r>
              <w:rPr>
                <w:rFonts w:ascii="Arial" w:cs="Arial" w:eastAsia="Arial" w:hAnsi="Arial"/>
                <w:sz w:val="18"/>
                <w:szCs w:val="18"/>
                <w:color w:val="auto"/>
                <w:w w:val="87"/>
              </w:rPr>
              <w:t>Source</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Health, Inc.</w:t>
            </w:r>
          </w:p>
        </w:tc>
        <w:tc>
          <w:tcPr>
            <w:tcW w:w="900" w:type="dxa"/>
            <w:vAlign w:val="bottom"/>
            <w:gridSpan w:val="2"/>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259326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24,400,000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$ 12,980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660" w:hanging="652"/>
        <w:spacing w:after="0" w:line="271"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$300,000,000;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 Units will represent an interest in any combination of common stock, preferred stock, debt securities, or warrants, which may or may not be separable from one another.</w:t>
      </w:r>
    </w:p>
    <w:p>
      <w:pPr>
        <w:spacing w:after="0" w:line="178"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5"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September 3, 2021, the registrant filed a registration statement on Form S-3 (File No. 333-259326), registering the issuance of $125,000,000 of securities of the registrant (the “Prior Registration Statement”). The Prior Registration Statement was declared effective on September 14, 2021. The registrant did not sell any securities under the Prior Registration Statement and, as such, $125,000,000 of securities previously registered remain unsold under the Prior S-3 Registration Statement (the “Unsold Securities”). Pursuant to Rule 457(p) under the Securities Act, the registration fee applicable to the securities registered hereby in the amount of $27,810 is offset by $13,638 in registration fees previously paid by the registrant with respect to the Unsold Securities. Accordingly, a registration fee of $14,172 is being paid at this time. For the Prior Registration Statement, note that the registrant relied on the registration fee paid in connection with unsold securities from an earlier registration statement on Form S-3 (File No. 333-239669) to offset $3,167 of the registration fee of $13,638 in accordance with Rule 457(p).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lvl w:ilvl="1">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1D4ED43B"/>
    <w:multiLevelType w:val="hybridMultilevel"/>
    <w:lvl w:ilvl="0">
      <w:lvlJc w:val="left"/>
      <w:lvlText w:val="(%1)"/>
      <w:numFmt w:val="decimal"/>
      <w:start w:val="2"/>
    </w:lvl>
    <w:lvl w:ilvl="1">
      <w:lvlJc w:val="left"/>
      <w:lvlText w:val="(%2)"/>
      <w:numFmt w:val="lowerRoman"/>
      <w:start w:val="1"/>
    </w:lvl>
  </w:abstractNum>
  <w:abstractNum w:abstractNumId="40">
    <w:nsid w:val="725A06F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1">
    <w:nsid w:val="2CD89A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2">
    <w:nsid w:val="57E4CCA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3">
    <w:nsid w:val="7A6D8D3C"/>
    <w:multiLevelType w:val="hybridMultilevel"/>
    <w:lvl w:ilvl="0">
      <w:lvlJc w:val="left"/>
      <w:lvlText w:val="%1"/>
      <w:numFmt w:val="upperLetter"/>
      <w:start w:val="1"/>
    </w:lvl>
    <w:lvl w:ilvl="1">
      <w:lvlJc w:val="left"/>
      <w:lvlText w:val="%2."/>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2"/>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jpe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53" Type="http://schemas.openxmlformats.org/officeDocument/2006/relationships/hyperlink" Target="https://www.sec.gov/Archives/edgar/data/1360214/000149315215000811/ex3-1.htm" TargetMode="External"/><Relationship Id="rId54" Type="http://schemas.openxmlformats.org/officeDocument/2006/relationships/hyperlink" Target="https://www.sec.gov/Archives/edgar/data/1360214/000149315218018103/ex3-1.htm" TargetMode="External"/><Relationship Id="rId55" Type="http://schemas.openxmlformats.org/officeDocument/2006/relationships/hyperlink" Target="https://www.sec.gov/Archives/edgar/data/1360214/000107878211003672/f8k121911_ex3z1.htm" TargetMode="External"/><Relationship Id="rId56" Type="http://schemas.openxmlformats.org/officeDocument/2006/relationships/hyperlink" Target="https://www.sec.gov/Archives/edgar/data/1360214/000149315221010520/ex3-1.htm" TargetMode="External"/><Relationship Id="rId57" Type="http://schemas.openxmlformats.org/officeDocument/2006/relationships/hyperlink" Target="https://www.sec.gov/Archives/edgar/data/1360214/000149315214000878/ex3-2.htm" TargetMode="External"/><Relationship Id="rId58" Type="http://schemas.openxmlformats.org/officeDocument/2006/relationships/hyperlink" Target="https://www.sec.gov/Archives/edgar/data/1360214/000149315220012519/ex4-1.htm" TargetMode="External"/><Relationship Id="rId59" Type="http://schemas.openxmlformats.org/officeDocument/2006/relationships/hyperlink" Target="https://www.sec.gov/Archives/edgar/data/1360214/000149315220012519/ex4-2.htm" TargetMode="External"/><Relationship Id="rId60" Type="http://schemas.openxmlformats.org/officeDocument/2006/relationships/hyperlink" Target="https://www.sec.gov/Archives/edgar/data/1360214/000149315221009249/ex4-1.htm" TargetMode="External"/><Relationship Id="rId61" Type="http://schemas.openxmlformats.org/officeDocument/2006/relationships/hyperlink" Target="https://www.sec.gov/Archives/edgar/data/1360214/000149315221009249/ex4-2.htm" TargetMode="External"/><Relationship Id="rId62" Type="http://schemas.openxmlformats.org/officeDocument/2006/relationships/hyperlink" Target="http://www.sec.gov/Archives/edgar/data/1360214/000149315221009249/ex4-2.htm" TargetMode="External"/><Relationship Id="rId63" Type="http://schemas.openxmlformats.org/officeDocument/2006/relationships/hyperlink" Target="https://www.sec.gov/Archives/edgar/data/1360214/000149315222006525/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2022-05-26T17:04:37Z</dcterms:created>
  <dcterms:modified xsi:type="dcterms:W3CDTF">2022-05-26T17:04:37Z</dcterms:modified>
</cp:coreProperties>
</file>