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Edwards Clayton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04/13/2027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stock options granted under the Issuer's 2007 Stock Incentive and Awards Plan. The stock options vests over a 4-year period, with 25% of the total number of shares subject to the option vesting on the one-year anniversary of the grant date and the remaining shares subject to the option vesting in equal installments each quarterly period following the one-year anniversary of the grant date.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Clayton D. Edwards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4083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2020-01-16T02:15:50Z</dcterms:created>
  <dcterms:modified xsi:type="dcterms:W3CDTF">2020-01-16T02:15:50Z</dcterms:modified>
</cp:coreProperties>
</file>