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27,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01"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801"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801"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June 27, 2017, Imprimis Pharmaceuticals, Inc. and its wholly owned subsidiaries ImprimisRx PA, Inc. and ImprimisRx CA, Inc. (collectively, the “Company”) entered into an Asset Purchase Agreement (the “Agreement”) with Creative Pharmacy Solutions Central, LLC (the “Buyers”). Under the terms of the Agreement, the Company has agreed to sell substantially all its assets associated with its sinus related business, including but not limited to, certain intellectual property rights, trademarks, copyrights, inventories, equipment, customer lists, databases, permits, licenses, and assignment of the Company’s lease obligation for its Pennsylvania based pharmacy (the “Assets”), for a total purchase price of approximately $450,000.</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the Agreement, the Buyers are obligated, upon the closing, to pay to the Company an aggregate cash amount of $40,000. In addition, the Buyers are obligated to pay the remaining $410,000 in the form of a sellers note that will bear interest at 6% per annum (the “Sellers Note”). The Buyers will make forty-eight (48) monthly cash payments to the Company of $9,628.86 each over the four years following the closing, totaling $462,185.28; provided however, that the Buyer will have the option to make a one-time payment of $365,000 any time prior to December 31, 2017, and the Company will waive any remaining amounts due of the Seller Note. The principal amount of the Seller Note may also be reduced by $125,000, if after a period of 60 days following the close, certain revenues associated with the Assets are less than 60% of the revenues associated with the Assets 60 days prior to the close of the transaction. The closing of this transaction is expected to occur on or around July 17, 2017, subject to customary terms and conditions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is only a brief description of the Agreement does not purport to be a complete description of the rights and obligations of the parties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Form 8-K, including the exhibits filed with this Form 8-K, contains certain forward-looking statements regarding the proposed transaction between the Company and the Buyers.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29,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2020-01-17T16:11:26Z</dcterms:created>
  <dcterms:modified xsi:type="dcterms:W3CDTF">2020-01-17T16:11:26Z</dcterms:modified>
</cp:coreProperties>
</file>