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20" w:right="1800" w:hanging="3669"/>
        <w:spacing w:after="0" w:line="500" w:lineRule="auto"/>
        <w:tabs>
          <w:tab w:leader="none" w:pos="6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360" w:right="1420" w:hanging="4109"/>
        <w:spacing w:after="0" w:line="500" w:lineRule="auto"/>
        <w:tabs>
          <w:tab w:leader="none" w:pos="6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TN 37205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733-4730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1"/>
                <w:szCs w:val="21"/>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00" w:type="dxa"/>
            <w:vAlign w:val="bottom"/>
          </w:tcPr>
          <w:p>
            <w:pPr>
              <w:spacing w:after="0"/>
              <w:rPr>
                <w:sz w:val="17"/>
                <w:szCs w:val="17"/>
                <w:color w:val="auto"/>
              </w:rPr>
            </w:pPr>
          </w:p>
        </w:tc>
        <w:tc>
          <w:tcPr>
            <w:tcW w:w="4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HROWL</w:t>
            </w:r>
          </w:p>
        </w:tc>
        <w:tc>
          <w:tcPr>
            <w:tcW w:w="2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HROWM</w:t>
            </w:r>
          </w:p>
        </w:tc>
        <w:tc>
          <w:tcPr>
            <w:tcW w:w="2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416" w:lineRule="exact"/>
        <w:rPr>
          <w:sz w:val="24"/>
          <w:szCs w:val="24"/>
          <w:color w:val="auto"/>
        </w:rPr>
      </w:pPr>
    </w:p>
    <w:p>
      <w:pPr>
        <w:sectPr>
          <w:pgSz w:w="11900" w:h="16838" w:orient="portrait"/>
          <w:cols w:equalWidth="0" w:num="2">
            <w:col w:w="4900" w:space="720"/>
            <w:col w:w="5620"/>
          </w:cols>
          <w:pgMar w:left="320" w:top="74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aggregate market value of the common stock held by non-affiliates of the registrant was approximately $464 million, based on the closing price of $19.04 for the registrant’s common stock as quoted on The Nasdaq Stock Market LLC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18, 2024, there were 35,362,642 shares of the registrant’s common stock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Meeting of Stockholders to be held on June 13, 2024 are incorporated by reference in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6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780" w:type="dxa"/>
            <w:vAlign w:val="bottom"/>
            <w:shd w:val="clear" w:color="auto" w:fill="CCEEFF"/>
          </w:tcPr>
          <w:p>
            <w:pPr>
              <w:spacing w:after="0"/>
              <w:rPr>
                <w:sz w:val="14"/>
                <w:szCs w:val="14"/>
                <w:color w:val="auto"/>
              </w:rPr>
            </w:pPr>
          </w:p>
        </w:tc>
        <w:tc>
          <w:tcPr>
            <w:tcW w:w="9820" w:type="dxa"/>
            <w:vAlign w:val="bottom"/>
            <w:gridSpan w:val="27"/>
            <w:shd w:val="clear" w:color="auto" w:fill="CCEEFF"/>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40" w:type="dxa"/>
            <w:vAlign w:val="bottom"/>
            <w:shd w:val="clear" w:color="auto" w:fill="CCEEFF"/>
          </w:tcPr>
          <w:p>
            <w:pPr>
              <w:spacing w:after="0"/>
              <w:rPr>
                <w:sz w:val="14"/>
                <w:szCs w:val="14"/>
                <w:color w:val="auto"/>
              </w:rPr>
            </w:pPr>
          </w:p>
        </w:tc>
      </w:tr>
      <w:tr>
        <w:trPr>
          <w:trHeight w:val="34"/>
        </w:trPr>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rPr>
                <w:sz w:val="15"/>
                <w:szCs w:val="15"/>
                <w:color w:val="auto"/>
              </w:rPr>
            </w:pP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rPr>
                <w:sz w:val="15"/>
                <w:szCs w:val="15"/>
                <w:color w:val="auto"/>
              </w:rPr>
            </w:pP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82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82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gridSpan w:val="2"/>
          </w:tcPr>
          <w:p>
            <w:pPr>
              <w:spacing w:after="0"/>
              <w:rPr>
                <w:sz w:val="24"/>
                <w:szCs w:val="24"/>
                <w:color w:val="auto"/>
              </w:rPr>
            </w:pPr>
          </w:p>
        </w:tc>
        <w:tc>
          <w:tcPr>
            <w:tcW w:w="4700" w:type="dxa"/>
            <w:vAlign w:val="bottom"/>
            <w:tcBorders>
              <w:top w:val="single" w:sz="8" w:color="CCEEFF"/>
              <w:bottom w:val="single" w:sz="8" w:color="auto"/>
            </w:tcBorders>
            <w:gridSpan w:val="19"/>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(this “Annual Report”), unless indicated or the context requires otherwise, the terms the “Company,” “Harrow,” “we,” “us” and “our” refer to Harrow, Inc. and its consolidated subsidiaries.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We have registered trademarks, copyrights and/or pending trademark and copyright applications for a number of proprietary names in the United States, including, but not limited to: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IHEEZO®, VIGAMOX®, ILEVRO®, TRIESENCE®, ImprimisRx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LessDrops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Dropless Cataract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Surgery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Klarity-C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MKO Melt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Simple 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19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 In addition, we have a non-controlling equity interest in Melt Pharmaceuticals, Inc. (“Melt”), and two other companies that began as subsidiaries of Harrow and were subsequently carved-out of our corporate structure and deconsolidated from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Ophthalmic Pharmaceuticals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few years, we have invested in broadening our product portfolio of FDA-approved products. Our investments in this regard have led to the pursuit and completion of several announced transactions, all of which are focused on eyecare pharmaceuticals primarily for the U.S. and Canadian markets. We believe that our continued investments in these and other products will result in our ability to provide more physician prescribers and their patients with access to a complete portfolio of affordable eyecare pharmaceuticals to address their clinical needs. We own U.S. commercial rights to the following products:</w:t>
      </w:r>
    </w:p>
    <w:p>
      <w:pPr>
        <w:spacing w:after="0" w:line="18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IHEEZO® (chloroprocaine hydrochloride ophthalmic gel) 3% a low-viscosity gel indicated for ocular surface anesthesia.</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VEVYE® (cyclosporine ophthalmic solution) 0.1%, utilizes a novel water-free vehicle (perfluorobutylpentane) based on semifluorinated alkanes, indicated for the treatment of the signs and symptoms associated with dry eye disease.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NATACYN® (natamycin ophthalmic suspension) 5%, a sterile, antifungal drug for the treatment of fungal blepharitis, conjunctivitis, and keratitis caused by susceptible organisms, including Fusarium solani keratitis.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ZERVIATE® (cetirizine ophthalmic solution) 0.24%, a histamine-1 (H1) receptor antagonist indicated for treatment of ocular itching associated with allergic conjunctivitis.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VERKAZIA® (cyclosporine ophthalmic emulsion) 0.1%, an orphan designated drug that is a calcineurin inhibitor immunosuppressant indicated for the treatment of vernal keratoconjunctivitis.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FRESHKOTE® Preservative Free (PF) is a lubricant eye drop that does not require a prescription and temporarily relieves burning, itching and other dry eye symptoms.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MAXITROL® (neomycin and polymyxin B sulfates and dexamethasone ophthalmic suspension) is an eye drop used to treat steroid-responsive inflammatory ocular conditions where bacterial infection or a risk of bacterial ocular infection exist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IOPIDINE® 1% (apraclonidine hydrochloride) 0.5%, an ophthalmic solution in a sterile isotonic solution indicated to control or prevent post-surgical elevations in intraocular pressure that occur in patients after argon laser trabeculoplasty, argon laser iridotomy or Nd:YAG posterior capsulotomy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IOPIDINE® 0.5% (apraclonidine hydrochloride) an ophthalmic solution indicated for short-term adjunctive therapy in patients on maximally tolerated medical therapy who require additional intraocular pressure (or IOP) reduction.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own U.S. rights to some discontinued products. In February 2024, we announced that we out-licensed Canadian rights for VERKAZIA, Cationorm® PLUS (a preservative-free formulation for dry eye or allergy relief), VEVYE, ZERVIATE and IHEEZO to Apotex Inc. (“Apotex”). We also own worldwide rights to NATACYN and FRESHKOTE.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ImprimisRx is our ophthalmology-focused pharmaceutical compounding businesses. From its inception in 2014, ImprimisRx, whose business consists of integrated research and development, production, dispensing/distribution, sales, marketing, and customer-service capabilities, has offered ophthalmologist and optometrist customers and their patients access to critical medicines to meet their clinical needs. Initially, ImprimisRx focused exclusively on compounded medications to serve needs unmet by commercially available drugs. Our compounded medications include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U.S. Food and Drug Administration (the “FDA”), in our FDA-registered New Jersey outsourcing facility. Our current ophthalmology formulary includes over 30 compounded formulations, many of which are patented or patent-pending, that are customizable for the specific needs of a patient. We make our formulations available at prices that are, in most cases, lower than non-customized commercial drugs. ImprimisRx’s customer base has grown to include more than 10,000 U.S. eyecare-dedicated prescribers and institutions.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Carved-Out Subsidiaries (De-Consolidated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ownership interests in Melt, Surface Ophthalmics, Inc. (“Surface”) and Eton Pharmaceuticals, Inc. (“Eton”) and hold royalty interests in some of Surface’s and Melt’s drug candidates. These companies are pursuing market approval for their drug candidates under the Federal Food Drug and Cosmetic Act (the “FDCA”), including in some instances under the abbreviated pathway described in Section 505(b)(2), which permits the submission of a new drug application (an “NDA”) where at least some of the information required for approval comes from studies not conducted by or for the applicant and for which the applicant has not obtained a right of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is seeking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many clinical applications.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In February 2021, Melt announced data from, and the successful completion of, its Phase 1 study. In December 2022, Melt announced topline data from its Phase 2 study for MELT-300 as set forth below:</w:t>
      </w:r>
    </w:p>
    <w:p>
      <w:pPr>
        <w:spacing w:after="0" w:line="176"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study of more than 300 patients, undergoing cataract surgery conducted at nine study sites, MELT-300 achieved its primary procedural sedation endpoint, demonstrating statistical superiority for procedural sedation compared to all comparator treatment arms, including midazolam 3mg (P=0.0129) and ketamine 50mg (P=0.0096).</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validated Ramsey Sedation Scale (RSS), MELT-300 treatment arm patients were 50% less likely to require rescue sedation compared to midazolam 3mg (P=0.0198).</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RSS, MELT-300 treatment arm patients were 66% less likely to require rescue sedation pre-operatively compared to the midazolam 3mg treatment arm.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MELT-300’s safety profile was generally comparable to the placebo arm.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Melt expects to begin Phase 3 program activities in 2024, which will consist of a single pivotal study comparing MELT-300 to sublingual midazolam and placebo in subjects undergoing cataract surgery. Beginning in July 2023 through March 1, 2024, Melt had raised over $23,000,000 in gross proceeds from the sale and issuance of Melt’s Series B Preferred Stock. We own 3,500,000 shares of Melt common stock, 2,260,000 shares of Melt’s Series B-1 Preferred Stock and 74,256 shares of Melt’s Series B Preferred Stock, which in aggregate represented approximately 47% and 46% of Melt’s equity and voting interests issued and outstanding as of December 31, 2023 and March 1, 2024,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 diseases. Surface is developing four product candidates at various stages of development for certain ocular surface related indications.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3,500,000 shares of Surface common stock, which represented approximately 20% of Surface’s equity and voting interests as of December 31, 2023. Harrow owns mid-single-digit royalty rights on net sales on Surface’s drug candidates SURF-100, SURF-200 and SURF-201.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currently commercializes ALKINDI SPRINKLE® and Carglumic Acid tablets and has additional rare disease products under development, including dehydrated alcohol injection and the ZENEO® hydrocortisone autoinjector. In May 2017, we gave up our controlling interest in Eton. We own 1,982,000 shares of Eton common stock, which represented less than 10% of Eton’s equity and voting interests issued and outstanding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Compounding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Compounding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revenue from our compounded products are derived from us making, selling and dispensing our compounded prescription drug formulations as cash payment transactions between us and our end-user customers. As such, the majority of our commercial transactions for compounded products do not involve distributors, wholesalers, insurance companies, pharmacy benefit managers or other middle parties. In regard to our compounded formulations, by not being reliant on insurance company formulary inclusion and pharmacy benefit manager payment clawbacks, we are able to simplify the prescription transaction process. We believe the outcome of our compounding business model is a simple transaction, involving a patient-in-need, a physician’s diagnosis, a fair price and great service for a quality pharmaceutical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 Compounding Facilities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Pharmaceutical compounding businesses are governed by Sections 503A and 503B of the FDCA. Section 503A of the FDCA provides that a pharmacy is only permitted to compound a drug for an individually identified patient based on a prescription for the patient and is only permitted to distribute the drug interstate if the pharmacy is licensed to do so in the states where it is compounded and where the medication is received.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cGMPs or other FDA guidance documents and being subject to regular FDA inspection.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of our compounded products that we sell, produce and dispense are made in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focus of our sales and marketing is in the U.S. We do, however, believe that our proprietary drug formulations, drug candidates and drug products could have commercial appeal in international markets, and have engaged distributors and entered into out-licensing arrangements for certain of our products and proprietary formulations in certain non-U.S. markets, including Canada. Our sales and marketing activities consist primarily of efforts to educate doctors, ambulatory surgery centers, healthcare systems, hospitals and other users throughout the U.S. about our branded drug products and compounded formulations. We expect that we may experience growth in the sales of our products in future periods, particularly in light of our recent product launches and commercial campaigns. However, we may not be successful in doing so, whether due to the safety, quality or availability of our products and proprietary compounded formulations, the size of the markets for such products, which could be smaller than we expect, the timing of market entry relative to competitive products, the availability of alternative compounded formulations or FDA-approved drugs, the price of our products relative to alternative products or the success of our sales and marketing efforts, which is dependent on our ability to further build and continue to grow a qualified and adequate internal sales function.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 ophthalmic products that allow us to leverage our existing commercial infrastructure to promote, sell, and ultimately bring these products to market. As we execute this strategy, we will continue to expand our sales and marketing team, expertise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Ophthalmology Market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any ocular procedure, a surgeon may require drugs for sedation, dilation, anesthesia, inflammation and infection prevention, and ocular surface preservation. The cataract surgery market continues to experience significant growth. According to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approximately 4.8 million lens procedures were performed in the U.S. in 2021, 97% of which were cataracts, with the number expected to grow to 5.5 million lens procedures in 2026. Nearly 96% of the refractive surgery procedures performed are LASIK (laser in situ keratomileusis) surgeries, an outpatient surgical procedure used to treat nearsightedness, farsightedness, and astigmatism. According to an article published in 2021 in </w:t>
      </w:r>
      <w:r>
        <w:rPr>
          <w:rFonts w:ascii="Times New Roman" w:cs="Times New Roman" w:eastAsia="Times New Roman" w:hAnsi="Times New Roman"/>
          <w:sz w:val="18"/>
          <w:szCs w:val="18"/>
          <w:i w:val="1"/>
          <w:iCs w:val="1"/>
          <w:color w:val="auto"/>
        </w:rPr>
        <w:t>Clinical Ophthalmology</w:t>
      </w:r>
      <w:r>
        <w:rPr>
          <w:rFonts w:ascii="Times New Roman" w:cs="Times New Roman" w:eastAsia="Times New Roman" w:hAnsi="Times New Roman"/>
          <w:sz w:val="18"/>
          <w:szCs w:val="18"/>
          <w:color w:val="auto"/>
        </w:rPr>
        <w:t>, an estimated 800,000 eyes were treated with laser correction surgery (such as LASIK) each year for the previous ten years.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Dry eye occurs when the eye does not produce enough tears, or when the tears are not of the correct consistency and evaporate too quickly. Inflammation of the surface of the eye may also occur. According to a 2023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report, there are 39 million people in the U.S. that suffer from both signs and symptoms of dry eye, with 49% of diagnosed dry eye patients having moderate to severe dry eye. The same report stated the global dry eye product market is expected to grow from $5.8 billion in 2023 to $7.5 billion in 2028. Dry eye is among the most common conditions seen by eyecare professionals.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Intravitreal injections are one of the most common procedures performed by ophthalmologists in the United States. According to a 2023 article published in </w:t>
      </w:r>
      <w:r>
        <w:rPr>
          <w:rFonts w:ascii="Times New Roman" w:cs="Times New Roman" w:eastAsia="Times New Roman" w:hAnsi="Times New Roman"/>
          <w:sz w:val="18"/>
          <w:szCs w:val="18"/>
          <w:i w:val="1"/>
          <w:iCs w:val="1"/>
          <w:color w:val="auto"/>
        </w:rPr>
        <w:t>Healio</w:t>
      </w:r>
      <w:r>
        <w:rPr>
          <w:rFonts w:ascii="Times New Roman" w:cs="Times New Roman" w:eastAsia="Times New Roman" w:hAnsi="Times New Roman"/>
          <w:sz w:val="18"/>
          <w:szCs w:val="18"/>
          <w:color w:val="auto"/>
        </w:rPr>
        <w:t>, approximately 8 million intravitreal injections were expected to be performed that year. These injections are utilized to administer critical medications into the eye that treat diseases including but not limited to proliferative diabetic retinopathy, diabetic macular edema, wet age-related macular degeneration, neovascular glaucoma, retinal vein occlusions, intraocular tumors, and endophthalmitis. In addition, products and product candidates are being developed and used to treat symptoms associated with an eye disease known as geographic atrophy. Most of the medicines in these products and product candidates are administered via intravitreal injection. Therefore, we believe as these products and product candidates gain commercial adoption, the number of annual intravitreal injections should increase further and at an increased rate as compared to recent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Vitrectomy is a surgical procedure undertaken by a specialist where the vitreous humor gel that fills the eye cavity is removed to provide better access to the retina. This allows for a variety of repairs, including the removal of scar tissue, laser repair of retinal detachments and treatment of macular holes. According to an October 2022 article published on the Cleveland Clinic website, U.S. surgeons perform about 225,000 vitrectomies each year. The number is likely to continue to grow as eye care providers find more uses for vitrectomy.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Chronic non-infectious uveitis affecting the posterior segment of the eye is an inflammatory disease that afflicts people of all ages, producing swelling and destroying eye tissues, which can lead to severe vision loss and blindness. Based on internal estimates and information published on the MedScape website (which was updated as of March 2023) that cites various ranges of prevalence of uveitis, we estimate this disease affects approximately 100,000 people each year in the U.S. The standard of care treatment for this disease typically involves the use of short-acting corticosteroids to reduce uveitic flares (such as TRIESENCE) followed by additional treatments of sustained release, lower dose steroids to minimize the risk of further flares.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compounding pharmacies. We are smaller than some of our competitors, and we may lack the financial and other resources needed to develop, produce, distribute, market and commercialize any of our branded products and proprietary formulations or compete for market share in these sectors. The drug products available through branded and generic drug companies with which our products and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Chapter &lt;795&gt; (“USP 795”) and USP Chapter &lt;797&gt; (“USP 797”) and applicable state and federal law, our compounded formulations are not required to be, and have not been, approved for marketing and sale by the FDA. As a result, some physicians may be unwilling to prescribe, and some patients may be unwilling to use, our compounded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compounding business may not be scalable on the scope available to our competitors that produce FDA-approved drugs, which may limit our potential for profitable operations. These facets of our operations may subject our business to limitations our competitors offering only FDA-approved drugs may not face.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a significant market share or achieve profitability.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ophthalmic products, grow and gain operating efficiencies in our pharmacy operations, successfully adjust our operations to account for any future regulatory-related restrictions, optimize pricing and obtain reimbursement options for our ophthalmic products, and continue to pursue development and commercialization opportunities for certain of our ophthalmology and other assets that we have not yet made commercially available or have been recently launched. We believe we have built a tangible and intangible infrastructure that will allow us to scale revenues efficiently in the near and long-term. All of these activities will require increased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Medicaid and Other Reimbursement Options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see also Part I, Item 1A. “Risk Factors” for additional risks related to reimbursement and government programs.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the Centers for Medicare &amp; Medicaid Services (“CMS”) on a quarterly basis. The manufacturer-submitted information may be used by CMS to calculate Medicare payment rates. Starting in 2023, manufacturers are now required to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starting in 2023, the Inflation Reduction Act of 2022 (“IRA”) established a Medicare Part B inflation rebate scheme, effective in 2023, under which, generally speaking, manufacturers will owe rebates if the average sales price of a Part B drug increases faster than the pace of inflation. Failure to timely pay a Part B inflation rebate is subject to a civil monetary penalty.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IRA also created a drug price negotiation program under which, after being on the market for a certain period of time, the prices for certain high Medicare spending drugs and biological products provided to Medicare patients without generic or biosimilar competition will be capped by reference to, among other things, a specified non-federal average manufacturer price, starting in 2026. Failure to comply with requirements under the drug price negotiation program is subject to an excise tax and a civil monetary penalty. This or any other legislative change could impact the market conditions for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IHEEZO and TRIESENCE are covered under Medicare Part B and we may develop other drug candidates and/or acquire drug products that are also covered under Medicare Part B. In February 2023, we announced that CMS had issued a permanent, product specific J-code for IHEEZO (J2403) which will become effective under the Healthcare Procedure Coding System (HCPCS) on April 1, 2023. TRIESENCE has a permanent product specific J-code (J3300) as well, which physicians can use for reimbursement purposes of that product.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the second quarter of 2023. Following the expiration of pass-through status, under current CMS policy, non-opioid pain management surgical drugs when used on Medicare Part B patients in an outpatient setting can qualify for ongoing separate payments. CMS’ current non-opioid separate payment policy, like other CMS policies, can be changed by CMS through its annual rulemaking and comment process.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working to ensure our continued access to the Medicare market for the ambulatory surgery center (ASC), hospital and outpatient department (HOPD), and in-office use markets for IHEEZO. In this regard, we are designing and intend to execute, during 2024, clinical studies to build data sets that could be presented to CMS to extend our temporary pass-through period for IHEEZO in ASCs and HOPDs. We also met with CMS in January 2024 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physician’s office setting. As of the date of this Annual Report, we have not received feedback from CMS following our meeting in January 2024.</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at a faster rate than inflation (measured by reference to the Consumer Price Index – Urban). The rebate was previously capped at 100% of the average manufacturer price, but effective January 1, 2024, this cap on the rebate was removed, and our rebate liability could increase accordingly.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or “Health Care Reform Law”) made significant changes to the Medicaid Drug Rebate program, and CMS issued a final regulation, which became effective on April 1, 2016, to implement the changes to the Medicaid Drug Rebate program under the PPACA. Effective in 2022, CMS modified Medicaid Drug Rebate program regulations to, among other things, permit reporting multiple best price figures with regard to value-based purchasing arrangements and provide definitions for “line extension,” “new formulation,” and related terms with the practical effect of expanding the scope of drugs considered to be line extensions.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knowingly submitting false information to the government.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as of October 2022, the IRA established a Medicare Part D inflation rebate scheme under which, manufacturers will generally owe additional rebates if the average manufacturer price of a Part D drug increases faster than the pace of inflation. Failure to timely pay a Part D inflation rebate is subject to a civil monetary penalty.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proprietary ophthalmic compounded formulations are primarily available on a cash-pay basis and generally are not subject to Medicare, Medicaid, or other payor-related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1, 2024, we owned and/or licensed more than 50 total issued and pending patent applications, which include U.S.-issued patents, international-issued patents, and U.S. and foreign/international patent pending applications. We expect to file additional patent applications in the U.S. and pursue patent protection for certain of our formulations in other important international jurisdictions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1, 2024, we had, on a worldwide basis, more than 100 issued trademarks, pending trademark and copyright applications, or registered copyrights and/or trademarks. We also rely on unpatented trade secrets and know-how and continuing technological innovation in order to develop our products and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our outstanding material patents in the U.S. for certain branded products, general subject matter and latest expiry date. One or more patents with the same or earlier expiry dates may fall under the same general subject matter and are not listed separately.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IHEEZO</w:t>
            </w:r>
          </w:p>
        </w:tc>
        <w:tc>
          <w:tcPr>
            <w:tcW w:w="220" w:type="dxa"/>
            <w:vAlign w:val="bottom"/>
          </w:tcPr>
          <w:p>
            <w:pPr>
              <w:spacing w:after="0"/>
              <w:rPr>
                <w:sz w:val="17"/>
                <w:szCs w:val="17"/>
                <w:color w:val="auto"/>
              </w:rPr>
            </w:pPr>
          </w:p>
        </w:tc>
        <w:tc>
          <w:tcPr>
            <w:tcW w:w="6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Methods using topical formulations</w:t>
            </w:r>
          </w:p>
        </w:tc>
        <w:tc>
          <w:tcPr>
            <w:tcW w:w="220" w:type="dxa"/>
            <w:vAlign w:val="bottom"/>
          </w:tcPr>
          <w:p>
            <w:pPr>
              <w:spacing w:after="0"/>
              <w:rPr>
                <w:sz w:val="17"/>
                <w:szCs w:val="17"/>
                <w:color w:val="auto"/>
              </w:rPr>
            </w:pP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September 2038</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Formulation composition for treatment of dry eye syndrome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Ophthalmic composition comprising cyclosporine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2037</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Semiflourinated compounds for ophthalmic administration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2038</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Topical administration method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2039</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TRIESENCE</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 of injectable suspension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2029</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Methods for treating ophthalmic disorder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2029</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ILEVRO</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containing a synergistic combination of polymers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 comprising carbomer, galactomannan and borate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2030 March 2032</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Carboxyvinyle polymer-containing nanoparticle suspension</w:t>
            </w: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TOBRADEX ST</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Methods for treating inflammation where infection may occur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2027</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containing tobramycin and dexamethasone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August 2028</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VERKAZIA</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Methods for treating eye disease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2027</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of oil-in-water cationic emulsion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2027</w:t>
            </w:r>
          </w:p>
        </w:tc>
      </w:tr>
      <w:tr>
        <w:trPr>
          <w:trHeight w:val="216"/>
        </w:trPr>
        <w:tc>
          <w:tcPr>
            <w:tcW w:w="1820" w:type="dxa"/>
            <w:vAlign w:val="bottom"/>
          </w:tcPr>
          <w:p>
            <w:pPr>
              <w:spacing w:after="0"/>
              <w:rPr>
                <w:sz w:val="18"/>
                <w:szCs w:val="18"/>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containing quaternary ammonium compounds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June 2029</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ZERVIATE</w:t>
            </w: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Methods for treating ophthalmic allergic conjunctivitis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2030</w:t>
            </w:r>
          </w:p>
        </w:tc>
      </w:tr>
      <w:tr>
        <w:trPr>
          <w:trHeight w:val="234"/>
        </w:trPr>
        <w:tc>
          <w:tcPr>
            <w:tcW w:w="1820" w:type="dxa"/>
            <w:vAlign w:val="bottom"/>
          </w:tcPr>
          <w:p>
            <w:pPr>
              <w:spacing w:after="0"/>
              <w:rPr>
                <w:sz w:val="20"/>
                <w:szCs w:val="20"/>
                <w:color w:val="auto"/>
              </w:rPr>
            </w:pPr>
          </w:p>
        </w:tc>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Ophthalmic topical compositions of cetirizine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July 2032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of 1996 (“HIPAA”); the Health Care Reform Law; statutes and regulations of the FDA, the U.S. Federal Trade Commission (the “FTC”),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“DQSA”). The complexity of the current state and federal regulatory environment, as well as the expected continued evolution of state and federal laws governing pharmaceutical compounding, have presented,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FDA New Drug Application Process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other sections of this Annual Report, we are pursuing, and may continue to pursue, alone or with project partners, FDA approval to market and sell one or more of our product candidates through the FDA’s NDA process.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New Drug Applications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Section 505(b)(2) path to approval are drugs that have a new dosage form, strength, route of administration, formulation or indication.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1"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referenced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Pharmacy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that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Further, under federal law, Section 503A of the FDCA previously had language that implied a limitation of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2019, the FDA released the “2018 Compounding Policy Priorities Plan” (the “2018 Compounding Plan”) which provided an overview of the key priorities the FDA planned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On October 27, 2020, the FDA announced availability of a final MOU, </w:t>
      </w:r>
      <w:r>
        <w:rPr>
          <w:rFonts w:ascii="Times New Roman" w:cs="Times New Roman" w:eastAsia="Times New Roman" w:hAnsi="Times New Roman"/>
          <w:sz w:val="18"/>
          <w:szCs w:val="18"/>
          <w:i w:val="1"/>
          <w:iCs w:val="1"/>
          <w:color w:val="auto"/>
        </w:rPr>
        <w:t>Memorandum of Understanding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Addressing Certain Distributions of Compounded Human Drug Products Between the State Board of Pharmacy or Other Appropriate State Agency and the U.S. Food and Drug Administration </w:t>
      </w:r>
      <w:r>
        <w:rPr>
          <w:rFonts w:ascii="Times New Roman" w:cs="Times New Roman" w:eastAsia="Times New Roman" w:hAnsi="Times New Roman"/>
          <w:sz w:val="18"/>
          <w:szCs w:val="18"/>
          <w:color w:val="auto"/>
        </w:rPr>
        <w:t>(the “Final MOU”). The Final MOU describes the responsibilities of a state board of pharmacy, or other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 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there will not be one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of the FDCA govern the preparation, handling, storage, marketing and distribution of pharmaceutical products. The DQSA clarifies and strengthens the federal regulatory framework governing compounding pharmacies. Title 1 of the DQSA, the Compounding Quality Act, modified provisions of the Section 503A of the FDCA that were found to be unconstitutional by the U.S. Supreme Court in 2002. In general, Section 503A provides that pharmacies are exempt from the provisions of the FDCA requiring compliance with cGMPs,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w:t>
      </w:r>
      <w:r>
        <w:rPr>
          <w:rFonts w:ascii="Times New Roman" w:cs="Times New Roman" w:eastAsia="Times New Roman" w:hAnsi="Times New Roman"/>
          <w:sz w:val="18"/>
          <w:szCs w:val="18"/>
          <w:i w:val="1"/>
          <w:iCs w:val="1"/>
          <w:color w:val="auto"/>
        </w:rPr>
        <w:t>Interim Policy on Compounding Using Bulk Drug Substances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Section 503B of the FFDCA </w:t>
      </w:r>
      <w:r>
        <w:rPr>
          <w:rFonts w:ascii="Times New Roman" w:cs="Times New Roman" w:eastAsia="Times New Roman" w:hAnsi="Times New Roman"/>
          <w:sz w:val="18"/>
          <w:szCs w:val="18"/>
          <w:color w:val="auto"/>
        </w:rPr>
        <w:t>(“Interim Policy”) which informs stakeholders about how the FDA intends to exercise its enforcement discretion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compounding with those substances on a “Category 1 list” while the agency compiles and evaluates its clinical needs list, and in March 2019 the FDA issued </w:t>
      </w:r>
      <w:r>
        <w:rPr>
          <w:rFonts w:ascii="Times New Roman" w:cs="Times New Roman" w:eastAsia="Times New Roman" w:hAnsi="Times New Roman"/>
          <w:sz w:val="18"/>
          <w:szCs w:val="18"/>
          <w:i w:val="1"/>
          <w:iCs w:val="1"/>
          <w:color w:val="auto"/>
        </w:rPr>
        <w:t>Evaluation of Bulk Substances Nominated for Use in Compounding Under Section 503B of the Federal Food, Drug and Cosmetic Act</w:t>
      </w:r>
      <w:r>
        <w:rPr>
          <w:rFonts w:ascii="Times New Roman" w:cs="Times New Roman" w:eastAsia="Times New Roman" w:hAnsi="Times New Roman"/>
          <w:sz w:val="18"/>
          <w:szCs w:val="18"/>
          <w:color w:val="auto"/>
        </w:rPr>
        <w:t xml:space="preserve"> which provides further guidance as to the FDA’s policy for evaluating bulk drug substances nominated for use in compounding by outsourcing facilities. Entities voluntarily registering as outsourcing facilities are subject to cGMP requirements and regular FDA inspection, among other requirements. As described above, our current pharmacy operations in New Jersey are governed by Section 503A of the FDCA, and our New Jersey based outsourcing facility is governed by Section 503B of the FDCA.</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Nonetheless, if all or some of the bulk drug substances we use are removed from the 503B Bulk’s List, this may result in a disruption in our operations, revenues and cash flows. In addition, between September 2020 and January 2021, NJOF was inspected by the FDA (the “2020 Inspection”) and certain observations were made by the FDA in a Form 483. Five observations made during the 2020 Inspection were considered repeat observations from a 2017 FDA inspection of NJOF. In addition, during the 2020 Inspection, the FDA noted that we were compounding drugs that did not produce for an individual patient a clinical difference from comparable approved drugs, as determined by a prescribing practitioner.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compounded formulations in accordance with the standards provided by USP &lt;795&gt; and USP &lt;797&gt; and applicable state and federal law. In November 2023, USP made effective finalized revisions to USP &lt;795&gt; and USP &lt;797&gt;, which had been previously proposed for public comment in September 2021. The revisions include limitations on beyond use dating of sterile and preservative-free products and batch sizes, among other changes. Some regulatory bodies such as state boards of pharmacy adopted these changes at that time, and some have not or plan to on different dates, on a case-by-case basis. While USP has no role in enforcement, we believe the revisions to USP &lt;797&gt; in particular will likely cause two changes to our business, which in the aggregate should have a neutral to positive revenue impact on Harrow: (i) a reduction in revenues generated from sales of formulations compounded by our 503A pharmacy, and (ii) an increase in revenues from sales of formulations compounded in our 503B facility. Further, we believe the changes to USP chapter &lt;797&gt; will likely cause a reduction in the ability of local 503A pharmacies to produce compounded formulations to serve local markets, and that these changes in policy affecting sterile compounded formulations, if adopted by the various states, may increase demand for compounded formulations from larger vendors such as Harrow and cause further consolidation in the market for compounded formulations as smaller 503A pharmacies see a reduction in revenues from certain segments of their formularies affected by these changes.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Privacy and HIPAA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(the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exemplifies the vulnerability of our business to not only cyber threats but also the evolving regulatory environment related to personal data and protected health information. In addition, the California Invasion of Privacy Act prohibits the use of “any machine, instrument, or contrivance” to tap any telephonic communication and use of any “electronic amplifying or recording device” to eavesdrop upon a “confidential communication” without consent of all parties to the communication.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pursue commercialization of our branded products and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 We currently partner with companies to sell, market and distribute some of our products in certain foreign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incurred in 2023 and 2022 primarily included expenses related to development of intellectual property, researcher and investigator-initiated evaluations, and formulation development related primarily to our ophthalmic products, formulations and certain other assets, in addition to costs associated with our drug candidate development programs.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incurred $6,652,000 in R&amp;D expenses, compared to $3,050,000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the business on the basis of a single reportable segment, which is the business of discovery, development, and commercialization of innovative ophthalmic therapies. The Company’s chief operating decision-maker is the Chief Executive Officer, who evaluates the Company as a single operating segment.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categorizes revenues by geographic area based on selling location. All operations are currently located in the United States; therefore, total revenues for 2023 and 2022 were attributed to the United States. All long-lived assets at December 31, 2023 and 2022 were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1, 2024, we employed 315 employees. Our employees are engaged in pharmacy operations, sales, marketing, research, development, and general and administrative functions. We expect to add additional employees in all departmental functions, with a focus on sales force additions and other commercial activities as we carry out our business plan in the next 12 months. We are not party to any collective bargaining agreements with any of our employees. We have never experienced a work stoppage, and we believe our employee relations are good. We hire independent contractors and consultants on an as-needed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turnover rate and employee service tenure.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which vary by country and region,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a workforce with diverse life experiences is critical to our success. We appreciate differences in the members of our workforce such as, race, ethnicity, religion, nationality, gender, age, and sexual orientation, as well as education, skill sets and experience. Because we are always interested in hiring the most productive and committed talent, we are focused on inclusive hiring practices, fair and equitable treatment, organizational flexibility, and training and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Transparency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2022, we released and published on our corporate website (harrow.com) our Corporate Transparency Report, which describes and summarizes the initiatives the Company has undertaken and associated metrics related to certain issues including: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Energy, Emissions, Waste and Water</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Embracing our Community</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Supply Chain Management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Innovation/Sustainable Products</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Community Involvement</w:t>
            </w:r>
          </w:p>
        </w:tc>
        <w:tc>
          <w:tcPr>
            <w:tcW w:w="4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Employee Health and Safety</w:t>
            </w: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Employee Recruitment, Development and Retention</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Diversity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Drug Safety</w:t>
            </w: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Business Ethics, Compliance and Bribery</w:t>
            </w:r>
          </w:p>
        </w:tc>
        <w:tc>
          <w:tcPr>
            <w:tcW w:w="4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Data Protection, Patient Data Privacy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 and then to Harrow, Inc. in September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at 102 Woodmont Blvd., Suite 610, Nashville, Tennessee, 37205, and our telephone number at such office is (615) 733-4730. Our website address is www.harrow.com. Information contained on our website is not deemed part of this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that could have a material adverse effect on our business results of operations, financial condition and prospects. Risks that we deem material are described under “Risk Factors” below and include, but are not limited to,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 and Operations of Our Business.</w:t>
      </w:r>
    </w:p>
    <w:p>
      <w:pPr>
        <w:spacing w:after="0" w:line="227"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for our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commercialize, and sell current, recently acquired and future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indebtedness and ability to access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increase sales of current and future products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and ongoing expense associated with it for any of our drug candidates, including those for which we own royalty rights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manufacturing certain components, FDA approved drugs and to conduct clinical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liabilities and reputation harm if our products give rise to defects, recalls, patient injury or death</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exposure to cyberattack or information security breach could significantly compromise the confidentiality, integrity and availability of our information technology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 and Third-Party Policies</w:t>
      </w:r>
    </w:p>
    <w:p>
      <w:pPr>
        <w:spacing w:after="0" w:line="227" w:lineRule="exact"/>
        <w:rPr>
          <w:sz w:val="20"/>
          <w:szCs w:val="20"/>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but not limited to, potential changes to USP 797, 503B bulks list and others, that could or currently do burden operations or narrow the market for our products</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coverage and reimbursement from government and commercial third-party payors, and pricing and reimbursement pressures have affected, and are likely to continue to affect, our profitability</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interpretation of new tax legislation or exposure to additional tax liabilities could affect our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litigation and government investigations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Competition</w:t>
      </w:r>
    </w:p>
    <w:p>
      <w:pPr>
        <w:spacing w:after="0" w:line="22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patent or other intellectual property protection for our products and related improvements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drug products, drug candidates, compounded drugs and pharmacies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research, develop and timely manufacture our current and future products and drug candidates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protect our intellectual property rights along with the potential of future legal proceedings filed against us claiming intellectual property infringement</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recruitment, and training of senior management and key personnel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Product Development, Regulatory Approval, Manufacturing and Commercialization</w:t>
      </w:r>
    </w:p>
    <w:p>
      <w:pPr>
        <w:spacing w:after="0" w:line="22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commercial products despite significant investments in R&amp;D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branded products and product candidates in development cannot be sold without regulatory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face competition sooner than we expect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conduct clinical trials of our branded drug products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market exclusivity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Notes</w:t>
      </w:r>
    </w:p>
    <w:p>
      <w:pPr>
        <w:spacing w:after="0" w:line="22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the interest and debt service payments associated with the Notes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unsecured, effectively subordinated to any secured indebtedness, with limited protection for holders of the Notes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subject to various market factors, including market interest rates, trading activity, third-party ratings and other factors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2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price of our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falling as a result of future offerings or sales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Our business, financial condition, results of operations, and prices of our common stock and Notes could be materially adversely affected by any of these risks.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Operations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profitable in the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our accumulated deficit was $(133,904,000). Our current projections indicate that we will have operating income and/or net income during 2024;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sufficient revenue to fund our operations and recover our development costs.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plan involves the preparation and sale of our proprietary formulations through our compounding pharmacies and outsourcing facilities, along with the sale and marketing of FDA-approved products and drug candidates through third-party wholesaler and pharmacy channels. We have limited experience operating pharmacies and commercializing compounded formulations and selling FDA-approved products, and we may be unable to successfully manage this business or generate sufficient revenue to recover our development costs and operational expenses. We may have only limited success in marketing and selling our products and formulations. Although we have established and plan to grow our internal sales teams to market and sell our products and formulations and other non-proprietary products, we have limited experience with such activities and may not be able to generate sufficient physician and patient interest in our products and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and products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recent and any future product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product acquisitions will depend on, among other things, our ability to successfully integrate the products into our commercial platform, transfer the products NDAs, maintain payor reimbursement coverage, maintain an adequate supply of the products, market the products to our existing customers and re-introduce TRIESENCE to the ophthalmic market. If we experience difficulties with the implementation of plans with respect to our acquisitions, the anticipated benefits of recent or future acquisitions may not be realized fully or at all, or may take longer to realize than expected. Integration efforts will also divert management’s attention and resources. These matters could have an adverse effect during any transition period and for an undetermined period after completion of the acquisitions.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correctly estimate our future operating expenses, which could lead to cash shortfalls.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the expenses associated with developing our pharmacy facilities into outsourcing facilities and registering them as such with the FDA and our recent strategic shift to develop and commercialize FDA approved products.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identify and acquire rights to new products and drug candidates and successfully integrate them into our operations, our growth opportunities may be limited.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plan to pursue the development of new FDA approved products and drug candidates which may include continued activities to develop and commercialize current assets or, if and as opportunities arise, potential acquisitions of new intellectual property rights and assets. We have historically relied, and we expect to continue to rely, primarily upon third parties to provide us with additional development opportunities. We may seek to enter into acquisition agreements or licensing arrangements to obtain rights to develop new formulations and FDA approved products in the future, but only if we are able to identify attractive products and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and commercial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focus on ophthalmology and eye care related products and formulations for which we believe there is broad market potential, large unmet needs and/or unique value to physicians and patients and to develop and offer formulations and products within these therapeutic areas that could afford us with gross and operating margins consistent with our current and historical figures. However, our expectations and assumptions about market potential and patient needs may prove to be wrong, and we may invest capital and other resources on products, drug candidates, and formulations that do not generate sufficient revenues for us to recoup 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and commercialize our proprietary formulations or any other assets we may acquire.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acquired assets related to compoundable formulations, drug products and drug candidates. We are currently pursuing development and commercialization opportunities with respect to a number of these products, drug candidates and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decide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drug products and drug candidates, our operating results would be adversely affected. Even if we are able to successfully sell one or more proprietary formulations, drug products and drug candidates, we may never recoup our investment in acquiring or developing the formulations, drug products and drug candidates. Our failure to identify and expend our resources and technologies with commercial potential and execute an effective commercialization strategy for each of our formulations, drug products and drug candidates would negatively impact the long-term profitability of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only recently started generating cash from operations, but we do not currently earn sufficient revenues to support our operations. We may need significant additional capital to execute our business plan, execute on future acquisitions and fund our proposed business operations. Additionally, our plans may change or the estimates of our operating expenses and working capital requirements could be inaccurate, we may pursue acquisitions of FDA-approved products, drug candidates,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raised over $285,000,000 in gross proceeds through equity and debt financings since 2021.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participated and may in the future participate in strategic transactions that could impact our liquidity, increase our expenses and distract our management.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consider engaging in strategic transactions, such as out-licensing or in-licensing of compounds, drug candidates, drug products or technologies, acquisitions of companies, and asset purchases. We may also consider a variety of different business arrangements in the future, including strategic partnerships, joint ventures, spin-offs, carve-outs,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efforts to complete any significant transaction, we would need to expend significant resources to conduct business, regulatory,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built an internal sales and marketing infrastructure to implement our business plan by developing internal sales teams and education campaigns to market our proprietary formulations and FDA-approved drug products.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drug products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drug products or services or generate meaningful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GDPR in the EU that became effective in May 2018 and the Personal Information Protection and Electronic Documents Act that became effective in Canada in April 2000. We anticipate that over time we may expand our business to include operations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consultants, outside contractors and other third-party service providers for key aspects of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contract manufacturers,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product and professional liability insurance, which may be inadequate.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those of CROs, contractors and consultants, could be subject to power shortages, telecommunications failures, wildfires, water shortages, floods, earthquakes, hurricanes, typhoons, fires, extreme weather conditions, public health crises,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have two compounding facilities in New Jersey. We may expand our pharmacy operations and personnel. We have developed “ImprimisRx” as a uniform brand for our compounding facilities and ophthalmology focused pharmaceutical business. We have limited experience acquiring, building or operating compounding pharmacies or other prescription dispensing facilities or commercializing our formulations through ownership of or licensing arrangements with pharmacies. In addition,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increased costs in relation to expansion efforts;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satisfy applicable federal and state licensing and other requirements for any of our pharmacy businesses in a timely manner or at all;</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pharmacy regulations may restrict compounding operations or make them more costly;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or maintain a sufficient physician and patient customer base to sustain our pharmacy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compounding pharmacies generally may be curtailed or delayed;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licensing or other arrangements with third-party pharmacies or outsourcing facilities when desired, on acceptable terms or at all.</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regulations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August 2017, the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We no longer compound curcumin emulsion products. Separately, in December 2017, we were issued a warning letter from the FDA alleging that, in its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remained in communication with the FDA and took steps to address the items outlined in the FDA letter. The Company received another warning letter from the FDA in June 2022 related to our alleged marketing activities. We immediately responded to the warning letter and the FDA sent the Company notice in January 2023 that our corrective actions appear adequate. In June 2019, our outsourcing facility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 Our pharmacy was inspected in August 2022, and received a Form 483 with several observations from the FDA. In May 2023, our pharmacy received a warning letter related to the inspection that occurred in August 2022. The warning letter indicated that our corrective actions from the inspection had appeared to be adequate; however, the FDA could not fully evaluate the adequacy of our actions because we did not include sufficient information or supporting documentation. As an example, we stated that smoke studies related to airflow in our laminar airflow hoods had been redone to satisfy FDA requirements, however, we did not provide the FDA with supporting documentation (such as smoke study protocol, updated detailed report and/or videos). We have responded to this warning letter and provided the FDA with additional information requested.</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worked and communicated, and will continue to work and communicate, with the FDA to assure that all allegations in the warning letters and Form 483s have been addressed. We believe, to date, we have addressed all of the material items of concern in the FDA’s Form 483, warning letters and those related to the MedWatch notification (and any other requirements observed by the FDA and noted to us), and we do not believe there will be any further action taken by the FDA in these matters. We believe this is evidenced by the FDA registration for our outsourcing facility which was most recently renewed in November 2022. Nonetheless, these items increased further scrutiny and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As a result of the MedWatch notice, warning letters and other regulatory notifications, some physicians may be hesitant to prescribe and some patients may be hesitant to purchase and use non-FDA-approved compounded formulations, particularly when an FDA-approved potential alternative is available. For other reasons, physicians may be unwilling to prescribe or patients may be unwilling to use our proprietary compounded formulations, including, but not limited to,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of our information technology systems, or a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are highly integrated into our business, including our customer service infrastructure, R&amp;D efforts, clinical and commercial manufacturing processes and product sales and distribution processes. Further, as the large part of our employees work remotely for some portion of their jobs, our reliance on our third-party information technology systems has increased substantially and is expected to continue to increase. Remote and hybrid working arrangements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Upgrades or changes to our systems or the software that we use have resulted and we expect, in the future, will result in the introduction of new cybersecurity vulnerabilities and risks. Our systems are also subject to frequent perimeter network reconnaissance and scanning, phishing and other cyberattacks.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attacks against our network, although none that have had a material adverse impact to our business. There can be no assurance that our efforts to guard against the wide and growing variety of potential attack techniques will be successful. Attacks such as those experienced by government entities (including those that approve and/or regulate our products)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constitute a substantial share of the information security risks to our business. There can be no assurance that a cybersecurity incident would not result in a material adverse effect on our business or results of operations. Further, the timeliness of our awareness of a cybersecurity incident affects our ability to respond to and work to mitigate the severity of such events.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There can be no assurances that a vulnerability in the software and services that we use would not result in a material adverse effect on our business or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An extended service outage affecting these or other vendors, particularly where such vendor is the single source from which we obtain the services, could have a material adverse effect on our business or results of operations. For example, in February 2024, UnitedHealth Group announced that a suspected nation-state associated cyber security threat actor had gained access to some of the Change Healthcare (“Change”) information technology systems. Change is the largest clearinghouse for medical claims in the U.S. While Harrow was not directly impacted by this cybersecurity incident, it was reported that as a reaction to the cybersecurity incident, Change temporarily disconnected over 100 related payment systems and Change was unable to process medical claims through its primary platforms. This resulted in the delays to the revenue and cash collection cycle for several ASCs and physician offices, putting a strain on their cash resources. While temporary, the cash constraints for these ASCs and physician offices, we believe, impacted sales of some of our products, such as IHEEZO, during this disrupted period of time.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effective in protecting our information technology systems and sensitive data.</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CCPA, which became effective in January 2020, which can result in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Virginia, Colorado, Utah, Connecticut and Florida in 2023. Consumer privacy laws were also passed in 11 other states, with the earliest effective dates later this year, and proposed in three additional states. Failure to comply with these current and future laws could result in significant penalties and reputational harm and could have a material adverse effect on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Third-Party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state and federal statutes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compounded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We are pursuing FDA approval to market and sell drug candidates. The marketing and sale of those drug candidates, FDA-approved drugs and compounded formulations are subject to and must comply with extensive state and federal statutes and regulations governing those products and compounding pharmacies. These compounding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27, 2020, the FDA announced availability of a final </w:t>
      </w:r>
      <w:r>
        <w:rPr>
          <w:rFonts w:ascii="Times New Roman" w:cs="Times New Roman" w:eastAsia="Times New Roman" w:hAnsi="Times New Roman"/>
          <w:sz w:val="18"/>
          <w:szCs w:val="18"/>
          <w:i w:val="1"/>
          <w:iCs w:val="1"/>
          <w:color w:val="auto"/>
        </w:rPr>
        <w:t>Memorandum of Understanding, Addressing Certain Distributions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Compounded Human Drug Products Between the State Board of Pharmacy or Other Appropriate State Agency and the Food and Drug Administration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 Additionally, the permanent injunction entered on July 22, 2019, by the United States District Court of the Central District of California (the “Court”) in the Allergan litigation (also referenced in Item. 3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coverage and reimbursement from government and commercial third-party payors, and pricing and reimbursement pressures have affected, and are likely to continue to affect, our profitability.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Sales of our branded products depend on the availability and extent of coverage and reimbursement from third-party payors, including government healthcare programs and private insurance plans. Governments and private payors continue to pursue initiatives to manage drug utilization and contain costs. Further, pressures on healthcare budgets from the pandemic, the economic downturn and inflation continue and are likely to increase across the markets we serve. Payors are increasingly focused on costs, which have resulted, and are expected to continue to result, in lower reimbursement rates for our branded products or narrower populations for which payors will reimburse. Continued intense public scrutiny of the price of drugs and other healthcare costs, together with payor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legislation promulgated by the IRA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in addition to rebates imposed on manufacturers associated with drug waste (which could potentially impact sales of TRIESENCE).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pursuit of proposals that limit drug reimbursement under state run Medicaid programs based on reference prices or permitting importation of drugs from Canada. Such state policies may also eventually be adopted at the federal level.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which or how many policy, regulatory, administrative or legislative changes may ultimately be, or effectively estimate the consequences to our business if, enacted and implemented. However, to the extent that payor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U.S. federal coverage and reimbursement policies and practices have affected and are likely to continue to affect access to, pricing of and sales of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branded product portfolio relies on reimbursement from federal government healthcare programs and commercial insurance plans regulated by federal and state governments. Our business has been and will continue to be affected by legislative actions changing U.S. federal reimbursement policy. The IRA’s drug pricing controls and Medicare redesign is likely to have a material adverse effect on our sales (particularly for our branded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government actions or ballot initiatives can also affect how our branded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a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pricing drugs above a certain threshold or limit spending on biopharmaceutical products. States are also seeking to change the way they pay for drugs for patients covered by state programs.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PDABs to set upper payment limits on certain drugs in state regulated plans. Other states may consider implementing similar policies and laws. Additionally, Colorado, Florida, Maine, New Hampshire, New Mexico and Vermont have enacted laws, and several other states have proposed bills, to implement importation of drugs from Canada. The FDA has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 payor actions have affected and may continue to affect access to and sales of our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Payors, including healthcare insurers, pharmacy benefit managers (“PBMs”), integrated healthcare delivery systems (vertically-integrated organizations built from consolidations of healthcare insurers and PBMs) and group purchasing organizations, increasingly seek ways to reduce their costs. With increasing frequency, payors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payors may affect these trends. For example, CMS finalized a policy for plan years starting on or after January 1, 2021 that has caused commercial payors to more widely adopt co-pay accumulator adjustment programs. Payors, including PBMs, have sought, and continue to seek, price discounts or rebates in connection with the placement of our branded products on their formularies or those they manage, and to also impose restrictions on access to or usage of our branded products (such as step therapy), require that patients receive the payor’s prior authorization before covering the product, and/or chosen to exclude certain indications for which our products are approved. In an effort to reduce barriers to access, we may reduce the net price of some of our branded products by providing greater discounts and rebates to payors (including PBMs that administer Medicare Part D prescription drug plans), and we may introduce a set of new National Drug Codes to make our branded products available at a lower list price. However, affordability of patient out-of-pocket co-pay cost has limited and may continue to limit patient use. Further, despite these net and list price reductions, some payors may restrict, patient access and may seek further discounts or rebates or take other actions, such as changing formulary coverage for some or all of our branded products. These factors have limited, and may continue to limit, patient affordability and use, negatively affecting sales of our branded products.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2024, we believe the top five integrated health plans and PBMs controlled approximately 92% of all pharmacy prescriptions. This high degree of consolidation among insurers and PBMs and other payors,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payors from our business. CVS, Express Scripts and United Health Group (among the top five integrated health plans and PBMs), each have Rebate Management Organizations that further increase their leverage to negotiate deeper discounts. Ultimately, additional discounts, rebates, fees, coverage changes, plan changes, restrictions or exclusions imposed by these commercial payors could have a material adverse effect on our product sales, business and results of operations. Policy reforms advanced by Congress or the Biden administration that refine the role of PBMs in the U.S. marketplace could have downstream implications or consequences for our business and how we interact with these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branded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payors,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payors. Some companies and payors have announced pricing and payment decisions based in part on the assessments of private organizations. In addition, government health technology assessment organizations in many countries make reimbursement recommendations to payors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 </w:t>
      </w:r>
      <w:r>
        <w:rPr>
          <w:rFonts w:ascii="Times New Roman" w:cs="Times New Roman" w:eastAsia="Times New Roman" w:hAnsi="Times New Roman"/>
          <w:sz w:val="18"/>
          <w:szCs w:val="18"/>
          <w:i w:val="1"/>
          <w:iCs w:val="1"/>
          <w:color w:val="auto"/>
        </w:rPr>
        <w:t>Our sales depend on coverage and reimbursement from government and commercial third-party payors, and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reimbursement pressures have affected, and are likely to continue to affect, our profitability.” </w:t>
      </w:r>
      <w:r>
        <w:rPr>
          <w:rFonts w:ascii="Times New Roman" w:cs="Times New Roman" w:eastAsia="Times New Roman" w:hAnsi="Times New Roman"/>
          <w:sz w:val="18"/>
          <w:szCs w:val="18"/>
          <w:color w:val="auto"/>
        </w:rPr>
        <w:t>Such recommendations or guidelines may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many competitive risks related to marketing and selling our proprietary formulations and operating our compounding pharmacy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USP published finalized revisions to USP &lt;795&gt; and USP &lt;797&gt;, which had been previously proposed for public comment in September 2021. The revisions include limitations on beyond use dating of sterile and preservative-free products and batch sizes, among other changes. USP expects the published revisions to become effective November 1, 2023, however, regulatory bodies such as state boards of pharmacy may adopt these changes at that time, or on different dates, on a case-by-case basis. While USP has no role in enforcement, we believe the revisions to USP &lt;797&gt; in particular will likely cause two changes to our business, which in the aggregate should have a neutral to positive revenue impact on Harrow: (i) a reduction in revenues generated from sales of formulations compounded by our 503A pharmacy, and (ii) an increase in revenues from sales of formulations compounded in our 503B facility. Further, we believe the changes to USP &lt;797&gt; will likely cause a reduction in the ability of local 503A pharmacies to produce compounded formulations to serve local markets, and that these changes in policy affecting sterile compounded formulations, if adopted by the various states, may increase demand for compounded formulations from larger vendors such as Harrow and cause further consolidation in the market for compounded formulations as smaller 503A pharmacies see a reduction in revenues from certain segments of their formularies affected by these changes.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large part on our ability to maintain a competitive position with respect to biotechnology and related pharmaceutical technologies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sales at certain of our wholesaler distributors and consolidation of private payors may negatively affect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Certain of our distributors, customers and payors have substantial purchasing leverage, due to the volume of our products they purchase or the number of patient lives for which they provide coverage. The substantial majority of our U.S. branded product sales are made through three pharmaceutical product wholesaler distributors: McKesson Corporation, AmerisourceBergen Corporation and Cardinal Health, Inc. These distributors, in turn, sell our products to their customers, which include physicians or their clinics, ambulatory surgical centers, hospitals and pharmacies. Similarly, as discussed above, there has been significant consolidation in the health insurance industry, including that a small number of PBMs now oversee a substantial percentage of total covered lives in the United States. See “ – </w:t>
      </w:r>
      <w:r>
        <w:rPr>
          <w:rFonts w:ascii="Times New Roman" w:cs="Times New Roman" w:eastAsia="Times New Roman" w:hAnsi="Times New Roman"/>
          <w:sz w:val="18"/>
          <w:szCs w:val="18"/>
          <w:i w:val="1"/>
          <w:iCs w:val="1"/>
          <w:color w:val="auto"/>
        </w:rPr>
        <w:t>Our sales depend on coverage and reimbursement from government and commercial third-party payors,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pricing and reimbursement pressures have affected, and are likely to continue to affect, our profitability.” </w:t>
      </w:r>
      <w:r>
        <w:rPr>
          <w:rFonts w:ascii="Times New Roman" w:cs="Times New Roman" w:eastAsia="Times New Roman" w:hAnsi="Times New Roman"/>
          <w:sz w:val="18"/>
          <w:szCs w:val="18"/>
          <w:color w:val="auto"/>
        </w:rPr>
        <w:t>The three largest PBMs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now part of major health insurance providers. The growing concentration of purchasing and negotiating power by these entities has, and may continue to, put pressure on our pricing due to their ability to extract price discounts on our branded products, fees for other services or rebates, negatively affecting our bargaining position, sales and/or profit margins. In addition, decisions by these entities to purchase or cover less or none of our branded products in favor of competing products could have a material adverse effect on our branded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 In certain instances, we have acquired products that are patented and have been subject to prior litigation challenging the validity of certain patents related to those products. In some situations, the litigation resulted in settlement agreements that have allowed generic manufacturers to license the patent rights related to certain products and allowing the generic manufacturer to enter the market prior to patent expiration associated with the branded product.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rely on unpatented trade secrets and know-how and continuing technological innovation in order to develop our products,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drug candidates and compounded formulations and technologies could potentially conflict with the rights of others.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or sale of our products, drug candidates and compounded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be available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Chief Executive Officer, Mark L. Baum, and other key persons for the continued growth and development of 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Executive Officer, Mark L. Baum, along with other key persons, including, but not limited to, our Chief Financial Officer, Andrew R. Boll, and Chief Executive Officer of ImprimisRx and Chief Commercial Officer, John P. Saharek, have played a primary role in creating and developing our current business model. We are highly dependent on these executives for the implementation of our business plan and the future development of our assets and our business, and the loss of their services and leadership could materially adversely impact our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consultants, we may be unable to maintain or expand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or natural disasters including earthquakes, typhoons, floods and fires,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Manufacturing and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FDA approval to market and sell any of our drug candidates we may be unable to demonstrate the necessary safety and efficacy to obtain such FDA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we have sought, and in the future, we, alone or with project partners, intend to seek, FDA regulatory approval to market and sell one or more of our assets as an FDA-approved drug. Obtaining FDA approval to market and sell pharmaceutical products is costly, time-consuming,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dosing burden and ease of administration;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our drug candidates, and the target patient population to try new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of our drug candidates compared to competing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new products that may in the future become available targeting indications for which our drug candidates may be approved;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procedures or therapies that may reduce the incidences of any of the indications in which our drug candidates may show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omission of our drug candidates in applicable therapeutic and vaccine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any future collaborators’ sales and marketing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approved labeling from regulatory authorities;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or reimbursement or government pricing approvals.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VA,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76"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filed by us,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drug candidates and generate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regulatory action, whether pre- or post-approval, can also potentially lead to product liability claims and increase our product liability exposure.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the success of our drug candidates, and those we have royalty rights to, which have not yet demonstrated efficacy for their target or any other indications. If we are unable to generate revenues from our drug candidates, our ability to create stockholder value may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are in various stages of clinical development.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aspects of our business depend on the successful development, regulatory approval and commercialization of our drug candidates, which may never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 drug candidate, we will not be able to commercialize such drug candidate and our ability to generate revenues will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the receipt of regulatory approval and the issuance of such regulatory approvals is uncertain and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toxicology studies may not support the filing of an investigational new drug application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or Institutional Review Boards (“IRBs”)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provide acceptable evidence of our drug candidates’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satisfactory or may not meet the level of statistical or clinical significance required by the FDA, the European Medicines Agency (the “EMA”), or other regulatory agencies for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of our drug candidates in a particular clinical trial may not be at an optimal level;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drug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support the submission of an NDA, BLA or other submission or to obtain regulatory approval in the United States or elsewhere;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Excluding any activities through our ownership interest in Eton, we have not received regulatory approval to market our drug candidates in any jurisdiction. We have only limited experience in filing the applications necessary to gain regulatory approvals and expect to rely on consultants and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products and drug candidates in one jurisdiction does not mean that we will be successful in obtaining regulatory approval of our products or drug candidates in other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Modernization Act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may face competition sooner than expected.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completely dependent on third parties to manufacture our branded drug products and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have, nor do we plan to acquire, the capability or infrastructure to manufacture the active pharmaceutical ingredient (“API”) in our drug candidates for use in our clinical trials or for commercial product. In addition, we do not have the capability to manufacture any of our branded drug products and candidates as a finished drug product for commercial distribution. As a result, we are and will be obligated to rely on contract manufacturers. Other than through our agreements with Novartis, we have not entered into an agreement with any contract manufacturers for commercial supply and may not be able to engage a contract manufacturer for commercial supply of any of our drug products and candidates on favorable terms to us, or at all.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products and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third-party manufacturing partners, or the lack of capacity available at our third-party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 failing to grant permission to proceed and placing the clinical study on hold;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for clinical testing failing to enroll or remain in our trials at the rate we expect;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drug candidates, or participating in competing clinical studies;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on similar technologies and products raising safety and/or efficacy concerns;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of the clinical sites from trial protocols or dropping out of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CRO to execute any clinical trials for any reason;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though we may apply for orphan drug designation for a drug candidate, we may not be able to obtain orphan drug marketing exclusivity.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2021, we issued $115,250,000 aggregate principal amount of senior notes due in part in 2026 and in 2027 (the “Notes”).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were issued contains limited protection for holders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0"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Notes.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A lack of an active trading market for the Notes could adversely affect the market price of the Notes or limit a holder’s ability to sell them.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listed on Nasdaq under the symbols “HROWL” and “HROWM”. Although the Notes are listed, we cannot provide any assurances that an active trading market will be maintained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is not maintained, the liquidity and trading price for the Notes may be harmed. Accordingly, a holder may be required to bear the financial risk of an investment in the Notes for an indefinite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Notes could at any time be revised downward or withdrawn entirely at the discretion of the issuing rating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2023.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 consistently active trading market for shares of our common stock may not be sustained.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common stock may never develop or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cybersecurity threats that could have a material adverse impact on our results of operations, financial condition and cash flows, as well as our operations—including our manufacturing and marketing capabilities. We operate a risk-based cybersecurity program which is designed to: (i) ensure the security, confidentiality, integrity and availability of our information and systems; (ii) protect against anticipated or actual cyber threats to our information and systems; and (iii) protect against unauthorized access and/or use of our information and systems. Overall cybersecurity risk reporting is integrated with our enterprise risk management program, is included in discussions with the Audit Committee of our board of directors and disclosed where appropriate. Our information technology and cybersecurity function is headed by our Chief Executive Officer (“CEO”), and Director of Information Technology, who are responsible for managerial oversight of our cybersecurity program. Our Director of Information Technology reports directly to the Chief Executive Officer of ImprimisRx and Chief Commercial Officer, who reports directly to our CEO.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a layered approach in assessing, identifying, evaluating and managing material risks from cybersecurity threats, and leverage outside partners to gain intelligence on threats. We take input from industry activities, third party assessments and internal simulations and continuously adjust our protection mechanisms to be effective. We also assess operational and data security risks associated with our use of third-party service providers, understanding where failure points may exist within our supply chain operations and data protections. If we learn of a cybersecurity incident at a third-party service provider, our information technology department will maintain communication with that third-party service provider and communicate any cybersecurity incidents to the Director of Information Technology and CEO. All Harrow employees receive information security training (including data protection and fraud awareness) on an annual basis, and we use industry standard technology to monitor systems for anomalous behavior. We also require employees in certain roles to complete additional role-based, specialized cybersecurity trainings. In the event an incident were to occur, a Security Incident Response Team would be convened that consists of members from many functions, including legal counsel, the Director of Information Technology and the CEO.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the ultimate oversight of the Company’s risks—including cybersecurity risks—with our Audit Committee assisting the Board of Directors in its oversight of cyber and information security risks. Members of management that possess information security certifications and many years of experience work with our legal, finance and corporate governance functions to identify, define and report cybersecurity risks, policies and procedures and incident response plans. The Audit Committee receives updates on our cybersecurity program from management on a regular basis and more frequently as determined to be necessary or advisable. Updates to the Audit Committee include policies, processes, procedures and any significant developments related to the identification, mitigation and remediation of cybersecurity risks, as well as effectiveness and changes in our ability to monitor, protect, detect and respond to incidents, risk reviews and industry news briefings. The Audit Committee also ensures that management provides a cyber and information security update to the Board of Directors at least annually. Finally, in the event a material cybersecurity incident were to occur, the CEO and Director of Information Technology would brief the Audit Committee which would then be responsible for assessing the materiality of the incident and making the determination of materiality and any related disclosure.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we have numerous controls to protect against common attacks, some attacks may still be effective. Our controls are designed to detect, triage and eradicate these attacks. While we carry a cyber insurance policy to help cover investigation and mitigation expenses, it may be subject to limitations and be insufficient to cover all expenses that may result from a cybersecurity incident. Although the risks from cybersecurity threats, including as a result of any previous cybersecurity incidents, have not materially affected or are reasonably likely to materially affect us, including our business strategy, results of operations or financial condition, such incidents could have a material adverse effect in the future as cyberattacks continue to increase in frequency and sophistication.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about the cybersecurity risks and other information technology and data privacy risks we face,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the subsection titled </w:t>
      </w:r>
      <w:r>
        <w:rPr>
          <w:rFonts w:ascii="Times New Roman" w:cs="Times New Roman" w:eastAsia="Times New Roman" w:hAnsi="Times New Roman"/>
          <w:sz w:val="18"/>
          <w:szCs w:val="18"/>
          <w:i w:val="1"/>
          <w:iCs w:val="1"/>
          <w:color w:val="auto"/>
        </w:rPr>
        <w:t>A breakdown of our information technology systems, or a cyberattack or information security breach could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compromise the confidentiality, integrity and availability of our information technology systems, network-connected control systems and/or our data, interrupt the operation of our business and/or affect our reputation.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38,200 square feet of lab, warehouse, and office space in Ledgewood, New Jersey, in three separate suites. The current lease term expires on July 31, 2027 and includes options to extend the lease term through 2037. This space serves as an outsourcing facility and pharmacy for ImprimisRx.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5,500 square feet of office space in Nashville, Tennessee. The current lease term expires on December 31, 2024. This office serves as our corporate headquarters.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5,800 square feet of office space in Carlsbad, California. The current lease term began January 1, 2022 and expires on March 31, 2025 and includes an option to extend the lease term through March 2028. This office generally supports the certain marketing and administrative functions.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11,600 square feet of lab and office space in Nashville, Tennessee. The current lease term commenced in June 2022 and expires in June 2027. This office generally serves as our customer service center and analytical laboratory.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18 to our consolidated financial statements included in this Annual Report for information on various legal proceedings,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“HROW” and the Notes are listed on The Nasdaq Stock Market LLC under the symbols “HROWL” and “HROWM.”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18, 2024, there were approximately 67 stockholders of record (excluding an indeterminable number of stockholders whose shares are held in street or “nominee” name)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dividends on our common stock since our inception and do not expect to pay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fourth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06"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the related notes contained in this Annual Report on Form 10-K (this “Annual Report”). Our consolidated financial statements have been prepared and, unless otherwise stated, the information derived therefrom as presented in this discussion and analysis is presented, in accordance with accounting principles generally accepted in the United States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discussion and analysis, unless the context indicates otherwise, the terms the “Company,” “Harrow” “we,” “us” and “our” refer to Harrow, Inc. and its consolidated subsidiaries, including Imprimis RxNJ, LLC, Imprimis NJOF, LLC, ImprimisRx, LLC, Harrow IP, LLC and Harrow Eye,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 In addition, we have a non-controlling equity interest in Melt Pharmaceuticals, Inc. (“Melt”), and two other companies that began as subsidiaries of Harrow and were subsequently carved-out of our corporate structure and deconsolidated from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certain developments in 2023 and 2024 to date that are important to understand our financial condition and results of operations. See the notes to our consolidated financial statements included in this Annual Report for additional information about each of these developments.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Apotex - Canadian Out-License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 license and supply agreement with Apotex Inc. (“Apotex”). Under the terms of the agreement, Apotex licensed exclusive rights and marketing authorizations of the following products in the Canadian market from Harrow: VERKAZIA (cyclosporine ophthalmic emulsion) 0.1% and Cationorm PLUS. Apotex was also granted a license for products Apotex will pursue approval for in Canada: VEVYE (cyclosporine ophthalmic solution) 0.1%, IHEEZO (chloroprocaine hydrochloride ophthalmic gel) 3%, and ZERVIATE (cetirizine ophthalmic solution) 0.24% (with VERKAZIA and Cationorm Plus, collectively, the “Apotex Products”). In exchange, Apotex will make payments to Harrow for milestones related to manufacturing arrangements, regulatory and commercial achievements, in addition to royalties on net sales of the Apotex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VEVYE U.S. Launch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launched VEVYE (cyclosporine ophthalmic solution) 0.1%, the first and only water-free cyclosporine dissolved in a semifluorinated alkane approved to treat both the signs and symptoms of dry eye disease, in the U.S. We partnered with various entities including PhilRx, Apollo Care and PARx Solutions to enhance our market and patient access program for VEVYE.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Loan Settlement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2023, we terminated the Loan and Security Agreement (the “Loan Agreement”), dated as of September 1, 2021, as amended, by and between us, as lender, and Melt, as borrower, which provided for a senior secured term loan with an initial aggregate principal amount of $13,500,000 bearing interest at 12.50% per annum. As of the date of termination, approximately $18,400,000 remained outstanding under the Loan Agreement. Pursuant to the terms of a Settlement and Payoff Agreement, dated as of December 28, 2023, by and between us and Melt (the “Settlement Agreement”), we received 2,260,000 shares of Melt’s Series B-1 Preferred Stock and 74,256 shares of Melt’s Series B Preferred Stock in consideration for the full payment of all amounts outstanding under the Loan Agreement. The Settlement Agreement contains customary representations, warranties and releases of the parties and requires the parties to enter into a registration rights agreement providing us with rights consistent with other holders of preferred stock of Melt.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 Reimbursement, Launch and Studies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2023, we announced that the Centers for Medicare &amp; Medicaid Services (“CMS”) had issued a permanent, product specific J-code for IHEEZO (J2403) which became effective under the Healthcare Procedure Coding System (HCPCS) on April 1, 2023, which physicians can use for reimbursement purposes of that product. New drugs approved by the U.S. Food and Drug Administration (“FDA”) that are used in surgeries performed in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April 2023.</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working to ensure our continued access to the Medicare market for the ambulatory surgery center (ASC), hospital and outpatient department (HOPD), and in-office use market for IHEEZO. In this regard, we are designing and intend to execute, during 2024, clinical studies to build data sets that could be presented to Centers for Medicare &amp; Medicaid Services (CMS) to extend our temporary pass-through period for IHEEZO in ASCs and HOPDs. We also met with CMS in January 2024 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 office setting. As of the date of this Annual Report, we had not received feedback from CMS following our meeting in January 2024.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beginning of April 2023, we initiated a regional and targeted launch of IHEEZO (chloroprocaine HCL ophthalmic gel) 3%. In early May 2023, our full commercial launch of IHEEZO occurred, with the product being highlighted by our commercial team at the ASCRS (American Society of Cataract and Refractive Surgery) Annual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Recently we invested in an in-vivo (in human) study to compare the effects of IHEEZO with povidone-iodine (PVI) compared to a low-viscosity tetracaine ophthalmic solution with PVI. The primary intent of the study is to show that IHEEZO does not act as a “barrier” to PVI, which had otherwise been shown with other ocular anesthetic gels. Findings from the study are positive and showed that IHEEZO demonstrated a similar barrier risk to tetracaine (e.g., a non-gel anesthetic).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Acquisition of VEVYE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U.S. and Canadian Commercial Rights</w:t>
      </w:r>
    </w:p>
    <w:p>
      <w:pPr>
        <w:spacing w:after="0" w:line="1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we acquired commercial rights of VEVYE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FDA. We acquired the commercial rights to VEVYE by entering into a license agreement with Novaliq GmbH (“Novaliq”). As consideration, we made initial payments to Novaliq totaling $8,000,000 and will pay low double-digit royalties on net sales of VEVYE along with potential commercial milestone payments. In February 2024, we agreed to license rights for VEVYE in Canada to Apotex.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Certain U.S. and Canadian Commercial Rights to Santen and Eyevance Products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we entered into an Asset Purchase Agreement with Eyevance Pharmaceuticals, LLC and a License Agreement with Santen S.A.S. (collectively, the “Santen Agreements”), each a subsidiary of Santen Pharmaceuticals Co., Ltd. (collectively, “Santen”). Pursuant to the Santen Agreements, we acquired the exclusive commercial rights to assets associated with the following ophthalmic products (collectively, the “Santen Products”), in the U.S.: FLAREX® (fluorometholone acetate ophthalmic suspension) 0.1%, NATACYN® (natamycin ophthalmic suspension) 5%, TOBRADEX® ST (tobramycin and dexamethasone ophthalmic suspension) 0.3%/0.05%, ZERVIATE® (cetirizine ophthalmic solution) 0.24%, and FRESHKOTE®. In the U.S. and Canada: VERKAZIA ® (cyclosporine ophthalmic emulsion) 0.1%, and in Canada: Cationorm PLUS.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transactions pursuant to the Santen Agreements are referred to in this Annual Report as the “Santen Products Acquisition.”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Santen Agreements, we made an initial one-time payment of $8,000,000. In addition, the Santen Agreements provide for various one-time milestone payments associated with certain manufacturing-related events as well as low-double digit royalty payments on net sales of VERKAZIA and high-single digit royalty payments on net sales of Cationorm PLUS. Under the Santen Agreements, we also assumed certain obligations associated with other third parties that require royalties on sales of FRESHKOTE and ZERVIATE. Immediately following the closing and subject to certain conditions, prior to the transfer of the Santen Product NDAs and other marketing authorizations to us, Santen continued to sell the Santen Products on our behalf and transfer the net profit from the sale of the Santen Products to us. In October 2023, we completed the transfer of the U.S. NDAs and rights of the Santen Products. The Canadian marketing authorizations of VERKAZIA and Cationorm PLUS will be transferred to Apotex during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2023, we closed a public offering of shares of our common stock at an offering price of $17.75 per share (the “Offering”). We sold 3,887,324 shares of our common stock in the Offering, resulting in us receiving aggregate net proceeds of $64,520,000, after deducting underwriting discounts and commissions and other offering expenses of $4,480,000.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Oaktree Credit and Guaranty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27, 2023, we entered into a Credit Agreement and Guaranty (the “Oaktree Loan”) with Oaktree Fund Administration, LLC, as administrative agent for the lenders (together, “Oaktree”), providing for a loan to us with a principal amount of up to $100,000,000. Upon entering into the Oaktree Loan, we drew a principal amount of $65,000,000 from the Oaktree Loan and used the net proceeds to repay all amounts owed by us pursuant to the BR Loan (as defined below). No remaining amounts are due under the BR Loan, and no exit or prepayment fees were paid as a result of the payoff of the BR Loan. The additional principal loan amount of up to $35,000,000 available under the Oaktree Loan (the “Tranche B”) will be made available to the Company upon the commercialization of TRIESENCE.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6" w:name="page57"/>
    <w:bookmarkEnd w:id="5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18, 2023, we entered into the First Amendment to the Oaktree Loan (the “Oaktree Amendment”). Under the Oaktree Amendment, the overall credit facility size was increased from $100,000,000 to $112,500,000, and we made other changes related to the Santen Products Acquisition. Upon satisfaction of certain conditions to funding, we drew down a principal amount of $12,500,000 (the “Loan Increase”) on August 1, 2023 to fund the initial one-time payment associated with the Santen Products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we have drawn down a total principal loan amount of $77,500,000 under the Oaktree Loan and an additional Tranche B loan amount of up to $35,000,000 remains available to us upon the commercialization of TRIESENCE, provided, that if Tranche B is not drawn by the Company on or before March 27, 2024, the amount available under Tranche B will decrease to $30,000,000.</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Oaktree Loan is secured by nearly all of the assets, including intellectual property, of the Company and its material subsidiaries. The Oaktree Loan has a maturity date of January 19, 2026 and carries an interest rate equal to the Secured Overnight Financing Rate plus 6.5% per annum. The Oaktree Loan requires interest-only payments through its term (there is no amortization of the principal amount or excess cash flow sweeps during the term of the Oaktree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“NVS 5 Products”) in the U.S. (the “NVS 5 Acquisition”):</w:t>
      </w:r>
    </w:p>
    <w:p>
      <w:pPr>
        <w:spacing w:after="0" w:line="176"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closed the NVS 5 Acquisition on January 20, 2023. Under the terms of the Purchase Agreement, we made a one-time payment of $130,000,000 at closing, with up to another $45,000,000 due in a milestone payment related to the timing of the commercial availability of TRIESENCE. Pursuant to the Purchase Agreement and various ancillary agreements, immediately following the closing and subject to certain conditions, for a period that lasted approximately nine months, and prior to the transfer of the NVS 5 Products new drug applications (the “NDAs”) to us, Novartis continued to sell the NVS 5 Products on our behalf and transferred the net profit from the sale of the NVS 5 Products to us. Novartis has agreed to supply certain NVS 5 Products to the Company for a period of time after the NDAs are transferred to us and to assist with technology transfer of the NVS 5 Products manufacturing to other third-party manufacturers, if needed.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28, 2023, we transferred the NDAs for ILEVRO, NEVANAC and MAXIDEX. In July 2023, we transferred the NDA for VIGAMOX, and the NDA for TRIESENCE was transferred in November 2023. The milestone payment due upon commercial availability for TRIESENCE decreased from $45,000,000 to $37,000,000 on January 20, 2024. We expect Novartis to produce a performance process qualification (“PPQ”) batch during April 2024. If this PPQ batch is successful, our manufacturing partners will need to complete two additional, consecutive and successful PPQ batches (an aggregate of three PPQ batches) of TRIESENCE before the product can be released for commercial use. We believe it is possible TRIESENCE could be re-launched before the end of 2024 if these PPQ batches are successful, at which point the $37,000,000 milestone payment will become due to Novartis.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HROWM – Senior Notes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2022, the Company entered into an underwriting agreement with B. Riley Securities, Inc., as representative of the several underwriters named therein, pursuant to which we agreed to sell $35,000,000 aggregate principal amount of 11.875% Senior Notes due 2027 (the “2027 Notes”) plus up to an additional $5,250,000 aggregate principal amount of 2027 Notes pursuant to an option granted to the underwriters to purchase additional 2027 Notes. In January 2023, the underwriters exercised their option to purchase the additional $5,250,000 aggregate principal amount of 2027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 – Paid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14, 2022, we entered into a Loan and Security Agreement (the “BR Loan”) with B. Riley Commercial Capital, LLC, as administrative agent for the lenders from time to time party thereto. The proceeds of the BR Loan were used to finance the NVS 5 Acquisition.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BR Loan provided for a loan facility of up to $100,000,000 to the Company with a maturity date of December 14, 2025, at an interest rate of 10.875% per annum. The BR Loan was secured by an intellectual property security agreement and by all assets of the Company and its material subsidiaries. In January 2023, the Company drew $59,750,000 of the BR Loan simultaneously with the consummation of the NVS 5 Acquisition, and subsequently paid back the BR Loan in March 2023 at the time of closing the Oaktree Loan. No remaining amounts are due under the BR Loan, and no exit or prepayment fees were paid as a result of the payoff of the BR Loan.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period-to-period comparisons of our financial results are not necessarily indicative of results for any future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revenues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2"/>
                <w:szCs w:val="22"/>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117,447,000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 revenues</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3,866,000</w:t>
            </w:r>
          </w:p>
        </w:tc>
        <w:tc>
          <w:tcPr>
            <w:tcW w:w="26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(3,866,000)</w:t>
            </w:r>
          </w:p>
        </w:tc>
      </w:tr>
      <w:tr>
        <w:trPr>
          <w:trHeight w:val="2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acquired product sales/profit</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12,746,000</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1,205,000</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11,541,000</w:t>
            </w:r>
          </w:p>
        </w:tc>
        <w:tc>
          <w:tcPr>
            <w:tcW w:w="60" w:type="dxa"/>
            <w:vAlign w:val="bottom"/>
            <w:shd w:val="clear" w:color="auto" w:fill="CCEEFF"/>
          </w:tcPr>
          <w:p>
            <w:pPr>
              <w:spacing w:after="0"/>
              <w:rPr>
                <w:sz w:val="21"/>
                <w:szCs w:val="21"/>
                <w:color w:val="auto"/>
              </w:rPr>
            </w:pPr>
          </w:p>
        </w:tc>
      </w:tr>
      <w:tr>
        <w:trPr>
          <w:trHeight w:val="217"/>
        </w:trPr>
        <w:tc>
          <w:tcPr>
            <w:tcW w:w="38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41,598,000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revenues between periods was related to an increase in sales of our branded ophthalmology products, as well as an increase in the transfer of acquired products sales and profits related to the NVS 5 Acquisition and Santen Products Acquisition. This increase in 2023 was offset slightly by a decrease in commissions attributable to sales of DEXYCU® (which agreement terminated January 1, 2023) and a decrease in sales from our non-ophthalmology compounded products as a result of our sale of those assets in the fourth quarter of 2022. During the year ended December 31, 2023, revenues, including transfer of acquired product sales and profits, from branded products totaled $50,258,000, as compared to $2,716,000 in the prior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cost of sales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2"/>
                <w:szCs w:val="22"/>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29"/>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14,257,000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our cost of sales was largely attributable to the amortization of acquired product NDAs which totaled $9,314,000 for the year ended December 31, 2023, compared to $1,364,000 during the prior year, offset by lesser increases in expenses associated with unit volumes sold and increased direct and indirect costs associated with production of our products.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27,341,000</w:t>
            </w:r>
          </w:p>
        </w:tc>
        <w:tc>
          <w:tcPr>
            <w:tcW w:w="2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26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69.6</w:t>
            </w:r>
          </w:p>
        </w:tc>
        <w:tc>
          <w:tcPr>
            <w:tcW w:w="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gross margin between the years ended December 31, 2023 and 2022 was primarily attributable to amortization of acquired NDAs from the NVS 5 Acquisition, beginning in January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selling, general and administrative expenses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2"/>
                <w:szCs w:val="22"/>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24,847,000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between periods was primarily attributable to an increase in stock-based compensation expense, including new expenses associated with performance stock units (“PSUs”) granted in April 2023 of $7,722,000 for the year ended December 31, 2023, compared to the prior year. Other areas of increased expenses included $3,257,000 related to new regulatory costs and enhancements and a $6,844,000 increase in expenses related to the addition of new employees in sales, marketing and other departments to support current and expected growth, including the transition of the Santen Products, and the commercial launch of IHEEZO in April 2023 and VEVYE in December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primarily included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R&amp;D expenses 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2"/>
                <w:szCs w:val="22"/>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R&amp;D expenses between periods was primarily attributable to increased activity related to product acquisitions, product launches, clinical and medical support.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Disposal of Long-Lived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recorded a charge of $548,000, of which, $380,000 was related to the impairment of licenses, trademarks, patents and patent applications and $168,000 was related to equipment that was no longer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was $21,324,000 during the year ended December 31, 2023, compared to $7,244,000 during the year ended December 31, 2022. The increase was primarily due to an increase in the principal balance of our loans throughout the two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Entities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we recorded a loss of $0 and $11,133,000, respectively, for our share of losses based on our ownership of Melt and Surface.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Gain (Loss) from Eton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a gain of $3,092,000 related to the change in fair market value of our investment in Eton’s common stock for the year ended December 31, 2023. We recorded a loss of $2,914,000 related to our investment in Eton’s common stock for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Non-Ophthalmology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recorded a gain on the sale of our non-ophthalmology assets to Innovation Compounding Pharmacy, LLC of $5,259,000.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we recorded a loss on extinguishment of debt of $5,465,000, related to the payoff of the BR Loan.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recorded other expense, net of $444,000 related primarily to transition services and write-off of inventories associated with the divestment of our non-ophthalmology business, and a charge related to equipment that was no longer in service. During the year ended December 31, 2022, we recorded other income, net of $102,000 related to the transition services provided as part of our non-ophthalmology related compounding product 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2023 and 2022, we recorded income tax expense of $701,000 and $75,000,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loss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on hand at December 31, 2023 was $74,085,000, compared to $96,270,000 at December 31, 2022.</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believe that cash and cash equivalents of $74,085,000 at December 31, 2023 will be sufficient to sustain our planned level of operations and capital expenditures for at least the next 12 months. In addition, we may consider the sale of certain assets including, but not limited to, part of, or all of, our investments in Eton, Surface, and Melt.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products,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 for the years ended December 31, 2023 and 2022:</w:t>
      </w:r>
    </w:p>
    <w:p>
      <w:pPr>
        <w:spacing w:after="0" w:line="221"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3,840,000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1,705,000</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(152,553,000)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(1,743,000)</w:t>
            </w: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126,528,000</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54,141,000</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96,270,000</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42,167,000</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$3,840,000 in 2023, compared to $1,705,000 in the prior year. Operating cash flow improved despite the increased net loss due to increased non-cash charges in 2023 compared to the prior year. Notably an increase in amortization expense of intangible assets to $10,082,000 for the year ended December 31, 2023 compared to $1,578,000 in 2022, an increase in amortization of debt issuance costs and debt discounts to $4,097,000 for the year ended December 31, 2023 compared to $782,000 in 2022, an increase in expense related to stock-based compensation to $15,696,000 for the year ended December 31, 2023 compared to $7,974,000 in 2022, as well as $5,465,000 related to loss on extinguishment of our B. Riley senior debt.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2023 and 2022 was $(152,553,000) and $(1,743,000), respectively. Cash used in investing activities in 2023 was primarily associated with the NVS 5 Acquisition, Santen Products Acquisition and VEVYE Acquisition. Cash used in investing activities during the 2022 period was primarily associated with equipment and software purchases and upgrades along with investments in our intellectual property portfolio, offset by cash received on the sale of our non-ophthalmic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2023 and 2022 was $126,528,000 and $54,141,000, respectively. Cash provided by financing activities during the year ended December 31, 2023 was primarily related to proceeds received from the sale of the 2027 Notes, the Oaktree Loan and Oaktree Amendment, and the Offering, offset by payment of payroll taxes upon vesting of PSUs in exchange for shares withheld from employees. Net cash provided by financing activities during the year ended December 31, 2022 was primarily related to net proceeds from the sale of the 2027 Notes and sale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cash consist of cash provided by operating activities, and in 2023 and 2022, proceeds from the sale of the 2027 Notes, the Offering and the Oaktree Loan and Oaktree Amendment. We may also sell some or all of our ownership interests in Surface, Melt or our other subsidiaries, along with some or all of the remaining portion of our Eton common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We have three primary streams of revenue (four in 2022): (1) product revenues, including revenue recognized from sales of products through its pharmacy and outsourcing facility and sales of branded products to wholesalers through a third-party logistics (“3PL”) partner, (2) revenue recognized from a commission agreement with a third party in 2022, (3) revenue recognized from transfer of acquired product sales and profits, and (4) revenue recognized from intellectual property licenses.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prescription medications directly through our pharmacy, outsourcing facility and 3PL partner. Revenue from our pharmacy services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the Company has identified the following:</w:t>
      </w:r>
    </w:p>
    <w:p>
      <w:pPr>
        <w:spacing w:after="0" w:line="178" w:lineRule="exact"/>
        <w:rPr>
          <w:sz w:val="20"/>
          <w:szCs w:val="20"/>
          <w:color w:val="auto"/>
        </w:rPr>
      </w:pPr>
    </w:p>
    <w:p>
      <w:pPr>
        <w:jc w:val="both"/>
        <w:ind w:left="340" w:hanging="332"/>
        <w:spacing w:after="0" w:line="267"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our contracts consist of delivering the product to customers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We have elected to treat its shipping and handling activities as a fulfillment cost.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we expect to be entitled,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for estimated rebates, wholesaler chargebacks, discounts, copay assistance and other deductions (collectively, sales deductions) and an estimate for returns and replacements established at the time of sale. We utilize the services of a third-party professional services firm to estimate rebates and chargebacks associated with sales of our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whereby it is paid a fee calculated based on sales we generate from a pharmaceutical product that is owned by a third party. The revenue earned from this arrangement is recognized, at which point there is no future performance obligation required by us and no consequential continuing involvement on our part to recognize the associated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Sales and Profits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agreements whereby we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us. The revenue we recognized from the transfer of net profit was recognized at the time profit from the product sales were calculated by the Sellers and confirmed by us, typically on a monthly basis, at which point there is no future performance obligation required and no consequential continuing involvement on our part to recognize the associated revenue. On a quarterly basis, the Sellers invoiced us for all credits and reimbursements (“Chargebacks”) made to customers related to the products. We used historical actual experience to estimate Chargebacks associated with the net sales and profit transferred. The estimated Chargebacks are recorded as a reduction in revenues from transfer of acquired product sales and profits in our consolidated statements of operations, and recorded as a reduction to accounts receivable in the consolidated balance sheets, at the time the revenue is recognized.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hold five intellectual property licenses and related agreements pursuant to which we have agreed to license or sell to a customer with the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and require no consequential continuing involvement on our part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Debt Discount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notes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 At December 31, 2022, we recorded deferred financing costs of $1,950,000 related to the B. Riley Loan and Security Agreement (the “BR Loan”), which was recorded as a debt issuance cost and net of the related BR Loan when it funded in January 2023 (see the accompany Note 13 to our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subheading “Goodwill and Intangible Assets” below). If costs are not capitalized they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consolidated statements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under the provisions of Financial Accounting Standards Board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2023 and 2022, there was $2,853,000 and $0, respectively, of unrecognized tax benefits included in the consolidated balance sheets that would, if recognized, affect the effective tax rate. Our practice is to recognize interest and/or penalties related to income tax matters in income tax expense. We had an accrual for interest or penalties of $40,000 and $0 in the consolidated balance sheets at December 31, 2023 and 2022, respectively, and have recognized interest and/or penalties in the consolidated statements of operations for the years ended December 31, 2023 and 2022 of $40,000 and $0, respectively. We are subject to taxation in the United States, California, New Jersey, Tennessee and various other states. Our tax years since 2000 may be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Melt Pharmaceuticals, Inc. – Related Party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own 3,500,000 shares of common stock and 2,334,256 shares of preferred stock of Melt (representing in aggregate approximately 47% of the equity interests as of December 31, 2023). We analyze our investment in Melt and related agreements on a regular basis to evaluate its position of variable interests in Melt. We have determined that we do not have the ability to control Melt, however we have the ability to exercise significant influence over the operating and financial decisions of Melt and uses the equity method of accounting for this investment. Under this method, we recognize earnings and losses in Melt in its consolidated financial statements and adjusts the carrying amount of its investment in Melt accordingly. Any intra-entity profits and losses are eliminated. During the year ended December 31, 2021, we reduced the carrying value of our investment in Melt to $0 as a result of recording our share of equity losses in Melt since its deconsolidation in 2019. As of December 31, 2022, and at the time of entering into the Melt Loan Agreement (see Note 5 to our consolidated financials statements), we owned 100% of Melt’s indebtedness. Following the reduction of the carrying value of our common stock investment in Melt to $0, we began recording 100% of the equity method losses of Melt, based on its ownership of Melt’s total indebtedness. In addition, we treated interest paid in kind on the Melt Loan Agreement as an in-substance capital contribution and reduced our investment in Melt accordingly, rather than recording interest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 quarterly basis, we assess whether there are any indicators that the carrying value of our equity method investments may be other than temporarily impaired. Indicators include financial condition, operating performance, and near-term prospects of the investee. To the extent indicators suggest that a loss in value may have occurred, we will evaluate both quantitative and qualitative factors to determine if the loss in value is other than temporary. If a potential loss in value is determined to be other than temporary, we will recognize an impairment loss based on the estimated fair value of the equity method investments. During the year ended December 31, 2023, the Melt Loan Agreement (as defined in Note 5 to our consolidated financial statements) was settled in exchange for Melt preferred stock (see the Note 5 to our consolidated financial statements for loan settlement disclosure). We reduced the Melt Loan Agreement and subsequent preferred stock investment in Melt to $0 as a result of recording our share of equity losses of Melt. We have no other investments in Melt and no other requirements to advance funds to Melt.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summarizes our investments in Melt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Share of Equity</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Cost Basis</w:t>
            </w:r>
          </w:p>
        </w:tc>
        <w:tc>
          <w:tcPr>
            <w:tcW w:w="220" w:type="dxa"/>
            <w:vAlign w:val="bottom"/>
          </w:tcPr>
          <w:p>
            <w:pPr>
              <w:spacing w:after="0"/>
              <w:rPr>
                <w:sz w:val="20"/>
                <w:szCs w:val="20"/>
                <w:color w:val="auto"/>
              </w:rPr>
            </w:pPr>
          </w:p>
        </w:tc>
        <w:tc>
          <w:tcPr>
            <w:tcW w:w="20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Method Losses</w:t>
            </w: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18,397,000</w:t>
            </w:r>
          </w:p>
        </w:tc>
        <w:tc>
          <w:tcPr>
            <w:tcW w:w="220" w:type="dxa"/>
            <w:vAlign w:val="bottom"/>
          </w:tcPr>
          <w:p>
            <w:pPr>
              <w:spacing w:after="0"/>
              <w:rPr>
                <w:sz w:val="20"/>
                <w:szCs w:val="20"/>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(18,397,000)</w:t>
            </w: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investments in Melt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Share of</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Equity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In-substance</w:t>
            </w: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2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8"/>
                <w:szCs w:val="18"/>
                <w:color w:val="auto"/>
              </w:rPr>
            </w:pPr>
          </w:p>
        </w:tc>
        <w:tc>
          <w:tcPr>
            <w:tcW w:w="1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Method</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Paid-in-Kind</w:t>
            </w:r>
          </w:p>
        </w:tc>
        <w:tc>
          <w:tcPr>
            <w:tcW w:w="160" w:type="dxa"/>
            <w:vAlign w:val="bottom"/>
          </w:tcPr>
          <w:p>
            <w:pPr>
              <w:spacing w:after="0"/>
              <w:rPr>
                <w:sz w:val="18"/>
                <w:szCs w:val="18"/>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41"/>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Basis</w:t>
            </w:r>
          </w:p>
        </w:tc>
        <w:tc>
          <w:tcPr>
            <w:tcW w:w="120" w:type="dxa"/>
            <w:vAlign w:val="bottom"/>
          </w:tcPr>
          <w:p>
            <w:pPr>
              <w:spacing w:after="0"/>
              <w:rPr>
                <w:sz w:val="20"/>
                <w:szCs w:val="20"/>
                <w:color w:val="auto"/>
              </w:rPr>
            </w:pPr>
          </w:p>
        </w:tc>
        <w:tc>
          <w:tcPr>
            <w:tcW w:w="1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Interest</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6"/>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13,500,000</w:t>
            </w:r>
          </w:p>
        </w:tc>
        <w:tc>
          <w:tcPr>
            <w:tcW w:w="120" w:type="dxa"/>
            <w:vAlign w:val="bottom"/>
          </w:tcPr>
          <w:p>
            <w:pPr>
              <w:spacing w:after="0"/>
              <w:rPr>
                <w:sz w:val="20"/>
                <w:szCs w:val="20"/>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(13,500,000)</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2,484,000</w:t>
            </w:r>
          </w:p>
        </w:tc>
        <w:tc>
          <w:tcPr>
            <w:tcW w:w="1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(2,484,000)</w:t>
            </w: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2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and 2022, we recorded $89,000 and $139,000, respectively, due from Melt for reimbursable expenses and amounts due under a Management Services Agreement, which are included in prepaid expenses and other current assets in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 5 to our consolidated financial statements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we capitalize third-party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Acquired product rights, including new drug applications (“NDAs”), are amortized over their estimated useful lives, generally 4-15 years,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the Company’s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Company’s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goodwill is considered impaired, and we then perform the second step of the impairment test to measure the impairment loss. If the fair value of a reporting unit exceeds its carrying amount, no further analysis is required.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Step 2. If the carrying amount of the reporting unit exceeds its fair value, an impairment loss will be recognized in an amount equal to the excess, limited to the total amount of goodwill allocated to that reporting unit.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its assessment in 2023, we concluded that goodwill is not impaired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long-lived assets, such as property, plant and equipment, purchased intangibles subject to amortization and patents and trademarks, are reviewed for impairment whenever events or changes in circumstances indicate that the carrying amount of an asset may not be recoverable. Such circumstances could include, but are not limited to (1) a significant decrease in the market value of an asset, (2) a significant adverse change in the extent or manner in which an asset is used, or (3) an accumulation of costs significantly in excess of the amount originally expected for the acquisition of an asset.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in the amount by which the carrying amount of the asset exceeds the fair value of the asset. The fair value of the asset is based on the discounted value of its estimated future cash flows.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its assessment in 2023, we recorded an impairment charge of $380,000 related to the impairment of certain licenses, trademarks, patents and patent applications (see the Note 11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performance stock units (“PSUs) and restricted stock, are recognized in the consolidated financial statements based upon their estimated fair values. We use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2023, the end of the period covered by this Annual Report, pursuant to Rules 13a-15(b) and 15d-15(b) under the Securities Exchange Act of 1934, as amended (the “Exchange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that evaluation, our CEO and CFO concluded that, as of December 31, 2023,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Based on such evaluation, management concluded that our internal control over financial reporting was effective as of December 31, 2023.</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in accordance with applicable SEC rules that permit us to provide only management’s report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year ended December 31, 2023,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“Executive Compensation” and “Director Compensation” in the Company’s Proxy Statement for the 2024 Annual Meeting of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 “Ratification of Selection of Independent Registered Public Accounting Firm” in the Company’s Proxy Statement for the 2024 Annual Meeting of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the following documents filed as part of the report: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our consolidated financial statements on page F-1 for a list of the financial statements being filed in this Annual Report.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for all exhibits being filed or incorporated by reference herein.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Agreement and Plan of Merger, dated as of September 17, 2007, by and among Imprimis Pharmaceuticals, Inc., Transdel Pharmaceuticals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Holdings, Inc. and Trans-Pharma Acquisition Corp. Incorporation (incorporated herein by reference to Exhibit 2.1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8-K of Imprimis Pharmaceuticals, Inc. filed with the Securities and Exchange Commission on September 21, 2007).</w:t>
              </w:r>
            </w:hyperlink>
          </w:p>
        </w:tc>
        <w:tc>
          <w:tcPr>
            <w:tcW w:w="13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Amended and Restated Certificate of Incorporation, as amended (incorporated herein by reference to Exhibit 3.1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8-K of Harrow, Inc. filed with the Securities and Exchange Commission on September 29, 2023).</w:t>
              </w:r>
            </w:hyperlink>
          </w:p>
        </w:tc>
        <w:tc>
          <w:tcPr>
            <w:tcW w:w="268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Amended and Restated Bylaws of Harrow, Inc. (incorporated herein by reference to Exhibit 3.2 to the Current Report on Form 8-K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Harrow, Inc. filed with the Securities and Exchange Commission on September 29, 2023).</w:t>
              </w:r>
            </w:hyperlink>
          </w:p>
        </w:tc>
        <w:tc>
          <w:tcPr>
            <w:tcW w:w="364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Company’s Securities</w:t>
            </w:r>
          </w:p>
        </w:tc>
        <w:tc>
          <w:tcPr>
            <w:tcW w:w="722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Indenture dated April 20, 2021, between Harrow, Inc. and U.S. Bank National Association, as Trustee (incorporated herein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Exhibit 4.1 to the Current Report on Form 8-K of Harrow, Inc. filed with the Securities and Exchange Commission on April 20, 2021).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First Supplemental Indenture dated April 20, 2021 between Harrow, Inc. and U.S. Bank National Association, as Trustee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herein by reference to Exhibit 4.2 to the Current Report on Form 8-K of Harrow, Inc. filed with the Securities and Exchange Commission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April 20,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8.625% Senior Note due 2026 (incorporated herein by reference to Exhibit 4.3 to the Current Report on Form 8-K of Harrow, 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filed with the Securities and Exchange Commission on April 20, 2021).</w:t>
              </w:r>
            </w:hyperlink>
          </w:p>
        </w:tc>
        <w:tc>
          <w:tcPr>
            <w:tcW w:w="498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Second Supplemental Indenture dated December 20, 2022 between Harrow, Inc. and U.S. Bank Trust Company, National Association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(incorporated herein by reference to Exhibit 4.2 to the Current Report on Form 8-K of Harrow, Inc. filed with the Securities and Exchange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Commission on December 20,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11.875% Senior Note due 2027 (incorporated herein by reference to Exhibit 4.3 to the Current Report on Form 8-K of Harrow, 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filed with the Securities and Exchange Commission on December 20, 2022).</w:t>
              </w:r>
            </w:hyperlink>
          </w:p>
        </w:tc>
        <w:tc>
          <w:tcPr>
            <w:tcW w:w="46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Directors and Officers Indemnification Agreement (incorporated herein by reference to Exhibit 10.8 to the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8-K of Imprimis Pharmaceuticals, Inc. filed with the Securities and Exchange Commission on September 21, 2007)</w:t>
              </w:r>
            </w:hyperlink>
          </w:p>
        </w:tc>
        <w:tc>
          <w:tcPr>
            <w:tcW w:w="182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Imprimis Pharmaceuticals, Inc. Amended and Restated 2007 Stock Incentive and Awards Plan (incorporated herein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Quarterly Report on Form 10-Q of Imprimis Pharmaceuticals, Inc. filed with the Securities and Exchange Commission on May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8, 2013)</w:t>
              </w:r>
            </w:hyperlink>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5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Amendment No. 1 to Imprimis Pharmaceuticals, Inc. Amended and Restated 2007 Incentive Stock and Awards Plan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reference to Exhibit 10.3 to the Quarterly Report on Form 10-Q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Commission on November 6, 2013)</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Incentive Stock Option Agreement (incorporated herein by reference to Exhibit 10.12 to the Current Report on Form 8-K of</w:t>
              </w:r>
            </w:hyperlink>
          </w:p>
        </w:tc>
      </w:tr>
      <w:tr>
        <w:trPr>
          <w:trHeight w:val="196"/>
        </w:trPr>
        <w:tc>
          <w:tcPr>
            <w:tcW w:w="110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Imprimis Pharmaceuticals, Inc. filed with the Securities and Exchange Commission on September 21, 2007)</w:t>
              </w:r>
            </w:hyperlink>
          </w:p>
        </w:tc>
        <w:tc>
          <w:tcPr>
            <w:tcW w:w="2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Non-Qualified Stock Option Agreement (incorporated herein by reference to Exhibit 10.13 to the Current Report on Form 8-K of</w:t>
              </w:r>
            </w:hyperlink>
          </w:p>
        </w:tc>
      </w:tr>
      <w:tr>
        <w:trPr>
          <w:trHeight w:val="196"/>
        </w:trPr>
        <w:tc>
          <w:tcPr>
            <w:tcW w:w="1100" w:type="dxa"/>
            <w:vAlign w:val="bottom"/>
          </w:tcPr>
          <w:p>
            <w:pPr>
              <w:spacing w:after="0"/>
              <w:rPr>
                <w:sz w:val="17"/>
                <w:szCs w:val="17"/>
                <w:color w:val="auto"/>
              </w:rPr>
            </w:pPr>
          </w:p>
        </w:tc>
        <w:tc>
          <w:tcPr>
            <w:tcW w:w="7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Imprimis Pharmaceuticals, Inc. filed with the Securities and Exchange Commission on September 21, 2007)</w:t>
              </w:r>
            </w:hyperlink>
          </w:p>
        </w:tc>
        <w:tc>
          <w:tcPr>
            <w:tcW w:w="234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Restricted Stock Unit Agreement (incorporated herein by reference to Exhibit 10.4 to the Quarterly Report on Form 10-Q of</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Imprimis Pharmaceuticals, Inc. filed with the Securities and Exchange Commission on May 8, 2013)</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Employment Agreement, dated as of April 25, 2016, by and between Imprimis Pharmaceuticals, Inc. and Mark L. Baum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herein by reference to Exhibit 10.1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April 26, 2016)</w:t>
              </w:r>
            </w:hyperlink>
          </w:p>
        </w:tc>
        <w:tc>
          <w:tcPr>
            <w:tcW w:w="902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dated as of April 25, 2016, by and between Imprimis Pharmaceuticals, Inc. and Andrew R. Boll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herein by reference to Exhibit 10.4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April 26, 2016)</w:t>
              </w:r>
            </w:hyperlink>
          </w:p>
        </w:tc>
        <w:tc>
          <w:tcPr>
            <w:tcW w:w="902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Employment Agreement, dated as of April 25, 2016, by and between Imprimis Pharmaceuticals, Inc. and John P. Saharek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herein by reference to Exhibit 10.7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April 26, 2016)</w:t>
              </w:r>
            </w:hyperlink>
          </w:p>
        </w:tc>
        <w:tc>
          <w:tcPr>
            <w:tcW w:w="902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License Agreement dated April 1, 2017 between Imprimis Pharmaceuticals, Inc. and Richard L. Lindstrom, M.D.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reference to Exhibit 10.1 to the Current Report on Form 8-K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Commission on April 6, 2017)</w:t>
              </w:r>
            </w:hyperlink>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Consulting Agreement dated May 1, 2017 between Eton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Exhibit 10.8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on August 10, 2017)</w:t>
              </w:r>
            </w:hyperlink>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Consulting Agreement dated May 1, 2017 between Eton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10.9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on August 10, 2017)</w:t>
              </w:r>
            </w:hyperlink>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Consulting Agreement dated May 1, 2017 between Eton Pharmaceuticals, Inc. and John P. Saharek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Exhibit 10.10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on August 10, 2017)</w:t>
              </w:r>
            </w:hyperlink>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Consulting Agreement dated October 27, 2017 between Surface Pharmaceuticals, Inc. and Mark L. Baum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to Exhibit 10.53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on March 8, 2017)</w:t>
              </w:r>
            </w:hyperlink>
          </w:p>
        </w:tc>
        <w:tc>
          <w:tcPr>
            <w:tcW w:w="87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Consulting Agreement dated October 27, 2017 between Surface Pharmaceuticals, Inc. and Andrew R. Boll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to Exhibit 10.54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on March 8, 2017)</w:t>
              </w:r>
            </w:hyperlink>
          </w:p>
        </w:tc>
        <w:tc>
          <w:tcPr>
            <w:tcW w:w="87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Consulting Agreement dated October 27, 2017 between Surface Pharmaceuticals, Inc. and John P. Saharek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to Exhibit 10.55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on March 8, 2017)</w:t>
              </w:r>
            </w:hyperlink>
          </w:p>
        </w:tc>
        <w:tc>
          <w:tcPr>
            <w:tcW w:w="20" w:type="dxa"/>
            <w:vAlign w:val="bottom"/>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gridSpan w:val="2"/>
          </w:tcPr>
          <w:p>
            <w:pPr>
              <w:spacing w:after="0"/>
              <w:rPr>
                <w:sz w:val="24"/>
                <w:szCs w:val="24"/>
                <w:color w:val="auto"/>
              </w:rPr>
            </w:pPr>
          </w:p>
        </w:tc>
        <w:tc>
          <w:tcPr>
            <w:tcW w:w="5920" w:type="dxa"/>
            <w:vAlign w:val="bottom"/>
            <w:tcBorders>
              <w:bottom w:val="single" w:sz="8" w:color="auto"/>
            </w:tcBorders>
            <w:gridSpan w:val="5"/>
          </w:tcPr>
          <w:p>
            <w:pPr>
              <w:jc w:val="right"/>
              <w:ind w:right="2640"/>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Asset Purchase and License Agreement dated September 28, 2017 between Imprimis Pharmaceuticals, Inc. and Surface Pharmaceuticals,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 (incorporated herein by reference to Exhibit 10.1 to the Current Report on Form 8-K of Imprimis Pharmaceuticals, Inc. filed with the</w:t>
              </w:r>
            </w:hyperlink>
          </w:p>
        </w:tc>
      </w:tr>
      <w:tr>
        <w:trPr>
          <w:trHeight w:val="196"/>
        </w:trPr>
        <w:tc>
          <w:tcPr>
            <w:tcW w:w="1100" w:type="dxa"/>
            <w:vAlign w:val="bottom"/>
          </w:tcPr>
          <w:p>
            <w:pPr>
              <w:spacing w:after="0"/>
              <w:rPr>
                <w:sz w:val="17"/>
                <w:szCs w:val="17"/>
                <w:color w:val="auto"/>
              </w:rPr>
            </w:pPr>
          </w:p>
        </w:tc>
        <w:tc>
          <w:tcPr>
            <w:tcW w:w="4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Securities and Exchange Commission on May 15, 2018)</w:t>
              </w:r>
            </w:hyperlink>
          </w:p>
        </w:tc>
        <w:tc>
          <w:tcPr>
            <w:tcW w:w="608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Asset Purchase and License Agreement dated April 10, 2018 between Imprimis Pharmaceuticals, Inc. and Surface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Pharmaceuticals, Inc. (incorporated herein by reference to Exhibit 10.2 to the Current Report on Form 8-K of Imprimis Pharmaceuticals,</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 filed with the Securities and Exchange Commission on May 15, 2018)</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License Agreement dated April 10, 2018 between Imprimis Pharmaceuticals, Inc. and Richard L. Lindstrom, M.D.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(incorporated herein by reference to Exhibit 10.3 to the Quarterly Report on Form 10-Q of Imprimis Pharmaceuticals, Inc. filed with the</w:t>
              </w:r>
            </w:hyperlink>
          </w:p>
        </w:tc>
      </w:tr>
      <w:tr>
        <w:trPr>
          <w:trHeight w:val="196"/>
        </w:trPr>
        <w:tc>
          <w:tcPr>
            <w:tcW w:w="1100" w:type="dxa"/>
            <w:vAlign w:val="bottom"/>
          </w:tcPr>
          <w:p>
            <w:pPr>
              <w:spacing w:after="0"/>
              <w:rPr>
                <w:sz w:val="17"/>
                <w:szCs w:val="17"/>
                <w:color w:val="auto"/>
              </w:rPr>
            </w:pPr>
          </w:p>
        </w:tc>
        <w:tc>
          <w:tcPr>
            <w:tcW w:w="4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Securities and Exchange Commission on August 6, 2018)</w:t>
              </w:r>
            </w:hyperlink>
          </w:p>
        </w:tc>
        <w:tc>
          <w:tcPr>
            <w:tcW w:w="598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Consulting Agreement dated March 1, 2018 between Surface Pharmaceuticals, Inc. and Richard L. Lindstrom, M.D. (incorporated herein by</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9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reference to Exhibit 10.4 to the Quarterly Report on Form 10-Q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Commission on August 6, 2018)</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Consulting Agreement dated May 1, 2018 between Melt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10.1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on November 13, 2018)</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Consulting Agreement dated May 1, 2018 between Melt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10.2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November 13, 2018)</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Consulting Agreement dated May 1, 2018 between Melt Pharmaceuticals, Inc. and John P. Saharek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Exhibit 10.3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on November 13, 2018)</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Asset Purchase Agreement dated December 11, 2018 between Harrow, Inc. (fka Imprimis Pharmaceuticals, Inc.) and Melt Pharmaceuticals,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 (incorporated herein by reference to Exhibit 10.1 to the Current Report on Form 8-K of Harrow, Inc. filed with the Securities and</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Exchange Commission on February 5, 2019)</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Consulting Agreement dated June 3, 2019 between Mayfield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Exhibit 10.3 to the Quarterly Report on Form 10-Q of Harrow, Inc. filed with the Securities and Exchange Commission on August 14, 2019)</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Consulting Agreement dated June 3, 2019 between Mayfield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Exhibit 10.2 to the Quarterly Report on Form 10-Q of Harrow, Inc. filed with the Securities and Exchange Commission on August 14, 2019)</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Consulting Agreement dated June 3, 2019 between Mayfield Pharmaceuticals, Inc. and John P. Saharek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Exhibit 10.4 to the Quarterly Report on Form 10-Q of Harrow, Inc. filed with the Securities and Exchange Commission on August 14, 2019)</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Consulting Agreement dated February 13, 2020 between Stowe Pharmaceuticals, Inc. and Mark L. Baum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to Exhibit 10.64#*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3">
              <w:r>
                <w:rPr>
                  <w:rFonts w:ascii="Times New Roman" w:cs="Times New Roman" w:eastAsia="Times New Roman" w:hAnsi="Times New Roman"/>
                  <w:sz w:val="18"/>
                  <w:szCs w:val="18"/>
                  <w:color w:val="0000EE"/>
                  <w:w w:val="94"/>
                </w:rPr>
                <w:t>2020).</w:t>
              </w:r>
            </w:hyperlink>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Consulting Agreement dated February 13, 2020 between Stowe Pharmaceuticals, Inc. and Andrew R. Boll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to Exhibit 10.65#*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4">
              <w:r>
                <w:rPr>
                  <w:rFonts w:ascii="Times New Roman" w:cs="Times New Roman" w:eastAsia="Times New Roman" w:hAnsi="Times New Roman"/>
                  <w:sz w:val="18"/>
                  <w:szCs w:val="18"/>
                  <w:color w:val="0000EE"/>
                  <w:w w:val="94"/>
                </w:rPr>
                <w:t>2020).</w:t>
              </w:r>
            </w:hyperlink>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Consulting Agreement dated February 13, 2020 between Stowe Pharmaceuticals, Inc. and John P. Saharek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to Exhibit 10.66#*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5">
              <w:r>
                <w:rPr>
                  <w:rFonts w:ascii="Times New Roman" w:cs="Times New Roman" w:eastAsia="Times New Roman" w:hAnsi="Times New Roman"/>
                  <w:sz w:val="18"/>
                  <w:szCs w:val="18"/>
                  <w:color w:val="0000EE"/>
                  <w:w w:val="94"/>
                </w:rPr>
                <w:t>2020).</w:t>
              </w:r>
            </w:hyperlink>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Commercial Alliance Agreement between Eyepoint Pharmaceuticals, Inc. and ImprimisRx, LLC dated August 1, 2020 (incorporated herein</w:t>
              </w:r>
            </w:hyperlink>
          </w:p>
        </w:tc>
      </w:tr>
      <w:tr>
        <w:trPr>
          <w:trHeight w:val="20"/>
        </w:trPr>
        <w:tc>
          <w:tcPr>
            <w:tcW w:w="11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by reference to Exhibit 10.1*#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November 9, 2020).</w:t>
              </w:r>
            </w:hyperlink>
          </w:p>
        </w:tc>
        <w:tc>
          <w:tcPr>
            <w:tcW w:w="86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Expansion Term Letter Agreement dated December 6, 2021 between Eyepoint Pharmaceuticals, Inc. and ImprimisRx, LLC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herein by reference to Exhibit 10.50 to the Annual Report on Form 10-K of Harrow,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Commission on March 10, 2022)</w:t>
              </w:r>
            </w:hyperlink>
          </w:p>
        </w:tc>
      </w:tr>
      <w:tr>
        <w:trPr>
          <w:trHeight w:val="460"/>
        </w:trPr>
        <w:tc>
          <w:tcPr>
            <w:tcW w:w="1100" w:type="dxa"/>
            <w:vAlign w:val="bottom"/>
            <w:tcBorders>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gridSpan w:val="5"/>
          </w:tcPr>
          <w:p>
            <w:pPr>
              <w:spacing w:after="0"/>
              <w:rPr>
                <w:sz w:val="24"/>
                <w:szCs w:val="24"/>
                <w:color w:val="auto"/>
              </w:rPr>
            </w:pPr>
          </w:p>
        </w:tc>
        <w:tc>
          <w:tcPr>
            <w:tcW w:w="30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71</w:t>
            </w:r>
          </w:p>
        </w:tc>
        <w:tc>
          <w:tcPr>
            <w:tcW w:w="4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Mutual Termination Agreement dated October 7, 2022 between ImprimisRx and EyePoint Pharmaceuticals, Inc.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reference to Exhibit 10.3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November 14, 2022)</w:t>
              </w:r>
            </w:hyperlink>
          </w:p>
        </w:tc>
        <w:tc>
          <w:tcPr>
            <w:tcW w:w="8640" w:type="dxa"/>
            <w:vAlign w:val="bottom"/>
            <w:gridSpan w:val="11"/>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License and Supply Agreement dated July 25, 2021 between Harrow, Inc. and Sintetica, S.A. (incorporated herein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10-Q of Harrow, Inc. filed with the Securities and Exchange Commission on August 10, 2021)</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Harrow, Inc. 2017 Incentive Stock and Awards Plan (incorporated herein by reference to Exhibit 10.1 to the Registration Statement on Form</w:t>
              </w:r>
            </w:hyperlink>
          </w:p>
        </w:tc>
      </w:tr>
      <w:tr>
        <w:trPr>
          <w:trHeight w:val="196"/>
        </w:trPr>
        <w:tc>
          <w:tcPr>
            <w:tcW w:w="110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S-8 of Imprimis Pharmaceuticals, Inc. filed with the Securities and Exchange Commission on August 25, 2017)</w:t>
              </w:r>
            </w:hyperlink>
          </w:p>
        </w:tc>
        <w:tc>
          <w:tcPr>
            <w:tcW w:w="210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First Amendment to the Harrow, Inc. 2017 Incentive Stock and Awards Plan (incorporated herein by reference to Appendix A to Harrow,</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Inc.’s Definitive Proxy Statement filed with the Securities and Exchange Commission on April 23, 2021)</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Loan and Security Agreement dated September 1, 2021 among Harrow, Inc. and Melt Pharmaceuticals, Inc.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reference to Exhibit 10.1 to the Current Report on Form 8-K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September 2, 2021)</w:t>
              </w:r>
            </w:hyperlink>
          </w:p>
        </w:tc>
        <w:tc>
          <w:tcPr>
            <w:tcW w:w="872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First Amendment to Loan and Security Agreement dated April 8, 2022 between Harrow, Inc. and Melt Pharmaceuticals, Inc.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herein by reference to Exhibit 10.1 to the Quarterly Report on Form 10-Q of Harrow, Inc. filed with the Securities and Exchange</w:t>
              </w:r>
            </w:hyperlink>
          </w:p>
        </w:tc>
      </w:tr>
      <w:tr>
        <w:trPr>
          <w:trHeight w:val="196"/>
        </w:trPr>
        <w:tc>
          <w:tcPr>
            <w:tcW w:w="11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Commission on November 14, 2022)</w:t>
              </w:r>
            </w:hyperlink>
          </w:p>
        </w:tc>
        <w:tc>
          <w:tcPr>
            <w:tcW w:w="74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Second Amendment to Loan and Security Agreement dated September 21, 2022 between Harrow, Inc. and Melt Pharmaceuticals, Inc.</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(incorporated herein by reference to Exhibit 10.2 to the Quarterly Report on Form 10-Q of Harrow, Inc. filed with the Securities and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Exchange Commission on November 14, 2022)</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Asset Purchase Agreement dated December 17, 2021 between Harrow, Inc. and Novartis Technology, LLC and Novartis Ophthalmics AG</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(incorporated herein by reference to Exhibit 10.51 to the Annual Report on Form 10-K of Harrow, Inc. filed with the Securities and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Exchange Commission on March 10, 2022).</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Asset Purchase Agreement dated December 13, 2022 between Harrow, Inc. and Novartis Technology, LLC and Novartis Innovative</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Therapies AG (incorporated herein by reference to Exhibit 10.1 to the Current Report on Form 8-K of Harrow, Inc. filed with the Securities</w:t>
              </w:r>
            </w:hyperlink>
          </w:p>
        </w:tc>
      </w:tr>
      <w:tr>
        <w:trPr>
          <w:trHeight w:val="196"/>
        </w:trPr>
        <w:tc>
          <w:tcPr>
            <w:tcW w:w="110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and Exchange Commission on December 14, 2022).</w:t>
              </w:r>
            </w:hyperlink>
          </w:p>
        </w:tc>
        <w:tc>
          <w:tcPr>
            <w:tcW w:w="638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Loan and Security Agreement dated December 14, 2022 between Harrow, Inc. and B. Riley Commercial Capital LLC (incorporated herein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by reference to Exhibit 10.1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May 11, 2023).</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Credit and Guaranty Agreement dated March 27, 2023 between Harrow, Inc. and Oaktree Fund Administration, LLC (incorporated herein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by reference to Exhibit 10.2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May 11, 2023).</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First Amendment to Credit Agreement and Guaranty dated July 18, 2023 to the Credit Agreement and Guaranty dated March 27, 2023</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between Harrow, Inc. and Oaktree Fund Administration, LLC (incorporated herein by reference to Exhibit 10.1 to the Quarterly Report on</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10-Q of Harrow, Inc. filed with the Securities and Exchange Commission on August 9, 2023).</w:t>
              </w:r>
            </w:hyperlink>
          </w:p>
        </w:tc>
      </w:tr>
      <w:tr>
        <w:trPr>
          <w:trHeight w:val="20"/>
        </w:trPr>
        <w:tc>
          <w:tcPr>
            <w:tcW w:w="110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Second Amendment to License and Supply Agreement dated August 4, 2023 between Harrow IP, LLC and Sintetica S.A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herein by reference to Exhibit 10.2 to the Quarterly Report on Form 10-Q of Harrow, Inc. filed with the Securities and Exchange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Commission on November 13, 2023).</w:t>
              </w:r>
            </w:hyperlink>
          </w:p>
        </w:tc>
        <w:tc>
          <w:tcPr>
            <w:tcW w:w="20" w:type="dxa"/>
            <w:vAlign w:val="bottom"/>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2720" w:type="dxa"/>
            <w:vAlign w:val="bottom"/>
            <w:tcBorders>
              <w:top w:val="single" w:sz="8" w:color="0000EE"/>
              <w:bottom w:val="single" w:sz="8" w:color="auto"/>
            </w:tcBorders>
            <w:gridSpan w:val="5"/>
          </w:tcPr>
          <w:p>
            <w:pPr>
              <w:spacing w:after="0"/>
              <w:rPr>
                <w:sz w:val="24"/>
                <w:szCs w:val="24"/>
                <w:color w:val="auto"/>
              </w:rPr>
            </w:pPr>
          </w:p>
        </w:tc>
        <w:tc>
          <w:tcPr>
            <w:tcW w:w="4480" w:type="dxa"/>
            <w:vAlign w:val="bottom"/>
            <w:tcBorders>
              <w:bottom w:val="single" w:sz="8" w:color="auto"/>
            </w:tcBorders>
            <w:gridSpan w:val="4"/>
          </w:tcPr>
          <w:p>
            <w:pPr>
              <w:jc w:val="right"/>
              <w:ind w:right="258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8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Third Amendment to License and Supply Agreement dated February 6, 2024 between Harrow IP, LLC and Sintetica S.A</w:t>
            </w:r>
          </w:p>
        </w:tc>
        <w:tc>
          <w:tcPr>
            <w:tcW w:w="144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82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Annual Report)</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L. Baum, Chief Executive Officer, pursuant to Rule 13a-14(a) or 15d-14(a) of the Securities and Exchange Act of</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Andrew R. Boll, Chief Financial Officer, pursuant to Rule 13a-14(a) or 15d-14(a) of the Securities and Exchange Act of</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 Baum, Chief Executive Officer.</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Andrew R. Boll, Chief Financial Officer.</w:t>
            </w:r>
          </w:p>
        </w:tc>
      </w:tr>
      <w:tr>
        <w:trPr>
          <w:trHeight w:val="20"/>
        </w:trPr>
        <w:tc>
          <w:tcPr>
            <w:tcW w:w="110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Harrow, Inc. Policy Regarding the Mandatory Recovery of Compensation.</w:t>
            </w:r>
          </w:p>
        </w:tc>
      </w:tr>
      <w:tr>
        <w:trPr>
          <w:trHeight w:val="20"/>
        </w:trPr>
        <w:tc>
          <w:tcPr>
            <w:tcW w:w="1100" w:type="dxa"/>
            <w:vAlign w:val="bottom"/>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Instant Document - the instance document does not appear in the Interactive Data File because its XBRL tags are embedded within</w:t>
            </w:r>
          </w:p>
        </w:tc>
      </w:tr>
      <w:tr>
        <w:trPr>
          <w:trHeight w:val="216"/>
        </w:trPr>
        <w:tc>
          <w:tcPr>
            <w:tcW w:w="110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00" w:hanging="1092"/>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w:t>
      </w:r>
    </w:p>
    <w:p>
      <w:pPr>
        <w:spacing w:after="0" w:line="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7" w:lineRule="exact"/>
        <w:rPr>
          <w:sz w:val="20"/>
          <w:szCs w:val="20"/>
          <w:color w:val="auto"/>
        </w:rPr>
      </w:pPr>
    </w:p>
    <w:p>
      <w:pPr>
        <w:ind w:right="6560" w:firstLine="8"/>
        <w:spacing w:after="0" w:line="261"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ind w:left="3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19, 2024</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Adrienne L. Graves</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Teresa F. Sparks</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Teresa F. Sparks</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Lauren P. Silvernail</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Perry J. Sternberg</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Makary</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Martin Makary</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7"/>
              </w:rPr>
              <w:t>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5720" w:type="dxa"/>
            <w:vAlign w:val="bottom"/>
            <w:gridSpan w:val="6"/>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170)</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2023 and 2022</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and 2022</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4"/>
          </w:tcPr>
          <w:p>
            <w:pPr>
              <w:jc w:val="center"/>
              <w:ind w:right="234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6" w:name="page77"/>
    <w:bookmarkEnd w:id="7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Harrow, Inc. and subsidiaries (the “Company”) as of December 31, 2023 and 2022, the related consolidated statements of operations, stockholders’ equity and cash flows for each of the two years in the period ended December 31, 2023, and the related notes (collectively referred to as the “consolidated financial statements”). In our opinion, the consolidated financial statements referred to above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Deductions – Branded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revenues from branded product sales are recognized net of accruals for estimated rebates, wholesaler chargebacks, discounts, copay assistance and other deductions (collectively, “sales deductions”), which are established at the time of sale. Management’s estimate of sales deductions for branded products is based on the inventory levels in the distribution channel as provided by wholesalers, as well as the actual average selling price for each product which is impacted by changes in customer mix, changes in negotiated terms with customers, and changes in the volume of purchases. In addition, management utilizes the services of a third-party professional services firm to estimate rebates and chargebacks associated with sales of its branded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estimates of accruals for sales deductions as a critical audit matter given the limited sales history of the Company’s branded products and the significant judgment required by management with respect to the measurement uncertainty, as the calculation of the sales deductions includes assumptions such as average selling price, purchasing trends of wholesalers and historical branded product sales used to predict future sales. This required a high degree of auditor judgment and an increased extent of audit effort in applying the procedures related to management’s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management’s estimated branded product sales deductions, we obtained management’s calculations for the respective estimates and performed the following procedures, among others. We tested management’s estimation process for determining accruals for product sales deductions by developing an independent expectation of the estimated accrual rates, including comparison of rates used in management’s analysis to external industry data, historical actual information, and executed third-party contracts. We evaluated management’s historic ability to accurately estimate the sales deduction accruals by retrospectively comparing historically recorded accruals to the actual amounts that were ultimately claimed by the wholesalers. In addition, we assessed subsequent events to determine whether there was any new information that would require adjustment to the accruals.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74,085,000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96,270,000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8,681,000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36,261,000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10,867,000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9,588,000</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139,482,000</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118,260,000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3,521,000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2,138,000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6,785,000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159,906,000</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23,725,000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332,000</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157,378,000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24,581,000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13,771,000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rebates and copay assistance</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18,432,000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5,450,000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113,000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806,000</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6,524,000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net of current portion</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2,713,000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unamortized debt discount and issuance costs</w:t>
            </w:r>
          </w:p>
        </w:tc>
        <w:tc>
          <w:tcPr>
            <w:tcW w:w="1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183,172,000</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104,174,000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35,168,260 and 29,901,530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2023 and December 31, 2022, respectively</w:t>
            </w:r>
          </w:p>
        </w:tc>
        <w:tc>
          <w:tcPr>
            <w:tcW w:w="1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204,635,000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137,058,000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(133,904,000)</w:t>
            </w:r>
          </w:p>
        </w:tc>
        <w:tc>
          <w:tcPr>
            <w:tcW w:w="10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(109,493,000)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HARROW,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10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27,240,000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312,164,000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157,378,000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color w:val="auto"/>
              </w:rPr>
              <w:t>For the Years Ended</w:t>
            </w:r>
          </w:p>
        </w:tc>
        <w:tc>
          <w:tcPr>
            <w:tcW w:w="0" w:type="dxa"/>
            <w:vAlign w:val="bottom"/>
          </w:tcPr>
          <w:p>
            <w:pPr>
              <w:spacing w:after="0"/>
              <w:rPr>
                <w:sz w:val="1"/>
                <w:szCs w:val="1"/>
                <w:color w:val="auto"/>
              </w:rPr>
            </w:pPr>
          </w:p>
        </w:tc>
      </w:tr>
      <w:tr>
        <w:trPr>
          <w:trHeight w:val="241"/>
        </w:trPr>
        <w:tc>
          <w:tcPr>
            <w:tcW w:w="6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12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117,447,000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83,524,000</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12,746,000</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5,071,000</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130,193,000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88,595,000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(39,640,000)</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(25,383,000)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90,553,000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63,212,000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83,090,000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58,243,000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6,652,000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3,050,000</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380,000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90,122,000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61,293,000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(21,324,000)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(7,244,000)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(11,133,000)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gain (loss) from Eton Pharmaceuticals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3,092,000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(2,914,000)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5,259,000</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(444,000)</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9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(24,141,000</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(15,930,000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provision</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(701,000)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Harrow, Inc.</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9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9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32,616,777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27,460,968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860" w:type="dxa"/>
            <w:vAlign w:val="bottom"/>
          </w:tcPr>
          <w:p>
            <w:pPr>
              <w:spacing w:after="0"/>
              <w:rPr>
                <w:sz w:val="22"/>
                <w:szCs w:val="22"/>
                <w:color w:val="auto"/>
              </w:rPr>
            </w:pPr>
          </w:p>
        </w:tc>
        <w:tc>
          <w:tcPr>
            <w:tcW w:w="19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2"/>
                <w:szCs w:val="22"/>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Harrow, Inc.</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Noncontrolling</w:t>
            </w:r>
          </w:p>
        </w:tc>
        <w:tc>
          <w:tcPr>
            <w:tcW w:w="140" w:type="dxa"/>
            <w:vAlign w:val="bottom"/>
          </w:tcPr>
          <w:p>
            <w:pPr>
              <w:spacing w:after="0"/>
              <w:rPr>
                <w:sz w:val="22"/>
                <w:szCs w:val="22"/>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11"/>
        </w:trPr>
        <w:tc>
          <w:tcPr>
            <w:tcW w:w="28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Par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Paid-in</w:t>
            </w:r>
          </w:p>
        </w:tc>
        <w:tc>
          <w:tcPr>
            <w:tcW w:w="240" w:type="dxa"/>
            <w:vAlign w:val="bottom"/>
          </w:tcPr>
          <w:p>
            <w:pPr>
              <w:spacing w:after="0"/>
              <w:rPr>
                <w:sz w:val="18"/>
                <w:szCs w:val="18"/>
                <w:color w:val="auto"/>
              </w:rPr>
            </w:pP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Accumulated</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Interest</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Stockholders’</w:t>
            </w:r>
          </w:p>
        </w:tc>
      </w:tr>
      <w:tr>
        <w:trPr>
          <w:trHeight w:val="241"/>
        </w:trPr>
        <w:tc>
          <w:tcPr>
            <w:tcW w:w="28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12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Deficit</w:t>
            </w: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0"/>
                <w:szCs w:val="20"/>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Equity</w:t>
            </w:r>
          </w:p>
        </w:tc>
      </w:tr>
      <w:tr>
        <w:trPr>
          <w:trHeight w:val="216"/>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26,902,763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$ 106,666,000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(95,407,000)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consultant stock-based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19,679</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20"/>
                <w:szCs w:val="20"/>
                <w:color w:val="auto"/>
              </w:rPr>
            </w:pPr>
          </w:p>
        </w:tc>
      </w:tr>
      <w:tr>
        <w:trPr>
          <w:trHeight w:val="198"/>
        </w:trPr>
        <w:tc>
          <w:tcPr>
            <w:tcW w:w="2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221,086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586,000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587,000</w:t>
            </w:r>
          </w:p>
        </w:tc>
        <w:tc>
          <w:tcPr>
            <w:tcW w:w="80" w:type="dxa"/>
            <w:vAlign w:val="bottom"/>
            <w:shd w:val="clear" w:color="auto" w:fill="CCEEFF"/>
          </w:tcPr>
          <w:p>
            <w:pPr>
              <w:spacing w:after="0"/>
              <w:rPr>
                <w:sz w:val="20"/>
                <w:szCs w:val="20"/>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306,347</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185,000</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 of equity awards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(109,771)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(876,000)</w:t>
            </w: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shares from</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net of offering costs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2,376,426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22,653,000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22,655,000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22,655,000</w:t>
            </w:r>
          </w:p>
        </w:tc>
        <w:tc>
          <w:tcPr>
            <w:tcW w:w="80" w:type="dxa"/>
            <w:vAlign w:val="bottom"/>
            <w:shd w:val="clear" w:color="auto" w:fill="CCEEFF"/>
          </w:tcPr>
          <w:p>
            <w:pPr>
              <w:spacing w:after="0"/>
              <w:rPr>
                <w:sz w:val="20"/>
                <w:szCs w:val="20"/>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7,974,000</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7,974,000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7,974,000</w:t>
            </w:r>
          </w:p>
        </w:tc>
        <w:tc>
          <w:tcPr>
            <w:tcW w:w="80" w:type="dxa"/>
            <w:vAlign w:val="bottom"/>
          </w:tcPr>
          <w:p>
            <w:pPr>
              <w:spacing w:after="0"/>
              <w:rPr>
                <w:sz w:val="18"/>
                <w:szCs w:val="18"/>
                <w:color w:val="auto"/>
              </w:rPr>
            </w:pPr>
          </w:p>
        </w:tc>
      </w:tr>
      <w:tr>
        <w:trPr>
          <w:trHeight w:val="25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(14,086,000)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(14,086,000)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(14,086,000)</w:t>
            </w:r>
          </w:p>
        </w:tc>
      </w:tr>
      <w:tr>
        <w:trPr>
          <w:trHeight w:val="203"/>
        </w:trPr>
        <w:tc>
          <w:tcPr>
            <w:tcW w:w="28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29,901,530</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$ 30,000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$ 137,058,000</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(109,493,000)</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27,595,000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(355,000)</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Public offering, net of offering</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3,887,324</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64,516,000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64,520,000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64,520,000</w:t>
            </w:r>
          </w:p>
        </w:tc>
        <w:tc>
          <w:tcPr>
            <w:tcW w:w="80" w:type="dxa"/>
            <w:vAlign w:val="bottom"/>
            <w:shd w:val="clear" w:color="auto" w:fill="CCEEFF"/>
          </w:tcPr>
          <w:p>
            <w:pPr>
              <w:spacing w:after="0"/>
              <w:rPr>
                <w:sz w:val="20"/>
                <w:szCs w:val="20"/>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consultant stock-based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20"/>
                <w:szCs w:val="20"/>
                <w:color w:val="auto"/>
              </w:rPr>
            </w:pPr>
          </w:p>
        </w:tc>
      </w:tr>
      <w:tr>
        <w:trPr>
          <w:trHeight w:val="198"/>
        </w:trPr>
        <w:tc>
          <w:tcPr>
            <w:tcW w:w="2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235,975</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294,000</w:t>
            </w:r>
          </w:p>
        </w:tc>
        <w:tc>
          <w:tcPr>
            <w:tcW w:w="80" w:type="dxa"/>
            <w:vAlign w:val="bottom"/>
            <w:shd w:val="clear" w:color="auto" w:fill="CCEEFF"/>
          </w:tcPr>
          <w:p>
            <w:pPr>
              <w:spacing w:after="0"/>
              <w:rPr>
                <w:sz w:val="20"/>
                <w:szCs w:val="20"/>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 and PSUs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1,847,876</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2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settlement of equity awards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(714,445)</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(13,012,000)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(13,013,000)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(13,013,000)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15,696,000</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15,696,000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15,696,000</w:t>
            </w:r>
          </w:p>
        </w:tc>
        <w:tc>
          <w:tcPr>
            <w:tcW w:w="80" w:type="dxa"/>
            <w:vAlign w:val="bottom"/>
          </w:tcPr>
          <w:p>
            <w:pPr>
              <w:spacing w:after="0"/>
              <w:rPr>
                <w:sz w:val="18"/>
                <w:szCs w:val="18"/>
                <w:color w:val="auto"/>
              </w:rPr>
            </w:pPr>
          </w:p>
        </w:tc>
      </w:tr>
      <w:tr>
        <w:trPr>
          <w:trHeight w:val="25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(24,411,000)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(24,411,000)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(24,411,000)</w:t>
            </w:r>
          </w:p>
        </w:tc>
      </w:tr>
      <w:tr>
        <w:trPr>
          <w:trHeight w:val="216"/>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35,168,260</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$ 35,000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204,635,000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(133,904,000</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70,766,000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70,411,000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color w:val="auto"/>
              </w:rPr>
              <w:t>For the Years Ended</w:t>
            </w:r>
          </w:p>
        </w:tc>
        <w:tc>
          <w:tcPr>
            <w:tcW w:w="0" w:type="dxa"/>
            <w:vAlign w:val="bottom"/>
          </w:tcPr>
          <w:p>
            <w:pPr>
              <w:spacing w:after="0"/>
              <w:rPr>
                <w:sz w:val="1"/>
                <w:szCs w:val="1"/>
                <w:color w:val="auto"/>
              </w:rPr>
            </w:pPr>
          </w:p>
        </w:tc>
      </w:tr>
      <w:tr>
        <w:trPr>
          <w:trHeight w:val="241"/>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(24,411,000)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 and software development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1,530,000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1,477,000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10,082,000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1,578,000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728,000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332,000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4,097,000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782,000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(gain) loss from investment in Eton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(3,092,000)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2,914,000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11,133,000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5,465,000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15,696,000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7,974,000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(5,259,000)</w:t>
            </w: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(30,344,000)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(4,326,000)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(2,324,000)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(5,647,000)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accrued rebates and copay assistance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31,795,000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933,000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1,425,000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936,000</w:t>
            </w:r>
          </w:p>
        </w:tc>
        <w:tc>
          <w:tcPr>
            <w:tcW w:w="0" w:type="dxa"/>
            <w:vAlign w:val="bottom"/>
          </w:tcPr>
          <w:p>
            <w:pPr>
              <w:spacing w:after="0"/>
              <w:rPr>
                <w:sz w:val="1"/>
                <w:szCs w:val="1"/>
                <w:color w:val="auto"/>
              </w:rPr>
            </w:pPr>
          </w:p>
        </w:tc>
      </w:tr>
      <w:tr>
        <w:trPr>
          <w:trHeight w:val="237"/>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(38,000)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97,000</w:t>
            </w:r>
          </w:p>
        </w:tc>
        <w:tc>
          <w:tcPr>
            <w:tcW w:w="0" w:type="dxa"/>
            <w:vAlign w:val="bottom"/>
          </w:tcPr>
          <w:p>
            <w:pPr>
              <w:spacing w:after="0"/>
              <w:rPr>
                <w:sz w:val="1"/>
                <w:szCs w:val="1"/>
                <w:color w:val="auto"/>
              </w:rPr>
            </w:pPr>
          </w:p>
        </w:tc>
      </w:tr>
      <w:tr>
        <w:trPr>
          <w:trHeight w:val="236"/>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non-ophthalmology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product NDAs, marketing authorizations and patents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(151,075,000)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(1,460,000)</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(2,597,000)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(152,553,000</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11.875% notes payable, net of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4,961,000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31,738,000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Oaktree Loan, net of costs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73,552,000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payroll taxes upon vesting of PSUs, RSUs and exercise of stock options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(13,013,000)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642,000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 Riley senior secured note, net of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55,879,000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B. Riley senior secured note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(59,750,000)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64,520,000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22,655,000</w:t>
            </w: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126,528,000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54,141,000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96,270,000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42,167,000</w:t>
            </w:r>
          </w:p>
        </w:tc>
        <w:tc>
          <w:tcPr>
            <w:tcW w:w="0" w:type="dxa"/>
            <w:vAlign w:val="bottom"/>
          </w:tcPr>
          <w:p>
            <w:pPr>
              <w:spacing w:after="0"/>
              <w:rPr>
                <w:sz w:val="1"/>
                <w:szCs w:val="1"/>
                <w:color w:val="auto"/>
              </w:rPr>
            </w:pPr>
          </w:p>
        </w:tc>
      </w:tr>
      <w:tr>
        <w:trPr>
          <w:trHeight w:val="230"/>
        </w:trPr>
        <w:tc>
          <w:tcPr>
            <w:tcW w:w="7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18,887,000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6,480,000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7580" w:type="dxa"/>
            <w:vAlign w:val="bottom"/>
            <w:shd w:val="clear" w:color="auto" w:fill="CCEEFF"/>
          </w:tcPr>
          <w:p>
            <w:pPr>
              <w:ind w:left="360"/>
              <w:spacing w:after="0" w:line="151" w:lineRule="exact"/>
              <w:rPr>
                <w:sz w:val="20"/>
                <w:szCs w:val="20"/>
                <w:color w:val="auto"/>
              </w:rPr>
            </w:pPr>
            <w:r>
              <w:rPr>
                <w:rFonts w:ascii="Times New Roman" w:cs="Times New Roman" w:eastAsia="Times New Roman" w:hAnsi="Times New Roman"/>
                <w:sz w:val="17"/>
                <w:szCs w:val="17"/>
                <w:color w:val="auto"/>
              </w:rPr>
              <w:t>SUPPLEMENTAL DISCLOSURES OF NON-CASH INVESTING AND FINANCING</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of deferred financing costs</w:t>
            </w:r>
          </w:p>
        </w:tc>
        <w:tc>
          <w:tcPr>
            <w:tcW w:w="6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1,950,000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Accrual of exit fee related to Oaktree Loan</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2,713,000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Insurance premium financed</w:t>
            </w: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873,000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906,000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Purchase of intangible asset included in accounts payable and accrued expenses</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 included in accounts payable and accrued expenses</w:t>
            </w: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2,188,000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785"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that are marketed under its Harrow name. The Company also owns and operates ImprimisRx, one of the nation’s leading ophthalmology-focused pharmaceutical-compounding businesses.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interests in Surface Ophthalmics, Inc. (“Surface”) and Melt Pharmaceuticals, Inc. (“Melt”), both companies that began as subsidiaries of Harrow. Harrow also owns royalty rights in various drug candidates being developed by Surface and Melt.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September 29, 2023, the Company changed its corporate name from Harrow Health, Inc. to Harrow, Inc. pursuant to a Certificate of Amendment to the Company’s Amended and Restated Certificate of Incorporation filed with the Secretary of State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has prepared the accompanying consolidated financial statements in accordance with accounting principles generally accepted in the United States of America (“GAAP”). The accompanying consolidated financial statements include the accounts of the Company and its wholly owned and majority-owned subsidiaries.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credit losses,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 assets, recoverability of long-lived assets and goodwill, valuations and purchase price allocations related to business combinations and asset acquisitions, fair value of loans payable, and valuation of stock-based transactions with employees and non-employees.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Uncertainties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at December 31, 2023 and 2022 are net of allowances for credit losses of $371,000 and $73,000, respectively. The following table provides a roll-forward of the allowance for credit losses that is deducted from the amortized cost basis of accounts receivable to present the net amount expected to be collected at December 31, 2023 and 2022:</w:t>
      </w:r>
    </w:p>
    <w:p>
      <w:pPr>
        <w:sectPr>
          <w:pgSz w:w="11900" w:h="16838" w:orient="portrait"/>
          <w:cols w:equalWidth="0" w:num="1">
            <w:col w:w="11240"/>
          </w:cols>
          <w:pgMar w:left="320" w:top="684"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2773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934" w:hanging="934"/>
        <w:spacing w:after="0"/>
        <w:tabs>
          <w:tab w:leader="none" w:pos="9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73,000</w:t>
      </w:r>
    </w:p>
    <w:p>
      <w:pPr>
        <w:spacing w:after="0" w:line="27" w:lineRule="exact"/>
        <w:rPr>
          <w:rFonts w:ascii="Times New Roman" w:cs="Times New Roman" w:eastAsia="Times New Roman" w:hAnsi="Times New Roman"/>
          <w:sz w:val="18"/>
          <w:szCs w:val="18"/>
          <w:color w:val="auto"/>
        </w:rPr>
      </w:pPr>
    </w:p>
    <w:p>
      <w:pPr>
        <w:ind w:left="8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332,000</w:t>
      </w:r>
    </w:p>
    <w:p>
      <w:pPr>
        <w:spacing w:after="0" w:line="9" w:lineRule="exact"/>
        <w:rPr>
          <w:rFonts w:ascii="Times New Roman" w:cs="Times New Roman" w:eastAsia="Times New Roman" w:hAnsi="Times New Roman"/>
          <w:sz w:val="18"/>
          <w:szCs w:val="18"/>
          <w:color w:val="auto"/>
        </w:rPr>
      </w:pPr>
    </w:p>
    <w:p>
      <w:pPr>
        <w:ind w:left="87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(34,000)</w:t>
      </w:r>
    </w:p>
    <w:p>
      <w:pPr>
        <w:spacing w:after="0" w:line="45" w:lineRule="exact"/>
        <w:rPr>
          <w:sz w:val="20"/>
          <w:szCs w:val="20"/>
          <w:color w:val="auto"/>
        </w:rPr>
      </w:pPr>
    </w:p>
    <w:p>
      <w:pPr>
        <w:ind w:left="854" w:hanging="854"/>
        <w:spacing w:after="0"/>
        <w:tabs>
          <w:tab w:leader="none" w:pos="8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86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4526" w:space="720"/>
            <w:col w:w="5994"/>
          </w:cols>
          <w:pgMar w:left="320" w:top="684" w:right="3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Financial Accounting Standards Board (“FASB”) Accounting Standards Codification (“ASC”).</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The Company recognizes and measures goodwill as of the acquisition date, as the excess of the fair value of the consideration paid over the fair value of the identified net assets acquired.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for the Company’s business acquisitions may include future payments that are contingent upon the occurrence of a particular event or events. The obligation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consolidated statement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determined to be an asset acquisition, the Company accounts for the transaction under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which requires the acquiring entity in an asset acquisition to recognize assets acquired and liabilities assumed based on the cost to the acquiring entity or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clearly evident and more reliably measurable. The obligation for contingent consideration payments is recorded when probable and reasonably estimable. Contingent consideration recognized is included in the initial cost of the assets acquired and any subsequent changes in the recorded amount of contingent consideration are recognized as an adjustment to the cost basis of the acquired assets and allocated to the acquired assets based on the relative fair value at the date of acquisition. Goodwill is not recognized in an asset acquisition and any excess consideration transferred over the fair value of the net assets acquired is allocated to the identifiable assets based on relative fair values.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that are considered as well, such as decision-making rights. When applicable, and in prior periods, the Company includes the amount of net loss attributable to noncontrolling interests in consolidated net loss on the face of the consolidated statements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owners acting in their capacity as owners, showing separately contributions from and distributions to owners;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component of other income or loss.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noncontrolling interests in the consolidated balance sheets as of December 31, 2023 and 2022, relate to consolidated subsidiaries that the Company owns a controlling interest in, but not 100% of the equity interests, and that no longer have active operations, assets and related financial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at the time of transfer of promised goods or services to customers in an amount that reflects the consideration to which the Company expects to be entitled in exchange for those goods or services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includes direct and indirect costs to manufacture formulations and other products sold, including active pharmaceutical ingredients, personnel costs, packaging, storage, royalties, shipping and handling costs, depreciation and amortization of certain intangible assets and the write-off of obsolete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notes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 At December 31, 2022, the Company recorded deferred financing costs of $1,950,000 related to the B. Riley Loan and Security Agreement (the “BR Loan”), which was recorded as a debt issuance cost and net of the related BR Loan when it funded in January 2023 (see Note 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If costs are not capitalized they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the Company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provisions of Financial Accounting Standards Board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2023 and 2022, there was $2,853,000 and $0, respectively, of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2023 and 2022, and has not recognized interest and/or penalties in the consolidated statements of operations for the years ended December 31, 2023 and 2022. The Company is subject to taxation in the United States, California, New Jersey, Tennessee, and various other states. The Company’s tax years since 2000 may be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short-term, highly liquid investments with maturities of three months or less at the time of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financial institutions deemed by management to be of high credit quality. The Federal Deposit Insurance Corporation (“FDIC”) provides basic deposit coverage with limits up to $250,000 per owner. The Company believes the majority of its cash deposits are covered under FDIC limits, however there are various accounts in which the Company has deposits in excess of FDIC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Eton Pharmaceuticals,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investment in Eton Pharmaceuticals, Inc. (“Eton”) consists of common stock with a readily determinable fair value which is carried at fair value with changes in fair value recognized in earnings.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recorded an unrealized holding gain/(loss) from its Eton common stock position of $3,092,000 and $(2,914,000), during the years ended December 31, 2023 and 2022, respectively, related to the change in fair market value of its investment in Eton during the measurement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owned 1,982,000 shares of Eton common stock, which represents less than 10% of the equity interests of Eton. At December 31, 2023 and 2022, the fair market value of Eton’s common stock was $4.38 and $2.82 per share, respectively. As of December 31, 2023 and 2022, the fair market value of the Company’s investment in Eton was $8,681,000 and $5,589,000,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and contractual adjustments. The accounts receivable balance primarily includes amounts due from customers the Company has invoiced or from third-party providers (e.g., insurance companies and governmental agencies), but for which payment has not been received. Our gross product revenues are subject to a variety of contractual deductions, which generally are estimated and recorded in the same period that the revenues are recognized. These deductions represent estimates of the related obligations and, as such, knowledge and judgment are required when estimating the impact of these revenue deductions on gross sales for a reporting period. Accounts receivable at December 31, 2023 are presented net of allowances for credit losses of $371,000 and $14,875,000 for contractual adjustments (in aggregate $15,146,000) and at December 31, 2022, net of allowances for credit losses of $73,000 and $706,000 for contractual adjustments (in aggregate $779,000).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3,500,000 shares of common stock and 2,334,256 shares of preferred stock of Melt (representing in aggregate approximately 47% of the equity interests as of December 31, 2023).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 During the year ended December 31, 2021, the Company reduced the carrying value of its investment in Melt to $0 as a result of the Company recording its share of equity losses in Melt since its deconsolidation in 2019. As of December 31, 2022, and at the time of entering into the Melt Loan Agreement (see Note 5),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treated interest paid in kind on the Melt Loan Agreement as an in-substance capital contribution and reduced its investment in Melt accordingly, rather than recording 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During the year ended December 31, 2023, the Melt Loan Agreement (as defined in Note 5) was settled in exchange for Melt preferred stock (see Note 5 for loan settlement disclosure). The Company reduced the Melt Loan Agreement and subsequent preferred stock investment in Melt to $0 as a result of the Company recording its share of equity losses of Melt. The Company has no other investments in Melt and no other requirements to advance funds to Melt.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Share of Equity</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Cost Basis</w:t>
            </w:r>
          </w:p>
        </w:tc>
        <w:tc>
          <w:tcPr>
            <w:tcW w:w="180" w:type="dxa"/>
            <w:vAlign w:val="bottom"/>
          </w:tcPr>
          <w:p>
            <w:pPr>
              <w:spacing w:after="0"/>
              <w:rPr>
                <w:sz w:val="20"/>
                <w:szCs w:val="20"/>
                <w:color w:val="auto"/>
              </w:rPr>
            </w:pPr>
          </w:p>
        </w:tc>
        <w:tc>
          <w:tcPr>
            <w:tcW w:w="18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Method Losses</w:t>
            </w: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18,397,000</w:t>
            </w:r>
          </w:p>
        </w:tc>
        <w:tc>
          <w:tcPr>
            <w:tcW w:w="180" w:type="dxa"/>
            <w:vAlign w:val="bottom"/>
          </w:tcPr>
          <w:p>
            <w:pPr>
              <w:spacing w:after="0"/>
              <w:rPr>
                <w:sz w:val="20"/>
                <w:szCs w:val="20"/>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(18,397,000)</w:t>
            </w:r>
          </w:p>
        </w:tc>
        <w:tc>
          <w:tcPr>
            <w:tcW w:w="1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rPr>
              <w:t>In-substance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Share of Equity</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Paid-in-Kind</w:t>
            </w:r>
          </w:p>
        </w:tc>
        <w:tc>
          <w:tcPr>
            <w:tcW w:w="100" w:type="dxa"/>
            <w:vAlign w:val="bottom"/>
          </w:tcPr>
          <w:p>
            <w:pPr>
              <w:spacing w:after="0"/>
              <w:rPr>
                <w:sz w:val="18"/>
                <w:szCs w:val="18"/>
                <w:color w:val="auto"/>
              </w:rPr>
            </w:pPr>
          </w:p>
        </w:tc>
        <w:tc>
          <w:tcPr>
            <w:tcW w:w="13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Capital</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Basis</w:t>
            </w:r>
          </w:p>
        </w:tc>
        <w:tc>
          <w:tcPr>
            <w:tcW w:w="154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Method Losses</w:t>
            </w:r>
          </w:p>
        </w:tc>
        <w:tc>
          <w:tcPr>
            <w:tcW w:w="10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Contributions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 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13,500,000</w:t>
            </w:r>
          </w:p>
        </w:tc>
        <w:tc>
          <w:tcPr>
            <w:tcW w:w="24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2,484,000</w:t>
            </w:r>
          </w:p>
        </w:tc>
        <w:tc>
          <w:tcPr>
            <w:tcW w:w="10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(2,484,000)</w:t>
            </w:r>
          </w:p>
        </w:tc>
        <w:tc>
          <w:tcPr>
            <w:tcW w:w="114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recorded $89,000 and $139,000,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 and no other requirements to advance funds to Surface.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December 31, 2023 and 2022:</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Share of</w:t>
      </w: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13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Equity Method</w:t>
            </w:r>
          </w:p>
        </w:tc>
        <w:tc>
          <w:tcPr>
            <w:tcW w:w="2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r>
      <w:tr>
        <w:trPr>
          <w:trHeight w:val="241"/>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w:t>
            </w:r>
          </w:p>
        </w:tc>
        <w:tc>
          <w:tcPr>
            <w:tcW w:w="13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rPr>
              <w:t>Losses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3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5,320,000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(5,320,000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finance lease equipment are amortized over the estimated useful life or remaining lease term, whichever is shorter. Computer hardware and furniture and equipment are depreciated over three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of internal-use software. Costs incurred during the application development phase are capitalized only when the Company believes it is probable the development will result in new or additional functionality. The types of costs capitalized during the application development phase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two to five years. When internal-use software that was previously capitalized is abandoned, the cost less the accumulated amortization, if any, is recorded as amortization expense. Fully amortized capitalized internal-use software costs are removed from their respective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Acquired product rights, including new drug applications (“NDAs”), are amortized over their estimated useful lives, generally 4-15 years,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the Company’s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Company’s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goodwill is considered impaired and the Company then performs the second step of the impairment test to measure the impairment loss. If the fair value of a reporting unit exceeds its carrying amount, no further analysis is required.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Step 2. If the carrying amount of the reporting unit exceeds its fair value, an impairment loss will be recognized in an amount equal to the excess, limited to the total amount of goodwill allocated to that reporting unit.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its assessment in 2023, the Company concluded that goodwill is not impaired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long-lived assets, such as property, plant and equipment, purchased intangibles subject to amortization and patents and trademarks, are reviewed for impairment whenever events or changes in circumstances indicate that the carrying amount of an asset may not be recoverable. Such circumstances could include, but are not limited to (1) a significant decrease in the market value of an asset, (2) a significant adverse change in the extent or manner in which an asset is used, or (3) an accumulation of costs significantly in excess of the amount originally expected for the acquisition of an asset.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in the amount by which the carrying amount of the asset exceeds the fair value of the asset. The fair value of the asset is based on the discounted value of its estimated future cash flows.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its assessment in 2023, the Company recorded an impairment charge of $380,000 related to the impairment of certain licenses, trademarks, patents and patent applications (see Note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 contract the Company determines if the arrangement is, or contains, a lease. Operating lease right-of-use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Lease expense is recognized on a straight-line basis over the lease term.</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made certain accounting policy elections whereby it (i) does not recognize ROU assets or lease liabilities for short-term leases (those with original terms of 12-months of less) and (ii) combines lease and non-lease elements of its operating leases as a single lease component. As of December 31, 2023 and 2022, the Company did not have any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0"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left="340" w:hanging="332"/>
        <w:spacing w:after="0" w:line="25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measured its investment in Eton on a recurring basis. The Company’s investment in Eton is classified as Level 1 as the fair value is determined using quoted market prices in active markets for the same securities. As of December 31, 2023 and 2022, the fair market value of the Company’s investment in Eton was $8,681,000 and $5,589,000,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2026 Notes (as defined in Note 13) are carried at face value, including the unamortized premium, less unamortized debt issuance costs, the 2027 Notes (as described in Note 13) are carried at face value less unamortized debt issuance costs, and the Oaktree Loan (as defined in Note 13) is carried at face value less the original issue discount and unamortized debt issuance costs on the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and the carrying values: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Carrying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r>
      <w:tr>
        <w:trPr>
          <w:trHeight w:val="216"/>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73,218,000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72,436,000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37,413,000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40,363,000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31,738,000</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35,112,000</w:t>
            </w: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Loan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72,541,000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76,627,000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values of the operating lease liabilities approximate their respective fair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performance stock units (“PSUs)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Harrow, Inc. for the year by the weighted average number of common shares outstanding during the year. Diluted net loss per share is computed by dividing the net loss attributable to Harrow, Inc. for the year by the weighted average number of common and common equivalent shares, such as stock options, RSUs, PSUs, and warrants, outstanding during the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equivalents (using the treasury stock or “if converted” method) from stock options, unvested RSUs, and unvested PSUs were 4,642,259 and 5,089,420 at December 31, 2023 and 2022, respectively, and are excluded in the calculation of diluted net loss per share for the periods presented, because the effect is anti-dilutive for that time period. Included in the basic and diluted net loss per share calculation were RSUs awarded to directors that had vested, but the issuance and delivery of the shares are deferred until the director resigns. The number of shares underlying vested RSUs at December 31, 2023 and 2022 was 215,539 and 319,859,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of common stock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 Harrow, Inc.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(24,411,000)</w:t>
            </w:r>
          </w:p>
        </w:tc>
        <w:tc>
          <w:tcPr>
            <w:tcW w:w="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 weighted average number of shares outstanding,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32,616,777</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27,460,968</w:t>
            </w:r>
          </w:p>
        </w:tc>
        <w:tc>
          <w:tcPr>
            <w:tcW w:w="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2016, FASB issued Accounting Standards Update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This ASU replaces the incurred loss impairment methodology in current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the fiscal years beginning after December 15, 2022. The Company adopted ASU 2016-13 on January 1, 2023. Based on the composition of the Company’s accounts receivable, investment portfolio, and other financial assets, including current market conditions and historical credit loss activity, the adoption of this standard did not have a material impact on the Company’s consolidated financial statements or disclosures. Specifically, the Company’s estimate of expected credit losses as of January 1, 2023, using its expected credit loss evaluation process described above, resulted in no adjustments to the provision for credit losses and no cumulative-effect adjustment to accumulated deficit on the adoption date of the standard.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at December 31, 2023</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2023,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 Measurement</w:t>
      </w:r>
      <w:r>
        <w:rPr>
          <w:rFonts w:ascii="Times New Roman" w:cs="Times New Roman" w:eastAsia="Times New Roman" w:hAnsi="Times New Roman"/>
          <w:sz w:val="18"/>
          <w:szCs w:val="18"/>
          <w:color w:val="auto"/>
        </w:rPr>
        <w:t>, which applies to the formation of entities that meet the definition of a joint venture (or a corporate joint venture) and requires joint ventures to initially measure all contributions received upon formation at fair value. The new guidance does not impact accounting by the venturers. The new guidance is applicable to joint venture entities with a formation date on or after January 1, 2025 on a prospective basis. Joint ventures formed prior to the effective date may elect to apply the new guidance retrospectively back to their original formation date. The Company will apply the guidance in ASU 2023-05 prospectively to any future arrangements meeting the definition of a joint venture.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modifies the disclosure or presentation requirements of a variety of topics in the codification by aligning them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which enhances the disclosures required for operating segments in the Company’s annual and interim consolidated financial statements. ASU 2023-07 is effective for the Company in our annual reporting for fiscal 2024 and for interim period reporting beginning in fiscal 2025 on a retrospective basis, with all required disclosures to be made for all prior periods presented in the consolidated financial statements. Early adoption is permitted. The Company is currently evaluating the impact of ASU 2023-07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2025 on a prospective basis. Early adoption and retrospective reporting are permitted. The Company is currently evaluating the impact of ASU 2023-09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items and amounts have been reclassified to conform to the classifications used to prepare the consolidated financial statements for the current period. These reclassifications had no material impact on the Company’s consolidated financial position, results of operations, or cash flows as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The Company has three primary streams of revenue (four in 2022): (1) product revenues, including revenue recognized from sales of products through its pharmacy and outsourcing facility and sales of branded products to wholesalers through a third-party logistics (“3PL”) partner, (2) revenue recognized from a commission agreement with a third party in 2022, (3) revenue recognized from transfer of acquired product sales and profits, and (4) revenue recognized from intellectual property licenses.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79" w:lineRule="exact"/>
        <w:rPr>
          <w:sz w:val="20"/>
          <w:szCs w:val="20"/>
          <w:color w:val="auto"/>
        </w:rPr>
      </w:pPr>
    </w:p>
    <w:p>
      <w:pPr>
        <w:jc w:val="both"/>
        <w:ind w:left="340" w:hanging="332"/>
        <w:spacing w:after="0" w:line="267"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the Company’s contracts consist of delivering the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3" w:name="page94"/>
    <w:bookmarkEnd w:id="93"/>
    <w:p>
      <w:pPr>
        <w:ind w:left="340" w:right="20" w:hanging="332"/>
        <w:spacing w:after="0" w:line="284"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agreement whereby it is paid a fee calculated based on sales the Company generates from a pharmaceutical product that is owned by a third party. The revenue earned from this arrangement is recognized, at which point there is no future performance obligation required by the Company and no consequential continuing involvement on the Company’s part to recognize the associated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Sales and Profits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Revenue disaggregated by revenue source for the years ended December 31, 2023 and 2022, consists of the following:</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3,866,000</w:t>
            </w:r>
          </w:p>
        </w:tc>
        <w:tc>
          <w:tcPr>
            <w:tcW w:w="40" w:type="dxa"/>
            <w:vAlign w:val="bottom"/>
          </w:tcPr>
          <w:p>
            <w:pPr>
              <w:spacing w:after="0"/>
              <w:rPr>
                <w:sz w:val="18"/>
                <w:szCs w:val="18"/>
                <w:color w:val="auto"/>
              </w:rPr>
            </w:pPr>
          </w:p>
        </w:tc>
      </w:tr>
      <w:tr>
        <w:trPr>
          <w:trHeight w:val="24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acquired product sales/profits</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12,746,000</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1,205,000</w:t>
            </w:r>
          </w:p>
        </w:tc>
        <w:tc>
          <w:tcPr>
            <w:tcW w:w="40" w:type="dxa"/>
            <w:vAlign w:val="bottom"/>
            <w:shd w:val="clear" w:color="auto" w:fill="CCEEFF"/>
          </w:tcPr>
          <w:p>
            <w:pPr>
              <w:spacing w:after="0"/>
              <w:rPr>
                <w:sz w:val="21"/>
                <w:szCs w:val="21"/>
                <w:color w:val="auto"/>
              </w:rPr>
            </w:pPr>
          </w:p>
        </w:tc>
      </w:tr>
      <w:tr>
        <w:trPr>
          <w:trHeight w:val="217"/>
        </w:trPr>
        <w:tc>
          <w:tcPr>
            <w:tcW w:w="4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December 31, 2023 and 2022, were $75,000 and $113,000, respectively. All deferred revenue and customer deposit amounts at December 31, 2022 were recognized as revenue during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PRODUCT ACQUISITIONS, LICENSES AND DIVESTITURES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VEVYE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U.S. and Canadian Commercial Rights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commercial rights of VEVYE (cyclosporine ophthalmic solution) 0.1%, an ophthalmic drug product, for the U.S. and Canadian markets (the “VEVYE Acquisition”). The Company acquired the commercial rights to VEVYE by entering into a license agreement with Novaliq GmbH (“Novaliq”). As consideration, the Company made initial payments to Novaliq totaling $8,000,000 and will pay low double-digit royalties on net sales of VEVYE along with potential commercial milestone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accounted for the VEVYE Acquisition as an acquisition of assets and capitalized the initial payments of $8,000,000 and costs of $70,000 associated with the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Certain U.S. and Canadian Commercial Rights to Santen and Eyevance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an Asset Purchase Agreement with Eyevance Pharmaceuticals, LLC and a License Agreement with Santen S.A.S. (collectively, the “Santen Agreements”), each a subsidiary of Santen Pharmaceuticals Co., Ltd. (collectively, “Santen”). Pursuant to the Santen Agreements, the Company acquired the exclusive commercial rights to assets associated with the following ophthalmic products (collectively, the “Santen Products”): FLAREX, NATACYN, ZERVIATE, VERKAZIA and FRESHKOTE in the U.S., and VERKAZIA and CATIONORM PLUS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pursuant to the Santen Agreements are referred to in these notes as the “Santen Products Acquisition.”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Santen Agreements, the Company made an initial one-time payment of $8,000,000. In addition, the Santen Agreements provide for various one-time contingent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prior to the transfer of the Santen Products NDAs and other marketing authorizations to the Company, Santen continued to sell the Santen Products on the Company’s behalf and transfer the net profit from the sale of the Santen Products to the Company. In October 2023, we completed the transfer of the U.S. NDAs and rights of the Santen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acquired in the Santen Products Acquisition are identifiable intangible asset groups in similar asset classes and all directly related to the product NDAs and marketing authorizations acquired. The developed technology is within one major intangible asset class. No workforce/employees were included in the Santen Products Acquisition and the Company is required to utilize its own business inputs/processes to transfer and commercialize the Santen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$139,000 in costs associated with the Santen Products Acquisition, and including such acquisition costs, the payment of $8,000,000 at closing and a near term milestone of $500,000. The total purchase price of the Santen Products Acquisition was $8,639,000 and was accounted for as an asset acquisition. At the time of the Santen Products Acquisition and as of December 31, 2023, the remaining contingent consideration due was not considered probable and reasonably estimable and therefore, no amount was included in the purchase price of the Santen Products Acquisition. At the time the contingent consideration due becomes probable and reasonably estimable the additional consideration, if any, paid will be allocated to all of the assets on a pro rata basis based on their initial estimated fair values as a percent of the total purchase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Asset Purchase Agreement (the “NVS 5 APA”) with Novartis Technology, LLC and Novartis Innovative Therapies AG (together, “Novartis”), pursuant to which the Company agreed to purchase from Novartis the exclusive commercial rights to assets associated with the following ophthalmic products (collectively the “NVS 5 Products”) in the U.S. (the “NVS 5 Acquisition”): ILEVRO, NEVANAC, VIGAMOX, MAXIDEX, and TRIESENCE.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NVS 5 APA, the Company made a one-time payment of $130,000,000 at closing in January 2023, with up to another $45,000,000 due in a milestone payment related to the timing of the commercial availability of TRIESENCE. The milestone payment due upon commercial availability for TRIESENCE decreased from $45,000,000 to $37,000,000 on January 20, 2024. Pursuant to the NVS 5 APA and various ancillary agreements, immediately following the closing and subject to certain conditions and prior to the transfer of the NVS 5 Products NDAs to the Company, Novartis continued to sell the NVS 5 Products on the Company’s behalf and transfer the net profit from the sale of the NVS 5 Products to the Company. Novartis has agreed to supply certain NVS 5 Products to the Company for a period of time after the NDAs are transferred and to assist with technology transfer of the NVS 5 Products manufacturing to other third-party manufacturers, if needed.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assets acquired in the NVS 5 Acquisition are identifiable intangible asset groups in similar asset classes and all directly related to the five product NDAs acquired. The developed technology is within one major intangible asset class. No workforce/employees were included in the NVS 5 Acquisition and the Company is required to utilize its own business inputs/processes to transfer and commercialize the NVS 5 Products and NDAs.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incurred $558,000 in costs associated with the NVS 5 Acquisition and including such acquisition costs and the payment of $130,000,000 at closing. The total purchase price of the NVS 5 Acquisition was $130,558,000 and was accounted for as an asset acquisition. At the time of the NVS 5 Acquisition and as of December 31, 2023, the contingent consideration due related to the commercial availability of TRIESENCE was not considered probable and reasonably estimable and, therefore, no amount was included in the purchase price of the NVS 5 Acquisition. At the time the contingent consideration due related to the commercial availability of TRIESENCE becomes probable and reasonably estimable the additional consideration, if any, paid will be allocated to all of the assets on a pro rata basis based on their initial estimated fair values as a percent of the total purchase price. The Company does not consider any amounts related to TRIESENCE to be in-process research and development (IPR&amp;D) as considered within the scope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Non-Ophthalmic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2022, wholly-owned subsidiaries of the Company (collectively, “Imprimis”) entered into an Asset Purchase Agreement (the “RPC Agreement”) with Innovation Compounding Pharmacy, LLC (the “Buyer”).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nine of the Company’s employees that were responsible for the sales activities associated with the RPC Assets. Under the terms of the RPC Agreement, the Buyer paid Imprimis an aggregate cash amount of $6,000,000 in October 2022. In addition, the Buyer is obligated to pay up to $4,500,000 to Imprimis based on mutually agreed upon revenue milestones during the calendar year 2023 (the “Contingent Amount”). During the year ended December 31, 2022, no amount related to the Contingent Amount was recognized by the Company. The Company will recognize a gain related to the Contingent Amount if/when the contingency (in this case, revenue thresholds for 2023) become likely and reasonably estimable. The Company is currently engaged in discussions with RPC related to the contingent payment amount, if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RPC Agreement, Imprimis entered into a separate transition services agreement (the “RPC TSA”) with the Buyer related to providing ongoing services associated with the RPC Assets, such as procuring and dispensing prescription orders, providing accounting and billing services and collecting accounts receivable. Imprimis provided transition services to the Buyer for approximately nine months following the effective date of the RPC Agreement and expects to wind down transition services in subsequent periods. The Company collected and will continue to collect cash on behalf of the Buyer for revenue generated by sales of RPC Assets from October 2022 through the transition period and the Company is obligated to transfer cash generated by such sales to the Buyer. The Company’s consolidated balance sheet as of December 31, 2023 includes accounts receivable of $49,000 for cash to be collected on behalf of the Buyer for sales of RPC Assets through December 31,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amounts due from the Buyer for reimbursement of services performed under the RPC TSA as of December 31, 2023. The receivable amount of $49,000 along with $8,000 of payments received from accounts receivable but not yet paid were recorded within accounts payable and accrued expenses on the consolidated balance sheet as of December 31, 2023, and represents a payable to the Buyer of $57,000. The Company recorded a loss from the RPC TSA and disposition and sale of certain related assets and unusable inventory of $330,000 during the year ended December 31, 2023, which is presented in other expense, net on the consolidated statements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disposal of the related net assets does not qualify for reporting as discontinued operations because it does not represent a strategic shift that has or will have a major effect on the Company’s operations and financial results. During the year ended December 31, 2022, the Company recognized a net gain on the sale of the non-ophthalmology related compounding assets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consideration</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20" w:type="dxa"/>
            <w:vAlign w:val="bottom"/>
            <w:shd w:val="clear" w:color="auto" w:fill="CCEEFF"/>
          </w:tcPr>
          <w:p>
            <w:pPr>
              <w:spacing w:after="0"/>
              <w:rPr>
                <w:sz w:val="18"/>
                <w:szCs w:val="18"/>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Closing and transaction costs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20" w:type="dxa"/>
            <w:vAlign w:val="bottom"/>
          </w:tcPr>
          <w:p>
            <w:pPr>
              <w:spacing w:after="0"/>
              <w:rPr>
                <w:sz w:val="20"/>
                <w:szCs w:val="20"/>
                <w:color w:val="auto"/>
              </w:rPr>
            </w:pPr>
          </w:p>
        </w:tc>
      </w:tr>
      <w:tr>
        <w:trPr>
          <w:trHeight w:val="236"/>
        </w:trPr>
        <w:tc>
          <w:tcPr>
            <w:tcW w:w="5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Book value of assets transferred: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 intangible asset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686,000</w:t>
            </w:r>
          </w:p>
        </w:tc>
        <w:tc>
          <w:tcPr>
            <w:tcW w:w="2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5,259,000</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Supply Agreement for IHEEZO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Sintetica Agreement, the Company agreed to pay Sintetica a per unit transfer price to supply IHEEZO,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is responsible for regulatory filings for IHEEZO in the U.S. The Upfront Payment along with an additional milestone payment of $3,117,000 was paid and recorded as R&amp;D expenses during the year ended December 31, 2021. During the year ended December 31, 2022, $10,000,000 was paid or accrued under the Sintetica Agreement following the FDA approval of the United States NDA for IHEEZO, and was capitalized as an intangible asset. In August 2023, the Company amended the Sintetica Agreement to allow for early payment of commercial related milestones associated with sales of IHEEZO in exchange for a $550,000 reduction in all of the remaining milestone amounts due. The Company then paid Sintetica $4,450,000. As of December 31, 2023, no milestone amounts are due under the Sintetica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limitations, the Sintetica Agreement has a ten-year term, and allows for a ten-year extension if certain sales thresholds are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5. INVESTMENT IN MELT PHARMACEUTICALS,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2019, the Company entered into the Melt MSA, whereby the Company provided to Melt certain administrative services and support, including bookkeeping, web services and human resources related activities, and Melt was required to pay the Company a monthly amount of $10,000. The Melt MSA was terminated effective July 1, 2023. During the year ended December 31, 2023, and 2022, the Company recorded $89,000 and $91,000, respectively, due from Melt for reimbursable expenses and amounts payable pursuant to the Melt MSA, which are included in prepaid expenses and other current assets in the accompanying consolidated balance sheets. As of December 31, 2023 and 2022, the Company was due $228,000 and $139,000, respectively, from Melt for reimbursable expenses and amounts due under the Melt MSA. Melt did not make any payments to the Company during the year ended December 31, 2022. The Company made a cash advance to Melt of $500,000 and Melt repaid the $500,000 cash advance during the year ended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Melt sold 2,421,904 shares of its Series B Preferred Stock and raised over $20,586,000 in gross proceeds from third party investors.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Mark L. Baum, was previously a member of the Melt board of directors until his resignation during the year ended December 31, 2021. Mr. Baum re-joined the Melt board of directors in January 2023. At the time Mr. Baum re-joined, the Melt board of directors consisted of five members, including Mr. Baum, who is the only representative of the Company on Melt’s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Note Receivable – Settled and Terminated in 2023</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2021, the Company entered into a loan and security agreement in the principal amount of $13,500,000 (the “Melt Loan Agreement”), as lender, with Melt, as borrower. Amounts borrowed under the Melt Loan Agreement bore interest at 12.50% per annum, which interest could have been paid in-kind at the option of Melt until the maturity date. The Melt Loan Agreement permitted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September 1, 2023, which could have been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could have elected to prepay all, but not less than all, of the amounts owed prior to the maturity date at any time without penalty. The net funds received by Melt excluded $908,000 owed to the Company for reimbursable expenses and amounts due under the Melt MSA prior to the effective date of the note receivable.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2023, the Company terminated the Melt Loan Agreement. As of the date of termination, approximately $18,395,000 remained outstanding under the Melt Loan Agreement. Pursuant to the terms of a Settlement and Payoff Agreement, dated as of December 28, 2023, by and between the Company and Melt (the “Settlement Agreement”), the Company received 2,260,000 shares of Melt’s Series B-1 Preferred Stock and 74,256 shares of Melt’s Series B Preferred Stock (which both series have similar rights and preferences) in consideration for the full payment of all amounts outstanding under the Melt Loan Agreement. The Settlement Agreement contains customary representations, warranties and releases of the parties and requires the parties to enter into a registration rights agreement providing the Company with rights consistent with other holders of preferred stock of Melt. The Company concluded the Settlement Agreement is in substance a funding of the Company’s share of prior unrecorded losses and, therefore, those suspended losses must be recognized first against the value of the new preferred stock investments. This resulted in reducing the carrying value of the Company’s investment in Melt, including the carrying value of the Preferred Stock received, to zero (the consideration received in the form of an equivalent fair value of Melt’s Preferred Stock to settle the full outstanding note receivable balance of $18,400,000 is essentially offset by an equal amount of the funding of prior unrecorded losses). Accordingly, this settlement transaction had no quantitative effect on either the Company’s consolidated balance sheet or consolidated statement of operations for the year ended December 31, 2023.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carrying amount of the note receivable and other investments in Melt have been reduced by the Company’s allocated share of Melt’s losses based on its ownership of Melt and its total indebtedness (see Note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Melt is summarized below:</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1"/>
                <w:szCs w:val="2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(7,581,000)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(12,443,000)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(11,271,000)</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4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60" w:type="dxa"/>
            <w:vAlign w:val="bottom"/>
            <w:shd w:val="clear" w:color="auto" w:fill="CCEEFF"/>
          </w:tcPr>
          <w:p>
            <w:pPr>
              <w:spacing w:after="0"/>
              <w:rPr>
                <w:sz w:val="18"/>
                <w:szCs w:val="18"/>
                <w:color w:val="auto"/>
              </w:rPr>
            </w:pP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107,000</w:t>
            </w:r>
          </w:p>
        </w:tc>
      </w:tr>
      <w:tr>
        <w:trPr>
          <w:trHeight w:val="229"/>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3,922,000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19,056,000</w:t>
            </w: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 and stockholders’ equity (deficit)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9,482,000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(18,294,000)</w:t>
            </w:r>
          </w:p>
        </w:tc>
      </w:tr>
      <w:tr>
        <w:trPr>
          <w:trHeight w:val="229"/>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SURFACE OPHTHALMICS,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owned 3,500,000 shares of Surface common stock. Adrienne Graves and Perry J. Sternberg, directors of the Company, also are directors of Surface. Mark L. Baum, who is the Company’s Chief Executive Officer, was previously a member of the Surface board of directors and resigned from his position as a director of Surface on March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reduced its common stock investment in Surface to $0 as a result of the Company recording its share of equity losses of Surface. The Company has no requirements to advance funds to Surface and no obligations to fund its future operating losses, if any. Therefore, the Company’s future financial results will not be negatively affected by Surface’s ongoing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as of December 31, 2023 and 2022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8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38,000</w:t>
            </w:r>
          </w:p>
        </w:tc>
        <w:tc>
          <w:tcPr>
            <w:tcW w:w="40" w:type="dxa"/>
            <w:vAlign w:val="bottom"/>
          </w:tcPr>
          <w:p>
            <w:pPr>
              <w:spacing w:after="0"/>
              <w:rPr>
                <w:sz w:val="18"/>
                <w:szCs w:val="18"/>
                <w:color w:val="auto"/>
              </w:rPr>
            </w:pPr>
          </w:p>
        </w:tc>
      </w:tr>
      <w:tr>
        <w:trPr>
          <w:trHeight w:val="24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5,336,000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2,796,000</w:t>
            </w:r>
          </w:p>
        </w:tc>
        <w:tc>
          <w:tcPr>
            <w:tcW w:w="40" w:type="dxa"/>
            <w:vAlign w:val="bottom"/>
            <w:shd w:val="clear" w:color="auto" w:fill="CCEEFF"/>
          </w:tcPr>
          <w:p>
            <w:pPr>
              <w:spacing w:after="0"/>
              <w:rPr>
                <w:sz w:val="21"/>
                <w:szCs w:val="21"/>
                <w:color w:val="auto"/>
              </w:rPr>
            </w:pPr>
          </w:p>
        </w:tc>
      </w:tr>
      <w:tr>
        <w:trPr>
          <w:trHeight w:val="217"/>
        </w:trPr>
        <w:tc>
          <w:tcPr>
            <w:tcW w:w="4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10,867,000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at December 31, 2023 and 2022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8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Prepaid computer software related expenses</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1,613,000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1,165,000</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937,000</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Receivable due from Melt</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139,000</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PDUFA fees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3,438,000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394,000</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Oaktree commitment fee (see Note 13)</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1,753,000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118,000</w:t>
            </w:r>
          </w:p>
        </w:tc>
        <w:tc>
          <w:tcPr>
            <w:tcW w:w="40" w:type="dxa"/>
            <w:vAlign w:val="bottom"/>
            <w:shd w:val="clear" w:color="auto" w:fill="CCEEFF"/>
          </w:tcPr>
          <w:p>
            <w:pPr>
              <w:spacing w:after="0"/>
              <w:rPr>
                <w:sz w:val="21"/>
                <w:szCs w:val="21"/>
                <w:color w:val="auto"/>
              </w:rPr>
            </w:pPr>
          </w:p>
        </w:tc>
      </w:tr>
      <w:tr>
        <w:trPr>
          <w:trHeight w:val="217"/>
        </w:trPr>
        <w:tc>
          <w:tcPr>
            <w:tcW w:w="4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9,588,000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at December 31, 2023 and 2022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0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hardware</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1,322,000</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979,000</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equipment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936,000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860,000</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4,564,000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4,259,000</w:t>
            </w:r>
          </w:p>
        </w:tc>
        <w:tc>
          <w:tcPr>
            <w:tcW w:w="40" w:type="dxa"/>
            <w:vAlign w:val="bottom"/>
          </w:tcPr>
          <w:p>
            <w:pPr>
              <w:spacing w:after="0"/>
              <w:rPr>
                <w:sz w:val="18"/>
                <w:szCs w:val="18"/>
                <w:color w:val="auto"/>
              </w:rPr>
            </w:pPr>
          </w:p>
        </w:tc>
      </w:tr>
      <w:tr>
        <w:trPr>
          <w:trHeight w:val="25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6,771,000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6,449,000</w:t>
            </w:r>
          </w:p>
        </w:tc>
        <w:tc>
          <w:tcPr>
            <w:tcW w:w="40" w:type="dxa"/>
            <w:vAlign w:val="bottom"/>
            <w:shd w:val="clear" w:color="auto" w:fill="CCEEFF"/>
          </w:tcPr>
          <w:p>
            <w:pPr>
              <w:spacing w:after="0"/>
              <w:rPr>
                <w:sz w:val="21"/>
                <w:szCs w:val="21"/>
                <w:color w:val="auto"/>
              </w:rPr>
            </w:pPr>
          </w:p>
        </w:tc>
      </w:tr>
      <w:tr>
        <w:trPr>
          <w:trHeight w:val="203"/>
        </w:trPr>
        <w:tc>
          <w:tcPr>
            <w:tcW w:w="4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13,593,000</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12,547,000</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(10,072,000)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(9,061,000)</w:t>
            </w:r>
          </w:p>
        </w:tc>
      </w:tr>
      <w:tr>
        <w:trPr>
          <w:trHeight w:val="217"/>
        </w:trPr>
        <w:tc>
          <w:tcPr>
            <w:tcW w:w="40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3,521,000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disposed of property, plant and equipment with a net book value of $168,000 and $69,000, respectively, related to the discontinued use of certain lab equipment, which is included in other expense, net in the consolidated statements of operations. The Company recorded depreciation and amortization expense of $1,055,000 and $1,253,000 during the years ended December 31, 2023 and 2022,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CAPITALIZED SOFTWARE COSTS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Capitalized software costs at December 31, 2023 and 2022 consisted of the following:</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4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2,780,000</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1,413,000</w:t>
            </w: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third-party software license for internal-use</w:t>
            </w: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159,000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159,000</w:t>
            </w:r>
          </w:p>
        </w:tc>
      </w:tr>
      <w:tr>
        <w:trPr>
          <w:trHeight w:val="210"/>
        </w:trPr>
        <w:tc>
          <w:tcPr>
            <w:tcW w:w="44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gross capitalized software for internal-use</w:t>
            </w:r>
          </w:p>
        </w:tc>
        <w:tc>
          <w:tcPr>
            <w:tcW w:w="4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2,939,000</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1,572,000</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(793,000)</w:t>
            </w:r>
          </w:p>
        </w:tc>
        <w:tc>
          <w:tcPr>
            <w:tcW w:w="60" w:type="dxa"/>
            <w:vAlign w:val="bottom"/>
            <w:shd w:val="clear" w:color="auto" w:fill="CCEEFF"/>
          </w:tcPr>
          <w:p>
            <w:pPr>
              <w:spacing w:after="0"/>
              <w:rPr>
                <w:sz w:val="18"/>
                <w:szCs w:val="18"/>
                <w:color w:val="auto"/>
              </w:rPr>
            </w:pP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in process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1,333,000</w:t>
            </w:r>
          </w:p>
        </w:tc>
      </w:tr>
      <w:tr>
        <w:trPr>
          <w:trHeight w:val="229"/>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of $475,000 and $224,000 during the years ended December 31,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2023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29"/>
        </w:trPr>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41"/>
        </w:trPr>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w w:val="98"/>
              </w:rPr>
              <w:t>amortization</w:t>
            </w:r>
          </w:p>
        </w:tc>
        <w:tc>
          <w:tcPr>
            <w:tcW w:w="120" w:type="dxa"/>
            <w:vAlign w:val="bottom"/>
          </w:tcPr>
          <w:p>
            <w:pPr>
              <w:spacing w:after="0"/>
              <w:rPr>
                <w:sz w:val="20"/>
                <w:szCs w:val="20"/>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w w:val="99"/>
              </w:rPr>
              <w:t>Impairment</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7-19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7 - 20 years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4 - 15 years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170,353,000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(11,300,000)</w:t>
            </w: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159,053,000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3-15 years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(516,000)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 years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25 years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charge of $380,000 related to the impairment of certain licenses, trademarks, patents and patent applications. The Company determined that the sum of the expected undiscounted cash flows attributable to these intangible assets was less than their carrying value and that an impairment charge was required. Accordingly, the Company calculated the estimated fair value of the intangible assets based on the present value of the expected cash flows over their estimated lives. The impairment amount was calculated by deducting the present value of the expected cash flows from the carrying value. Significant estimates and assumptions used by the Company included sales and expense growth rates, and discounted projected cash flows. The estimates and assumptions used in our assessment represent a Level 3 measurement because they are supported by little or no market activity and reflect the Company’s own assumptions in measuring fair value. The assumptions used in the impairment analysis are inherently subject to uncertainty and, therefore, changes in these assumptions could have a significant impact on the concluded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2022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29"/>
        </w:trPr>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41"/>
        </w:trPr>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w w:val="98"/>
              </w:rPr>
              <w:t>amortization</w:t>
            </w:r>
          </w:p>
        </w:tc>
        <w:tc>
          <w:tcPr>
            <w:tcW w:w="240" w:type="dxa"/>
            <w:vAlign w:val="bottom"/>
          </w:tcPr>
          <w:p>
            <w:pPr>
              <w:spacing w:after="0"/>
              <w:rPr>
                <w:sz w:val="20"/>
                <w:szCs w:val="20"/>
                <w:color w:val="auto"/>
              </w:rPr>
            </w:pPr>
          </w:p>
        </w:tc>
        <w:tc>
          <w:tcPr>
            <w:tcW w:w="116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7-19 years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23,720,000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(1,363,000)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22,357,000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3-15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(759,000)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25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net reduction to customer relationships intangible assets of $626,000 related to customer relationships that were associated with the non-ophthalmology assets sold by the Company. The amount was reflected net of the gross proceeds received related to the sale of the Company’s non-ophthalmology assets (see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related to other intangible assets acquired and divested during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2023 and 2022 were as follows:</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9,937,000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1,363,000</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54,000</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113,000</w:t>
            </w:r>
          </w:p>
        </w:tc>
      </w:tr>
      <w:tr>
        <w:trPr>
          <w:trHeight w:val="230"/>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December 31, 2023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13,658,000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13,658,000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13,658,000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13,309,000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12,961,000</w:t>
            </w:r>
          </w:p>
        </w:tc>
      </w:t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92,463,000</w:t>
            </w:r>
          </w:p>
        </w:tc>
      </w:tr>
      <w:tr>
        <w:trPr>
          <w:trHeight w:val="230"/>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value of the Company’s goodwill during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2023 and 2022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36"/>
        </w:trPr>
        <w:tc>
          <w:tcPr>
            <w:tcW w:w="45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21,424,000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6,440,000</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 premium</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873,000</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575,000</w:t>
            </w:r>
          </w:p>
        </w:tc>
        <w:tc>
          <w:tcPr>
            <w:tcW w:w="22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IHEEZO milestone payments (see Note 4)</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22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RPC transition payments (see Note 4)</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57,000</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453,000</w:t>
            </w:r>
          </w:p>
        </w:tc>
        <w:tc>
          <w:tcPr>
            <w:tcW w:w="22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exit fee for note payable (see Note 13)</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2,713,000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litigation settlements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249,000</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49,000</w:t>
            </w:r>
          </w:p>
        </w:tc>
        <w:tc>
          <w:tcPr>
            <w:tcW w:w="2260" w:type="dxa"/>
            <w:vAlign w:val="bottom"/>
          </w:tcPr>
          <w:p>
            <w:pPr>
              <w:spacing w:after="0"/>
              <w:rPr>
                <w:sz w:val="18"/>
                <w:szCs w:val="18"/>
                <w:color w:val="auto"/>
              </w:rPr>
            </w:pPr>
          </w:p>
        </w:tc>
      </w:tr>
      <w:tr>
        <w:trPr>
          <w:trHeight w:val="24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(see Note 13)</w:t>
            </w: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1,978,000</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1,254,000</w:t>
            </w:r>
          </w:p>
        </w:tc>
        <w:tc>
          <w:tcPr>
            <w:tcW w:w="2260" w:type="dxa"/>
            <w:vAlign w:val="bottom"/>
          </w:tcPr>
          <w:p>
            <w:pPr>
              <w:spacing w:after="0"/>
              <w:rPr>
                <w:sz w:val="21"/>
                <w:szCs w:val="2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0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jc w:val="center"/>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27,294,000</w:t>
            </w:r>
          </w:p>
        </w:tc>
        <w:tc>
          <w:tcPr>
            <w:tcW w:w="2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13,771,000</w:t>
            </w:r>
          </w:p>
        </w:tc>
        <w:tc>
          <w:tcPr>
            <w:tcW w:w="80" w:type="dxa"/>
            <w:vAlign w:val="bottom"/>
            <w:tcBorders>
              <w:top w:val="single" w:sz="8" w:color="CCEEFF"/>
            </w:tcBorders>
          </w:tcPr>
          <w:p>
            <w:pPr>
              <w:spacing w:after="0"/>
              <w:rPr>
                <w:sz w:val="17"/>
                <w:szCs w:val="17"/>
                <w:color w:val="auto"/>
              </w:rPr>
            </w:pPr>
          </w:p>
        </w:tc>
        <w:tc>
          <w:tcPr>
            <w:tcW w:w="2260" w:type="dxa"/>
            <w:vAlign w:val="bottom"/>
          </w:tcPr>
          <w:p>
            <w:pPr>
              <w:spacing w:after="0"/>
              <w:rPr>
                <w:sz w:val="17"/>
                <w:szCs w:val="17"/>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(24,581,000)</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(13,771,000)</w:t>
            </w:r>
          </w:p>
        </w:tc>
        <w:tc>
          <w:tcPr>
            <w:tcW w:w="2260" w:type="dxa"/>
            <w:vAlign w:val="bottom"/>
          </w:tcPr>
          <w:p>
            <w:pPr>
              <w:spacing w:after="0"/>
              <w:rPr>
                <w:sz w:val="21"/>
                <w:szCs w:val="21"/>
                <w:color w:val="auto"/>
              </w:rPr>
            </w:pPr>
          </w:p>
        </w:tc>
      </w:tr>
      <w:tr>
        <w:trPr>
          <w:trHeight w:val="216"/>
        </w:trPr>
        <w:tc>
          <w:tcPr>
            <w:tcW w:w="4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total accrued expenses</w:t>
            </w:r>
          </w:p>
        </w:tc>
        <w:tc>
          <w:tcPr>
            <w:tcW w:w="10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2,713,000</w:t>
            </w: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F-27</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financed all insurance policies for the policy terms of August 17, 2023 through August 16, 2024 and August 17, 2022 through August 16, 2023. The financing agreements have an interest rate of 7.48% and 4.13% per annum, respectively, and require nine monthly payments of $169,000 and eight monthly payments of $114,000,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Oaktree Loan Due 2026</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Company entered into a Credit Agreement and Guaranty, (the “Oaktree Loan”) with Oaktree Fund Administration, LLC, as administrative agent for the lenders (together, “Oaktree”), providing for a senior secured term loan facility to the Company with a principal amount of up to $100,000,000. Upon entering into the Oaktree Loan, the Company drew a principal amount of $65,000,000 (“Tranche A”) from the Oaktree Loan and used the net proceeds to repay all amounts owed by the Company pursuant to the Loan and Security Agreement the Company previously entered into with B. Riley Commercial Capital, LLC on December 14, 2022 (the “B. Riley Loan”) – see subheading </w:t>
      </w:r>
      <w:r>
        <w:rPr>
          <w:rFonts w:ascii="Times New Roman" w:cs="Times New Roman" w:eastAsia="Times New Roman" w:hAnsi="Times New Roman"/>
          <w:sz w:val="18"/>
          <w:szCs w:val="18"/>
          <w:i w:val="1"/>
          <w:iCs w:val="1"/>
          <w:color w:val="auto"/>
        </w:rPr>
        <w:t>B. Riley Loan and Security Agreement – Paid in Full</w:t>
      </w:r>
      <w:r>
        <w:rPr>
          <w:rFonts w:ascii="Times New Roman" w:cs="Times New Roman" w:eastAsia="Times New Roman" w:hAnsi="Times New Roman"/>
          <w:sz w:val="18"/>
          <w:szCs w:val="18"/>
          <w:color w:val="auto"/>
        </w:rPr>
        <w:t xml:space="preserve"> within this Note 13. The additional principal loan amount of up to $35,000,000 available under the Oaktree Loan (“Tranche B”) will be made available to the Company upon the commercialization of TRIESENCE. If Tranche B is not drawn by the Company on or before March 27, 2024, the amount available under Tranche B will be decreased to $30,000,000. While undrawn, the Company is required to pay a commitment fee related to Tranche B amount equal to 2% per annum, payable quarterly. This fee is recorded within prepaid expenses and other current assets and is being amortized on a straight-line basis over the access period.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Oaktree Loan is secured by nearly all of the assets, including intellectual property, of the Company and its material subsidiaries. The Oaktree Loan has a maturity date of January 19, 2026 and carries an interest rate equal to the Secured Overnight Financing Rate plus 6.5% per annum (totaling 11.83% at December 31, 2023). From proceeds, the Company paid fees, offering expenses, and the Oaktree Loan was issued at an original issue discount, resulting in an aggregate discount of $3,415,000. The Oaktree Loan also carries an exit fee equal to 3.5% of the aggregate principal amount owed, payable at maturity, and the Company accrued $2,275,000 related to the exit fee.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First Amendment to the Oaktree Loan (the “Oaktree Amendment”). Under the Oaktree Amendment, the overall credit facility size was increased from $100,000,000 to $112,500,000, and the Company made other changes related to the Santen Products Acquisition (see Note 4). Upon satisfaction of certain conditions to funding, the Company drew down a principal amount of $12,500,000 (the “Loan Increase”) to fund the initial one-time payment associated with the Santen Products Acquisition and for other working capital and general corporate purposes. No other material changes to the Oaktree Loan were made pursuant to the Oaktree Amendment. Following entry into the Oaktree Amendment and the funding of the Loan Increase upon closing of the Santen Products Acquisition, the Company has drawn down a total principal loan amount of $77,500,000 under the Oaktree Loan. The Oaktree Loan exit fee was increased from $2,275,000 to $2,713,000 pursuant to the Oaktree Amendment. As of December 31, 2023, the Company has recorded in accrued expenses the total exit fee liability of $2,713,000.</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Oaktree Loan contains customary guarantees and covenants, including financial covenants related to minimum liquidity and minimum net revenues. As of December 31, 2023, the Company was in compliance with the financial covenants. As of the end of the fiscal quarter ending December 31, 2024, if the Company’s Total Leverage Ratio (as defined in the Oaktree Loan) is greater than or equal to five times, but less than seven times, the Company will be required to issue to Oaktree warrants to purchase 375,000 shares of the Company’s common stock, and if the Total Leverage Ratio is greater than or equal to seven times, the Company will be required to issue to Oaktree warrants to purchase an additional 375,000 shares of the Company’s common stock (equaling 750,000 shares in aggregate). If the Total Leverage Ratio as of the end of the fiscal quarter ending December 31, 2024 is less than five times, no warrants will be issued to Oaktree. Based on current projections, the Company does not expect to issue any warrants related to the Oaktree Loan.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Oaktree Loan totaled $8,804,000 for the year ended December 31, 2023, and included the amortization of debt issuance costs and discount of $1,680,000 and amortization of deferred commitment fees of $543,000.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HROWM - 11.875% Senior Notes Due 2027</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and in January 2023, the Company closed an offering of $35,000,000 and $5,250,000, respectively, aggregate principal amount of 11.875% senior notes due in December 2027 (the “2027 Notes”). The 2027 Notes were sold to investors at a par value of $25.00 per 2027 Note, and the offering resulted in net proceeds to the Company of approximately $36,699,000 after deducting underwriting discounts and commissions and other offering expenses of $3,551,000.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11.875% per annum. Interest on the 2027 Notes is payable quarterly in arrears on January 31, April 30, July 31 and October 31 of each year, commencing on January 31, 2023. The 2027 Notes will mature on December 31, 2027. The issuance costs were recorded as a debt discount and are being amortized as interest expense over the term of the 2027 Notes using the effective interest rate method.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any time prior to December 31, 2024, the Company may, at its option, redeem the 2027 Notes, in whole at any time or in part from time to time, at a redemption price equal to 100% of the principal amount of the 2027 Notes to be redeemed, plus a make-whole amount, if any, plus accrued and unpaid interest to, but excluding, the date of redemption. 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2027 Notes totaled $5,516,000 and $140,000 for the years ended December 31, 2023 and 2022, respectively, and included the amortization of debt issuance costs and discount of $736,000 and $0,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Chief Executive Officer, Mark L. Baum, Chief Financial Officer, Andrew R. Boll, and former directors R. Lawrence Van Horn and Dr. Richard Lindstrom, in the aggregate, purchased $950,000 in principal amount of the 2027 Notes at the time of their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HROWL – 8.625% Senior Notes Due 2026</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other offering expenses of $3,091,000. In September 2021, in a further issuance of the April Notes, the Company sold an additional $20,000,000 aggregate principal amount of such notes (the “September Notes,” and together with the April Notes, the “2026 Notes”), at a price of $25.75 per September Note, with interest of $278,000 on the September Notes being accrued from April 20, 2021, the date of issuance of the April Notes. The September offering resulted in net proceeds to the Company of approximately $19,164,000 after deducting underwriting discounts and commissions and other offering expenses of $1,158,000 and a premium on note issuance of $322,000. The September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our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8.625% per annum. Interest on the 2026 Notes is payable quarterly in arrears on January 31, April 30, July 31 and October 31 of each year, commencing on July 31, 2021. The 2026 Notes will mature on April 30, 2026. The issuance costs were recorded as a debt discount and are being amortized as interest expense, net of the amortization of the premium on note issuance, over the term of the 2026 Notes using the effective interest rate method.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2026 Notes, in whole at any time or in part from time to time, at a redemption price equal to 100% of the principal amount of the 2026 Notes to be redeemed, plus a make-whole amount, if any, plus accrued and unpaid interest to, but excluding, the date of redemption. The Company may redeem the 2026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2026 Notes totaled $7,251,000 and $7,238,000 for the years ended December 31, 2023 and 2022, respectively, and included amortization of debt issuance costs and discount of $782,000, and $782,000 for the years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 – Paid in Full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2022 (the “Effective Date”), the Company entered into a Loan and Security Agreement (the “BR Loan”) with B. Riley Commercial Capital, LLC, as administrative agent for the lenders. The BR Loan provided for a loan facility of up to $100,000,000 to the Company with a maturity date of December 14, 2025 (the “Maturity Date”), at an interest rate of 10.875%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$59,750,000 of principal amount was funded pursuant to the BR Loan simultaneously with the consummation of the NVS 5 Acquisition (see Note 4). In March 2023, the Company repaid all amounts owed under the BR Loan, in connection with the Oaktree Loan, and no exit or prepayment fees were paid as a result of the payoff of the BR Loan pursuant to a side letter agreement among the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BR Loan totaled $1,565,000 for the year ended December 31, 2023, and included amortization of debt issuance costs and debt discount of $356,000. The Company recorded a loss of $5,465,000 related to the early extinguishment of debt associated with the BR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debt at December 31, 2023 and 2022 is described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60" w:type="dxa"/>
            <w:vAlign w:val="bottom"/>
          </w:tcPr>
          <w:p>
            <w:pPr>
              <w:spacing w:after="0"/>
              <w:rPr>
                <w:sz w:val="19"/>
                <w:szCs w:val="19"/>
                <w:color w:val="auto"/>
              </w:rPr>
            </w:pPr>
          </w:p>
        </w:tc>
      </w:tr>
      <w:tr>
        <w:trPr>
          <w:trHeight w:val="245"/>
        </w:trPr>
        <w:tc>
          <w:tcPr>
            <w:tcW w:w="46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2260" w:type="dxa"/>
            <w:vAlign w:val="bottom"/>
          </w:tcPr>
          <w:p>
            <w:pPr>
              <w:spacing w:after="0"/>
              <w:rPr>
                <w:sz w:val="21"/>
                <w:szCs w:val="2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 Senior Notes due April 2026</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11.875% Senior Notes due December 2027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40,250,000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35,000,000</w:t>
            </w:r>
          </w:p>
        </w:tc>
        <w:tc>
          <w:tcPr>
            <w:tcW w:w="2260" w:type="dxa"/>
            <w:vAlign w:val="bottom"/>
          </w:tcPr>
          <w:p>
            <w:pPr>
              <w:spacing w:after="0"/>
              <w:rPr>
                <w:sz w:val="18"/>
                <w:szCs w:val="18"/>
                <w:color w:val="auto"/>
              </w:rPr>
            </w:pP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Loan due January 2026</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77,500,000</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r>
      <w:tr>
        <w:trPr>
          <w:trHeight w:val="203"/>
        </w:trPr>
        <w:tc>
          <w:tcPr>
            <w:tcW w:w="46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192,750,000</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110,000,000</w:t>
            </w:r>
          </w:p>
        </w:tc>
        <w:tc>
          <w:tcPr>
            <w:tcW w:w="80" w:type="dxa"/>
            <w:vAlign w:val="bottom"/>
            <w:tcBorders>
              <w:top w:val="single" w:sz="8" w:color="CCEEFF"/>
            </w:tcBorders>
          </w:tcPr>
          <w:p>
            <w:pPr>
              <w:spacing w:after="0"/>
              <w:rPr>
                <w:sz w:val="17"/>
                <w:szCs w:val="17"/>
                <w:color w:val="auto"/>
              </w:rPr>
            </w:pPr>
          </w:p>
        </w:tc>
        <w:tc>
          <w:tcPr>
            <w:tcW w:w="2260" w:type="dxa"/>
            <w:vAlign w:val="bottom"/>
          </w:tcPr>
          <w:p>
            <w:pPr>
              <w:spacing w:after="0"/>
              <w:rPr>
                <w:sz w:val="17"/>
                <w:szCs w:val="17"/>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(9,578,000)</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(5,826,000)</w:t>
            </w:r>
          </w:p>
        </w:tc>
        <w:tc>
          <w:tcPr>
            <w:tcW w:w="2260" w:type="dxa"/>
            <w:vAlign w:val="bottom"/>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183,172,000</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104,174,000</w:t>
            </w: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9"/>
              </w:rPr>
              <w:t>F-30</w:t>
            </w: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For the years ended December 31, 2023 and 2022, the total effective interest rate of the Company’s debt was 10.93%, and 8.97%,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future minimum payments under the Company’s debt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20,590,000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159,896,000</w:t>
            </w: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45,030,000</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246,717,000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(53,967,000)</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gross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net of premium</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(9,578,000)</w:t>
            </w:r>
          </w:p>
        </w:tc>
      </w:tr>
      <w:tr>
        <w:trPr>
          <w:trHeight w:val="23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unamortized discount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under the non-cancelable operating leases listed below. These lease agreements have remaining terms between one to five years and contain various clauses for renewal at the Company’s option.</w:t>
      </w:r>
    </w:p>
    <w:p>
      <w:pPr>
        <w:spacing w:after="0" w:line="162"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5,789 square feet of office space in Carlsbad, California, which commenced in January 2022 that expires in March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38,153 square feet of lab, warehouse and office space in Ledgewood, New Jersey that expires in July 2027, with an option to extend the term for two additional five-year periods. This lease was amended, effective July 2020, to extend the term of the original lease and add 1,400 of additional square footage to the lease, amended again in May 2021 to extend the term of the lease to July 2027 and add 8,900 square feet of space, and amended in May 2023 to add another 2,861 square feet of space to the existing lease, which the Company took possession of in January 2024.</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5,500 square feet of office space in Nashville, Tennessee that expires in December 2024.</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11,552 square feet of lab and office space in Nashville, Tennessee which commenced in September 2022 and expires in September 2027.</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weighted-average discount rate and the weighted-average remaining lease term for the operating leases held by the Company were 6.6% and 6.6% and 10.4 years and 10.9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cash paid for amounts included for the operating lease liabilities was $1,231,000 and $925,000, respectively, and the Company recorded operating lease expense of $1,232,000 and $1,117,000, respectively, included in 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2023 were as follows (excluding lease transactions entered into in 2024)</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6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1,093,000</w:t>
            </w:r>
          </w:p>
        </w:tc>
        <w:tc>
          <w:tcPr>
            <w:tcW w:w="22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1,114,000</w:t>
            </w:r>
          </w:p>
        </w:tc>
        <w:tc>
          <w:tcPr>
            <w:tcW w:w="22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972,000</w:t>
            </w:r>
          </w:p>
        </w:tc>
        <w:tc>
          <w:tcPr>
            <w:tcW w:w="22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657,000</w:t>
            </w:r>
          </w:p>
        </w:tc>
        <w:tc>
          <w:tcPr>
            <w:tcW w:w="2260" w:type="dxa"/>
            <w:vAlign w:val="bottom"/>
          </w:tcPr>
          <w:p>
            <w:pPr>
              <w:spacing w:after="0"/>
              <w:rPr>
                <w:sz w:val="18"/>
                <w:szCs w:val="18"/>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5,173,000</w:t>
            </w:r>
          </w:p>
        </w:tc>
        <w:tc>
          <w:tcPr>
            <w:tcW w:w="226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imputed interest payments</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(2,940,000)</w:t>
            </w:r>
          </w:p>
        </w:tc>
        <w:tc>
          <w:tcPr>
            <w:tcW w:w="226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(806,000)</w:t>
            </w:r>
          </w:p>
        </w:tc>
        <w:tc>
          <w:tcPr>
            <w:tcW w:w="2260" w:type="dxa"/>
            <w:vAlign w:val="bottom"/>
          </w:tcPr>
          <w:p>
            <w:pPr>
              <w:spacing w:after="0"/>
              <w:rPr>
                <w:sz w:val="20"/>
                <w:szCs w:val="20"/>
                <w:color w:val="auto"/>
              </w:rPr>
            </w:pPr>
          </w:p>
        </w:tc>
      </w:tr>
      <w:tr>
        <w:trPr>
          <w:trHeight w:val="23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6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F-31</w:t>
            </w: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Company had 5,000,000 shares of preferred stock, $0.001 par value, authorized and no shares of preferred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each of December 31, 2023 and 2022, the Company had 50,000,000 shares of common stock, $0.001 par value, authorized.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closed a public offering of shares of its common stock at an offering price of $17.75 per share (the “Offering”). The Company sold 3,887,324 shares of its common stock in the Offering, resulting in the Company receiving aggregate net proceeds of $64,520,000, after deducting underwriting discounts and commissions and other offering expenses of $4,480,000;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settled 1,567,913 outstanding PSUs as a result of the achievement of the total stockholder returns (“TSR”) targets set forth in equity incentive awards (the “PSU Agreements”) previously issued to members of the Company’s management team in 2021 (the “2021 Awards”). The 2021 Awards were separated into four tranches and required that the Company achieve and maintain certain levels of TSR ranging from 50% to 175% per share during the five-year period following the grant date. TSR was based on the aggregate of: (i) the percent increase of the closing price of the Company’s common stock from July 22, 2021; and (ii) any dividends or like stockholder distributions as specified in the PSU Agreements. In connection with the settlement of the 2021 Awards, an aggregate of 616,984 shares of the Company’s common stock was withheld by Harrow for payroll tax obligations totaling $11,273,000;</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168,963 shares of its common stock underlying RSUs held by directors that ceased providing services to the Company. The RSUs had previously vested, including 21,620 RSUs during the year ended December 31, 2023, but the issuance and delivery of the shares were deferred until the director ceased providing services to the Company;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65,148 shares of common stock and received proceeds of $379,000 upon the exercise of options to purchase 65,148 shares of common stock with exercise prices ranging from $1.70 to $8.50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62,367 shares of common stock to Mark L. Baum, the Company’s Chief Executive Officer, upon the cashless exercise of options to purchase 180,000 shares at an exercise price of $8.99 per share. The Company withheld from Mr. Baum 77,167 shares as consideration for the cashless exercise and an additional 40,466 shares for payroll tax obligations totaling $849,000;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55,558 shares of common stock to Andrew R. Boll, the Company’s Chief Financial Officer, upon the cashless exercise of options to purchase 90,000 shares at an exercise price of $6.00 per share. The Company withheld from Mr. Boll 25,521 shares as consideration for the cashless exercise and an additional 8,921 shares for payroll tax obligations totaling $189,000;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10,222 shares of common stock to John Saharek, the Company’s Chief Commercial Officer, upon the cashless exercise of options to purchase 20,000 shares at an exercise price of $4.16 per share. The Company withheld from Mr. Saharek 6,485 shares as consideration for the cashless exercise and an additional 3,293 shares for payroll tax obligations totaling $41,000;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23,000 RSUs granted in January 2020 to Andrew R. Boll, the Company’s Chief Financial Officer, the Company issued 13,398 shares of common stock to Mr. Boll, net of 9,602 shares of common stock withheld for payroll tax withholdings totaling $142,000;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88,000 RSUs granted in January 2020 to Mark L. Baum, the Company’s Chief Executive Officer, the Company issued 52,821 shares of common stock to Mr. Baum, net of 35,179 shares of common stock withheld for payroll tax withholdings totaling $519,000;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43,023 shares of the Company’s common stock underlying RSUs issued to directors vested, but the issuance and delivery of these shares were deferred until the applicable director ceased providing services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obligations totaling $295,000;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306,347 shares of its common stock upon the cashless exercise of warrants to purchase 373,847 shares of common stock with an exercise price of $2.08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4,054 shares of common stock to a consultant upon the cashless exercise of options to purchase 15,995 shares at an exercise price of $7.07 per share. The Company withheld 11,941 shares as consideration for the cashless exercise;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15,625 shares of common stock to a consultant and received net proceeds of $55,000 upon the exercise of options to purchase 15,625 shares of common stock at an exercise price of $3.50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132,100 shares of common stock and received net proceeds of $587,000 upon the exercise of options to purchase 132,100 shares of common stock with exercise prices between $1.70 to $8.40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185,000 RSUs granted at various dates to employees of the Company vested, and the Company issued 110,621 shares of common stock to the employees, net of 74,379 shares of common stock withheld for payroll tax withholdings totaling $581,000;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35,693 shares of the Company’s common stock underlying RSUs issued to directors vested, but the issuance and delivery of these shares are deferred until the applicable director resigns.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December 31, 2023, the 2017 Plan provides for the issuance of a maximum of 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405,612 shares available for future issuances under the 2017 Plan at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Avg.</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(355,148)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7.36</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(96,736)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14,303,000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13,760,000</w:t>
            </w: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2,432,826</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2,673,670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6.15</w:t>
            </w:r>
          </w:p>
        </w:tc>
        <w:tc>
          <w:tcPr>
            <w:tcW w:w="15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3.93</w:t>
            </w:r>
          </w:p>
        </w:tc>
        <w:tc>
          <w:tcPr>
            <w:tcW w:w="260" w:type="dxa"/>
            <w:vAlign w:val="bottom"/>
            <w:tcBorders>
              <w:bottom w:val="single" w:sz="8" w:color="CCEEFF"/>
            </w:tcBorders>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14,243,000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Avg.</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(288,720)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26,822,000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22,731,000</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2,457,769</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3,026,942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5.90</w:t>
            </w:r>
          </w:p>
        </w:tc>
        <w:tc>
          <w:tcPr>
            <w:tcW w:w="15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4.48</w:t>
            </w:r>
          </w:p>
        </w:tc>
        <w:tc>
          <w:tcPr>
            <w:tcW w:w="260" w:type="dxa"/>
            <w:vAlign w:val="bottom"/>
            <w:tcBorders>
              <w:bottom w:val="single" w:sz="8" w:color="CCEEFF"/>
            </w:tcBorders>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26,817,000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2023 and 2022, based on the closing price of the Company’s common stock of $11.20 and $14.76, respectively,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the options exercised in 2023 and 2022 was $4,580,000 and $2,008,000,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during the year ended December 31, 2023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The Company calculates expected volatility based solely on the historical volatilities of the common stock of the Company.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using the Black-Scholes-Merton option pricing model with the following assumptions used for valuing options granted to employees: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 – 70%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 – 4.80%</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20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$1.73</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5"/>
              </w:rPr>
              <w:t>3.95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285,000</w:t>
            </w:r>
          </w:p>
        </w:tc>
        <w:tc>
          <w:tcPr>
            <w:tcW w:w="186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2.40 - $2.60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24,068</w:t>
            </w:r>
          </w:p>
        </w:tc>
        <w:tc>
          <w:tcPr>
            <w:tcW w:w="186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310,000</w:t>
            </w:r>
          </w:p>
        </w:tc>
        <w:tc>
          <w:tcPr>
            <w:tcW w:w="186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3.95</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4.49 - $5.72</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100,225</w:t>
            </w:r>
          </w:p>
        </w:tc>
        <w:tc>
          <w:tcPr>
            <w:tcW w:w="186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5.54</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94,416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285,000</w:t>
            </w:r>
          </w:p>
        </w:tc>
        <w:tc>
          <w:tcPr>
            <w:tcW w:w="186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6.75 - $7.26</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103,312</w:t>
            </w:r>
          </w:p>
        </w:tc>
        <w:tc>
          <w:tcPr>
            <w:tcW w:w="186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6.96</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274,500</w:t>
            </w:r>
          </w:p>
        </w:tc>
        <w:tc>
          <w:tcPr>
            <w:tcW w:w="186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7.37 - $7.79</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229,187</w:t>
            </w:r>
          </w:p>
        </w:tc>
        <w:tc>
          <w:tcPr>
            <w:tcW w:w="186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7.87 - $25.86</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804,173</w:t>
            </w:r>
          </w:p>
        </w:tc>
        <w:tc>
          <w:tcPr>
            <w:tcW w:w="186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9.59</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651,547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1.47 - $25.86</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F-35</w:t>
            </w: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10" w:name="page111"/>
    <w:bookmarkEnd w:id="110"/>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$1,966,000 of total unrecognized compensation expense related to unvested stock options granted under the Plan. That expense is expected to be recognized over the weighted-average remaining vesting period of 2.77 years. The stock-based compensation for all stock options was $782,000 and $1,130,000 during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Company granted an aggregate of 1,567,913 PSUs to members of its senior management including Mark Baum, Chief Executive Officer, Andrew Boll, Chief Financial Officer, and John Saharek, Chief Commercial Officer, which are subject to the satisfaction of certain market-based and continued service conditions (the “2023 PSUs”). The vesting of the 2023 PSUs require (i) a minimum of a two-year service period, and (ii) during a five-year term, the achievement and maintenance of Company common stock price targets for ten consecutive trading days ranging between $25.00 to $50.00 per share, separated into four separate tranches as described further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w:t>
            </w: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Target Share Price*</w:t>
            </w:r>
          </w:p>
        </w:tc>
      </w:tr>
      <w:tr>
        <w:trPr>
          <w:trHeight w:val="216"/>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w:t>
            </w:r>
          </w:p>
        </w:tc>
        <w:tc>
          <w:tcPr>
            <w:tcW w:w="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 2</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3</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447,975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 4</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559,969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9" w:lineRule="exact"/>
        <w:rPr>
          <w:sz w:val="20"/>
          <w:szCs w:val="20"/>
          <w:color w:val="auto"/>
        </w:rPr>
      </w:pPr>
    </w:p>
    <w:p>
      <w:pPr>
        <w:ind w:left="340" w:right="2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Share Price assumes that no dividends or like distributions are made to stockholders of the Company. If such distributions are made, the Target Share Price would decrease accordingly, to the benefit of the employee, to account for the dividend/distribution as a part of the Target Share Price.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fair value of the 2023 PSUs was $29,106,000 using a Monte Carlo Simulation with a five-year life, 65% volatility and a risk free interest rate of 10.34%. This amount is being amortized over a two-year derived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PSU activity and related information for the year ended December 31, 2023 is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Grants During the Year Ended December 31,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17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 PSUs</w:t>
            </w:r>
          </w:p>
        </w:tc>
        <w:tc>
          <w:tcPr>
            <w:tcW w:w="120" w:type="dxa"/>
            <w:vAlign w:val="bottom"/>
          </w:tcPr>
          <w:p>
            <w:pPr>
              <w:spacing w:after="0"/>
              <w:rPr>
                <w:sz w:val="21"/>
                <w:szCs w:val="21"/>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8"/>
        </w:trPr>
        <w:tc>
          <w:tcPr>
            <w:tcW w:w="1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1,567,913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7"/>
                <w:szCs w:val="17"/>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1,567,913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(1,567,913)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r>
      <w:tr>
        <w:trPr>
          <w:trHeight w:val="255"/>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1,567,913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1"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PSUs were issued during the year ended December 31, 2022. A summary of the Company’s PSU activity and related information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as follows: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PSUs unvested – December 31, 2022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Number of PSUs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1,567,913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1,567,913</w:t>
            </w:r>
          </w:p>
        </w:tc>
        <w:tc>
          <w:tcPr>
            <w:tcW w:w="20" w:type="dxa"/>
            <w:vAlign w:val="bottom"/>
            <w:tcBorders>
              <w:top w:val="single" w:sz="8" w:color="auto"/>
            </w:tcBorders>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8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w w:val="93"/>
              </w:rPr>
              <w:t>F-36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-1028065</wp:posOffset>
            </wp:positionV>
            <wp:extent cx="570039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-745490</wp:posOffset>
            </wp:positionV>
            <wp:extent cx="570039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-453390</wp:posOffset>
            </wp:positionV>
            <wp:extent cx="570039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88" w:right="339" w:bottom="1440" w:gutter="0" w:footer="0" w:header="0"/>
          <w:type w:val="continuous"/>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expense related to unvested PSUs was approximately $18,191,000 which is expected to be recognized over a weighted-average period of 1.26 years, based on estimated vesting schedules. The stock-based compensation for PSUs was $13,753,000 and $5,056,000 during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Company’s board of directors were granted 41,301 time-based vesting RSUs with a fair market value of $800,000, which vest in equal quarterly installments over one year. The Company also granted 86,873 time-based vesting RSUs with a fair market value of $697,000 to certain employees, which vest in full on the third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2023 is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Grants During the Year Ended December 31,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7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2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493,806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7"/>
                <w:szCs w:val="17"/>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128,174</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(175,643)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r>
      <w:tr>
        <w:trPr>
          <w:trHeight w:val="255"/>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(83,308)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363,029</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1"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Company’s board of directors were granted 65,615 RSUs with a fair market value of $500,000, which vest in equal quarterly installments over one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2022 is as follows: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unvested at December 31,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7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2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665,288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7"/>
                <w:szCs w:val="17"/>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65,615</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(237,098)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r>
      <w:tr>
        <w:trPr>
          <w:trHeight w:val="255"/>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493,806</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-753745</wp:posOffset>
            </wp:positionV>
            <wp:extent cx="570039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-471170</wp:posOffset>
            </wp:positionV>
            <wp:extent cx="570039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-179070</wp:posOffset>
            </wp:positionV>
            <wp:extent cx="570039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expense related to unvested RSUs was approximately $1,234,000 which is expected to be recognized over a weighted-average period of 0.68 years, based on estimated vesting schedules. The stock-based compensation for RSUs was $1,161,000 and $1,788,000 during the years ended December 31, 2023 and 2022,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Company recorded total stock-based compensation (including issuance of common stock for services and accrual for stock-based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equity instruments granted to employees, directors and consultants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48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6,669,000</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Employees – R&amp;D</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1,662,000</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688,000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462,000</w:t>
            </w:r>
          </w:p>
        </w:tc>
      </w:t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Consultants – selling, general and administrative</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67,000</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154,000</w:t>
            </w:r>
          </w:p>
        </w:tc>
      </w:tr>
      <w:tr>
        <w:trPr>
          <w:trHeight w:val="23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New Jersey, Tennessee and various other states. The Company’s income tax provision consists of the following for the years ended December 31, 2023 and 2022 are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701,000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w:t>
            </w:r>
          </w:p>
        </w:tc>
        <w:tc>
          <w:tcPr>
            <w:tcW w:w="16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701,000</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701,000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75,000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by applying the statutory U.S. income tax rate to the Company’s loss before income tax provision to the income tax provision is as follows:</w:t>
      </w:r>
    </w:p>
    <w:p>
      <w:pPr>
        <w:spacing w:after="0" w:line="1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1"/>
                <w:szCs w:val="21"/>
                <w:color w:val="auto"/>
              </w:rPr>
            </w:pPr>
          </w:p>
        </w:tc>
        <w:tc>
          <w:tcPr>
            <w:tcW w:w="3380" w:type="dxa"/>
            <w:vAlign w:val="bottom"/>
          </w:tcPr>
          <w:p>
            <w:pPr>
              <w:spacing w:after="0"/>
              <w:rPr>
                <w:sz w:val="21"/>
                <w:szCs w:val="2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3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benefit, net</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0.77%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stock-based compensation</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employee remuneration</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3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loan settlement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3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Provision-to-return true-ups</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true-ups</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3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380" w:type="dxa"/>
            <w:vAlign w:val="bottom"/>
          </w:tcPr>
          <w:p>
            <w:pPr>
              <w:spacing w:after="0"/>
              <w:rPr>
                <w:sz w:val="20"/>
                <w:szCs w:val="20"/>
                <w:color w:val="auto"/>
              </w:rPr>
            </w:pPr>
          </w:p>
        </w:tc>
      </w:tr>
      <w:tr>
        <w:trPr>
          <w:trHeight w:val="22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33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w w:val="99"/>
              </w:rPr>
              <w:t>F-38</w:t>
            </w: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ind w:left="6800"/>
        <w:spacing w:after="0"/>
        <w:rPr>
          <w:sz w:val="20"/>
          <w:szCs w:val="20"/>
          <w:color w:val="auto"/>
        </w:rPr>
      </w:pPr>
      <w:r>
        <w:rPr>
          <w:rFonts w:ascii="Times New Roman" w:cs="Times New Roman" w:eastAsia="Times New Roman" w:hAnsi="Times New Roman"/>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w:t>
            </w:r>
          </w:p>
        </w:tc>
        <w:tc>
          <w:tcPr>
            <w:tcW w:w="1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4,669,000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9,401,000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1,637,000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2,387,000</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854,000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349,000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220,000</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1,059,000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945,000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 in Eton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(583,000)</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(1,684,000)</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difference in Melt investments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3.405,000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4,240,000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benefit of state ASC740-10 reserves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88,000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Under 163(j)</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2,893,000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536,000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174 capitalized expenses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1,261,000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594,000</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ASC 842 lease liability</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1,710,000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2,427,000</w:t>
            </w:r>
          </w:p>
        </w:tc>
        <w:tc>
          <w:tcPr>
            <w:tcW w:w="40" w:type="dxa"/>
            <w:vAlign w:val="bottom"/>
          </w:tcPr>
          <w:p>
            <w:pPr>
              <w:spacing w:after="0"/>
              <w:rPr>
                <w:sz w:val="18"/>
                <w:szCs w:val="18"/>
                <w:color w:val="auto"/>
              </w:rPr>
            </w:pPr>
          </w:p>
        </w:tc>
      </w:tr>
      <w:tr>
        <w:trPr>
          <w:trHeight w:val="24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ASC 842 ROU asset</w:t>
            </w: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(1,582,000)</w:t>
            </w:r>
          </w:p>
        </w:tc>
        <w:tc>
          <w:tcPr>
            <w:tcW w:w="3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(2,263,000)</w:t>
            </w:r>
          </w:p>
        </w:tc>
      </w:tr>
      <w:tr>
        <w:trPr>
          <w:trHeight w:val="203"/>
        </w:trPr>
        <w:tc>
          <w:tcPr>
            <w:tcW w:w="45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deferred tax assets, net</w:t>
            </w:r>
          </w:p>
        </w:tc>
        <w:tc>
          <w:tcPr>
            <w:tcW w:w="1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15,631,000</w:t>
            </w: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17,022,000</w:t>
            </w:r>
          </w:p>
        </w:tc>
        <w:tc>
          <w:tcPr>
            <w:tcW w:w="60" w:type="dxa"/>
            <w:vAlign w:val="bottom"/>
            <w:tcBorders>
              <w:top w:val="single" w:sz="8" w:color="CCEEFF"/>
            </w:tcBorders>
            <w:gridSpan w:val="2"/>
          </w:tcPr>
          <w:p>
            <w:pPr>
              <w:spacing w:after="0"/>
              <w:rPr>
                <w:sz w:val="17"/>
                <w:szCs w:val="17"/>
                <w:color w:val="auto"/>
              </w:rPr>
            </w:pPr>
          </w:p>
        </w:tc>
      </w:tr>
      <w:tr>
        <w:trPr>
          <w:trHeight w:val="24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(15,631,000)</w:t>
            </w:r>
          </w:p>
        </w:tc>
        <w:tc>
          <w:tcPr>
            <w:tcW w:w="3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(17,022,000)</w:t>
            </w:r>
          </w:p>
        </w:tc>
      </w:tr>
      <w:tr>
        <w:trPr>
          <w:trHeight w:val="217"/>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$1,391,000 and $1,182,000 during 2023 and 2022,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carryforwards of approximately $8,596,000 and $26,134,000, respectively, which will begin to expire in 2036, unless previously utilized, and will begin to expire for state purposes in 2028. In addition, the Company has federal net operating loss carryforward of $4,936,000 generated after 2017 that can be carried over indefinitely and may be used to offset up to 80% of federal taxable income.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state research and development credit carryforwards of approximately $177,000 and $54,000, respectively, which will begin to expire in 2031, unless previously utilized. For state purposes, the state research and development credit carryforwards can be carried over indefinitely.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losses and research and development carryforwards may be subject to a substantial annual limitation due to ownership change limitations that might have occurred or that could occur in the future, as required by Section 382 of the Internal Revenue Code of 1986, as amended (the “Code”), as well as similar state and foreign provisions. These ownership changes may limit the amount of NOL and R&amp;D credit carryforward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determined that it had net operating loss carryforwards of approximately $12,500,000 and state net operating loss carryforwards of approximately $9,400,000 restricted under IRC Section 382 of the Internal Revenue Code related to a 2011 change in ownership. Section 382 of the Internal Revenue Code limits the utilization of net operating losses when ownership changes, as defined by that section, occur. Due to the Section 382 limitation, and the length of time available to fully utilize the net operating loss carryforwards, the Company removed these NOLs from deferred tax assets with a corresponding reduction of the valuation allowance. Similarly, under IRC Section 383 which limits the utilization of credits when ownership changes occur, the Company removed approximately $300,000 of federal credit and $300,000 of state credits from deferred tax assets with a corresponding reduction of the valuation allowance.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$2,853,000 of unrecognized tax benefits of which $2,853,000 if fully recognized, would decrease its effective tax rate. There were interest or penalties accrued of $40,000 relating to unrecognized tax benefits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balance from January 1, 2023 to December 31,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40" w:type="dxa"/>
            <w:vAlign w:val="bottom"/>
          </w:tcPr>
          <w:p>
            <w:pPr>
              <w:spacing w:after="0"/>
              <w:rPr>
                <w:sz w:val="21"/>
                <w:szCs w:val="21"/>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Federal &amp; State Tax</w:t>
            </w: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5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36,000</w:t>
            </w:r>
          </w:p>
        </w:tc>
      </w:tr>
      <w:tr>
        <w:trPr>
          <w:trHeight w:val="23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2,817,000</w:t>
            </w:r>
          </w:p>
        </w:tc>
      </w:tr>
      <w:tr>
        <w:trPr>
          <w:trHeight w:val="216"/>
        </w:trPr>
        <w:tc>
          <w:tcPr>
            <w:tcW w:w="61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4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2,853,000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$594,000 and $397,000 to the plan during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legal proceedings, government investigations and other matters that are complex in nature and have outcomes that are difficult to predict. See also Part I,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describes legal proceedings and other matters that are/were significant or that it believes could become significant in this footnote.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matter (whether discussed in this footnote or not) currently pending may have a material adverse effect on the Company’s consolidated results of operations, financial position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Certain recent developments concerning the Company’s legal proceedings it believes are or were material to its business and other matters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Ocular Science, Inc. et. 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has been amended and OSRX added counterclaims alleging ImprimisRx, LLC is violating the Lanham Act with false advertising. The Court granted cross motions for summary judgement on each party’s Lanham Act claims thus leaving only ImprimisRx, LLC’s copyright infringement, trademark infringement and unfair competition claims for trial. ImprimisRx, LLC is seeking damages from OSRX. The Company expects the trial to take place in August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various sales and marketing agreements with certain organizations, to provide sales and marketing representation services to ImprimisRx in select geographies in the U.S., in connection with the Company’s ophthalmic compounded formulations.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sales and marketing agreements, the Company is required to make commission payments generally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incurred $196,000 and $4,274,000 under these agreements for commission expenses during the years ended December 31, 2023 and 2022, respectively, which are included in selling, general and administrative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Other Asset Purchase, License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At December 31, 2023 and 2022, $106,000 and $228,000 were accrued in accounts payable and accrued expenses related to these agreements. During the years ended December 31, 2023 and 2022, $811,000 and $910,000, respectively, were incurred under these agreements as royalty expenses, which are included in selling,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Klarity License Agreement –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(the “Klarity License Agreement”) with Richard L. Lindstrom, M.D., a former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Dr. Lindstrom was paid $292,000 and $274,000 in cash during the years ended December 31, 2023 and 2022, respectively, and was due an additional $67,000 and $71,000 at December 31, 2023 and 2022, respectively. The Company incurred $287,000 and $315,000 for royalty expenses related to the Klarity License Agreement during the years ended December 31, 2023 and 2022, respectively, which are included in selling, general and administrative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Injectable Asset Purchase Agreement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“Lindstrom APA”) with Dr. Lindstrom, a former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$35,000 and $32,000 in cash during the years ended December 31, 2023 and 2022, respectively, and was due $6,000 and $9,000 at December 31, 2023 and 2022, respectively. The Company incurred $32,000 and $33,000 for royalty expenses related to the Lindstrom APA during the years ended December 31, 2023 and 2022, respectively, which are included in selling, general and administrative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Presbyopia Asset Purchase Agreement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“Presbyopia APA”) with Richard L. Lindstrom, M.D., a former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years ended December 31, 2023 and 2022, and was due $0 at December 31, 2023 and 2022. The Company incurred $0 for royalty expenses related to the Presbyopia APA during the years ended December 31,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Eyepoint Commercial Alliance Agreement - Terminated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Times New Roman" w:cs="Times New Roman" w:eastAsia="Times New Roman" w:hAnsi="Times New Roman"/>
          <w:sz w:val="18"/>
          <w:szCs w:val="18"/>
          <w:color w:val="auto"/>
        </w:rPr>
        <w:t>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intraocular suspension) 9% for the treatment of post-operative inflammation following ocular surgery in the U.S. Pursuant to the Dexycu Agreement, Eyepoint paid the Company a fee calculated based on the quarterly sales of DEXYCU in excess of predefined volumes to specific customers of the Company in the U.S. Under the terms of the Dexycu Agreement, the Company agreed to use commercially reasonable efforts to promote and market DEXYCU in the U.S.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a mutual termination agreement entered into on October 7, 2022 the Dexycu Agreement terminated on January 1, 2023. During the years ended December 31, 2023 and 2022, the Company recorded $0 and $3,866,000, respectively, in commission revenues related to the Dexycu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SEGMENTS AND 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on the basis of a single reportable segment, which is the business of discovery, development, and commercialization of innovative ophthalmic therapies. The Company’s chief operating decision-maker is the Chief Executive Officer, who evaluates the Company as a single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three and two products that each comprised more than 10% of total revenues during the years ended December 31, 2023 and 2022, respectively. These products collectively accounted for 38% and 34% of revenues,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accounts receivable from a single customer accounted for 80% and 0% of total accounts receivable, respectively. For the years ended December 31, 2023 and 2022, revenues from a single customer accounted for 29% and 0% of total revenues,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its active pharmaceutical ingredients from three main suppliers. These suppliers collectively accounted for 64% of active pharmaceutical ingredient purchases during the year ended December 31, 2023, and 61%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45,000 RSUs granted in February 2021 to Andrew R. Boll, the Company’s Chief Financial Officer, vested, and 26,520 shares the Company’s common stock were issued to Mr. Boll, net of 18,480 shares of common stock withheld for payroll tax withholdings totaling $197,000.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150,000 RSUs granted in February 2021 to Mark L. Baum, the Company’s Chief Executive Officer, vested, and 90,164 shares the Company’s common stock were issued to Mr. Baum, net of 59,836 shares of common stock withheld for payroll tax withholdings totaling $638,000.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30,000 RSUs granted in February 2021 to John Saharek, the Company’s Chief Commercial Officer, vested, and 17,384 shares the Company’s common stock were issued to Mr. Saharek, net of 12,616 shares of common stock withheld for payroll tax withholdings totaling $135,000.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 RSUs granted in February 2021 to employees, vested, and 32,452 shares the Company’s common stock were issued, net of 17,548 shares of common stock withheld for payroll tax withholdings totaling $187,000.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and March 2024, the Company issued 27,862 shares of common stock and received proceeds of $220,000 upon the exercise of options to purchase 27,862 shares of common stock with exercise prices between $6.75 to $8.75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8" w:name="page119"/>
    <w:bookmarkEnd w:id="118"/>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Harrow, Inc. has two classes of securities registered under Section 12 of the Securities Exchange Act of 1934, as amended: (i) our common stock, par value $0.001 per share, and (ii) our 8.625% Senior Notes due 2026 (the “2026 Notes”) and 11.875% Senior Notes due 2027 (the “2027 Notes”) (collectively, the “Senior Notes” or “Notes”).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exhibit, when we refer to “Company”, “Harrow”, “we”, “us” and “our” or when we otherwise refer to ourselves, we mean Harrow, Inc., excluding, unless otherwise expressly stated or the context requires, our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 As of March 18, 2024, there were 35,362,642 shares of our common stock and no shares of our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of March 18, 2024, there were approximately 67 stockholders of record (excluding an indeterminable number of stockholders whose shares are held in street or “nominee” name) of our common stock. In addition, as of December 31, 2023, there are outstanding (i) options to acquire 2,711,317 shares of our common stock with a weighted average exercise price of $6.25 per share, (ii) 1,930,942 unvested restricted and performance-based stock units and</w:t>
      </w:r>
    </w:p>
    <w:p>
      <w:pPr>
        <w:spacing w:after="0" w:line="1" w:lineRule="exact"/>
        <w:rPr>
          <w:sz w:val="20"/>
          <w:szCs w:val="20"/>
          <w:color w:val="auto"/>
        </w:rPr>
      </w:pPr>
    </w:p>
    <w:p>
      <w:pPr>
        <w:ind w:firstLine="8"/>
        <w:spacing w:after="0" w:line="260" w:lineRule="auto"/>
        <w:tabs>
          <w:tab w:leader="none" w:pos="3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215,539 restricted stock units award to directors that had vested, but issuance and delivery of the shares are deferred until the director resigns or otherwise leaves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Securities Transfer Corporation, 2901 N. Dallas Parkway, Suite 380, Plano, Texas 75093.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Senior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the Notes under an Indenture dated as of April 20, 2021, as supplemented by the First Supplemental Indenture dated as of April 20, 2021 and the Second Supplement Indenture, dated as of December 20, 2022 (the “Indenture”), between the Company and U.S. Bank National Association (the “Trustee”). The terms of the Notes include those expressly set forth in the Indenture and those made part of the Indenture by reference to the Trust Indenture Act of 1939, as amended (the “Trust Indenture Act”). Certain defined terms used in this description but not defined herein have the meanings assigned to them in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2026 Notes:</w:t>
      </w:r>
    </w:p>
    <w:p>
      <w:pPr>
        <w:spacing w:after="0" w:line="22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 unsecured, senior obligations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limited to an aggregate principal amount of $75.0 million, subject to the Company’s ability to issue additional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April 30, 2026 unless earlier redeemed or repurchased, and 100% of the aggregate principal amount will be paid at maturity;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April 30, 2021 at an annual rate of 8.625%, payable quarterly in arrears on January 31, April 30, July 31 and October 31 of each year, beginning on July 31, 2021, and at maturity;</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redeemable at the Company’s option, in whole or in part, prior to February 1, 2026, at the prices and on the terms described under “— Optional Redemption” below;</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issued in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a sinking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listed on NASDAQ under the symbol “HROWL”;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notes in global form, but in certain limited circumstances may be represented by notes in definitive form.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2027 Notes:</w:t>
      </w:r>
    </w:p>
    <w:p>
      <w:pPr>
        <w:spacing w:after="0" w:line="2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 unsecured, senior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limited to an aggregate principal amount of $40.25 million, subject to the Company’s ability to issue additional 2027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December 31, 2027 unless earlier redeemed or repurchased, and 100% of the aggregate principal amount will be paid at maturity;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December 20, 2022 at an annual rate of 11.875%, payable quarterly in arrears on January 31, April 30, July 31 and October 31 of each year, beginning on January 31, 2023, and at maturity;</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redeemable at our option, in whole or in part, at the prices and on the terms described under “— Optional Redemption” below;</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mandatory redemption, in whole, if we do not complete the Acquisition within 180 calendar days after the original issue date of the Notes, at a price of $25.50, or in certain circumstances, if there is a Material Change, in each case as described under “— Mandatory Redemption” below</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a sinking fund;</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listed on Nasdaq under the symbol “HROWM”;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notes in global form, but in certain limited circumstances may be represented by notes in definitive form.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2026 Notes accrues at an annual rate equal to 8.625% from and including April 30, 2021 to, but excluding, the maturity date or earlier acceleration or redemption and is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2026 Notes is the period from and including April 30, 2021, to, but excluding, July 31, 2021,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is made on the next business day and no additional interest will accrue as a result of such delayed payment.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2027 Notes accrue at an annual rate equal to 11.875% from and including December 20, 2022 to, but excluding, the maturity date or earlier acceleration or redemption and are payable quarterly in arrears on January 31, April 30, July 31 and October 31 of each year, beginning on January 31, 2023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2027 Notes is the period from and including December 20, 2022, to, but excluding, January 31, 2023,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February 1, 2026 (the “2026 Notes Par Call Date”), we may, at our option, redeem the 2026 Notes, in whole at any time or in part from time to time, at a redemption price equal to the sum of (i) 100% of the principal amount of the 2026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less than all of the 2026 Notes are to be redeemed, the particular 2026 Notes to be redeemed will be selected not more than 45 days prior to the redemption date by the Trustee from the outstanding 2026 Notes not previously called for redemption, by lot, or in the Trustee’s discretion, on a pro-rata basis, provided that the unredeemed portion of the principal amount of any 2026 Notes will be in an authorized denomination (which will not be less than the minimum authorized denomination) for such 2026 Notes. The Trustee will promptly notify us in writing of the 2026 Notes selected for redemption and, in the case of any 2026 Notes selected for partial redemption, the principal amount thereof to be redeemed. Beneficial interests in any of the 2026 Notes or portions thereof called for redemption that are registered in the name of DTC or its nominee will be selected by DTC in accordance with DTC’s applicable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December 31, 2024 (the “2027 Notes Make-Whole Call Date”), we may, at our option, redeem the 2027 Notes, in whole at any time or in part from time to time, at a redemption price equal to the sum of (i) 100% of the principal amount of the 2027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redeem the 2027 Notes for cash in whole or in part at any time at our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less than all of the 2027 Notes are to be redeemed, the particular 2027 Notes to be redeemed will be selected not more than 45 days prior to the redemption date by the trustee from the outstanding 2027 Notes not previously called for redemption, by lot, or in the trustee’s discretion, on a pro-rata basis, provided that the unredeemed portion of the principal amount of any 2027 Notes will be in an authorized denomination (which will not be less than the minimum authorized denomination) for such 2027 Notes. The trustee will promptly notify us in writing of the 2027 Notes selected for redemption and, in the case of any 2027 Notes selected for partial redemption, the principal amount thereof to be redeemed. Beneficial interests in any of the 2027 Notes or portions thereof called for redemption that are registered in the name of DTC or its nominee will be selected by DTC in accordance with DTC’s applicable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we default on the payment of the redemption price, on and after the date of redemption, interest will cease to accrue on the 2027 Notes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Notes will have rights if an Event of Default occurs in respect of the Notes and is not cured, as described later in this subsection.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“Event of Default” in respect of the Notes means any of the following:</w:t>
      </w:r>
    </w:p>
    <w:p>
      <w:pPr>
        <w:spacing w:after="0" w:line="20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any Note when due, and such default is not cured within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the Notes when due and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of bankruptcy, insolvency or reorganization occur and remain undischarged or unstayed for a period of 90 days.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1" w:lineRule="exact"/>
        <w:rPr>
          <w:sz w:val="20"/>
          <w:szCs w:val="20"/>
          <w:color w:val="auto"/>
        </w:rPr>
      </w:pPr>
    </w:p>
    <w:p>
      <w:pPr>
        <w:jc w:val="both"/>
        <w:ind w:firstLine="8"/>
        <w:spacing w:after="0" w:line="227"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for calendar days 91 through 180 after such default. On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must give the Trustee written notice that the Event of Default has occurred and remains uncured;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must have offered to the Trustee indemnity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holders of a majority of the outstanding principal of the Notes.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in exercising any right or remedy will be treated as a waiver of that right, remedy or Event of Default.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has occurred and is continuing;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62"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and the assumption by the successor corporation of our covenants, agreements and obligations under the Indenture and the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the Notes, or to surrender any right or power herein conferred upon the Company and to make the occurrence;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the Notes;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provide for a guaranty of the Notes or additional obligors on the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pursuant to this clause shall not adversely affect the interests of the holders of the Notes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including provisions regarding the circumstances under which collateral may be released or substituted;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the Notes in any material respect.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 of Each Holder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make certain changes to the Notes without the specific approval of each holder of the Notes. The following is a list of those types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w:t>
      </w:r>
    </w:p>
    <w:p>
      <w:pPr>
        <w:spacing w:after="0" w:line="207"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or rate of interest of any Note;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place of payment where any Note or any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institute suit for the enforcement of any payment on or after the date on which it is due and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modify or amend the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waive compliance with certain provisions of the Indenture or to waive certain defaults.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225" w:lineRule="exact"/>
        <w:rPr>
          <w:sz w:val="20"/>
          <w:szCs w:val="20"/>
          <w:color w:val="auto"/>
        </w:rPr>
      </w:pPr>
    </w:p>
    <w:p>
      <w:pPr>
        <w:ind w:left="660" w:right="2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only affects the Notes, it must be approved by holders of not less than a majority in aggregate principal amount of the outstanding Notes; and</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Consent from holders to any change to the Indenture or the Notes must be given in writing.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Notes deemed to be outstanding for the purpose of voting will include all Notes authenticated and delivered under the Indenture as of the date of determination except:</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have undergone full defeasance, as described below;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must take place on or prior to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0" w:lineRule="exact"/>
        <w:rPr>
          <w:sz w:val="20"/>
          <w:szCs w:val="20"/>
          <w:color w:val="auto"/>
        </w:rPr>
      </w:pPr>
    </w:p>
    <w:p>
      <w:pPr>
        <w:jc w:val="both"/>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cause the Trustee to have a conflicting interest within the meaning of the Trust Indenture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we can legally release ourselves from all payment and other obligations on the Notes if we take the following actions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cause the Trustee to have a conflicting interest within the meaning of the Trust Indenture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full defeasance have been complied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are listed on the Nasdaq Stock Market LLC under the symbols “HROWL” and “HROWM”. The Notes trade “flat,” meaning that purchasers do not pay and sellers do not receive any accrued and unpaid interest on the Notes that is not included in the trading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Notes are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Notes; Book-Entry Issuance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issued in the form of one or more global certificates, or Global Notes, registered in the name of The Depository Trust Company, or DTC. DTC has informed us that its nominee is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 Global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Global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Certificated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When Offices Are Closed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notified us at any time that it is unwilling or unable to continue as depositary for the Global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such Global Note has occurred and is continuing.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Trustee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Bank National Association is the Trustee under the Indenture and is the principal paying agent and registrar for the Notes. The Trustee may resign or be removed with respect to the Notes provided that a successor trustee is appointed to act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10.46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LICENSE AND SUPPLY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Third Amendment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is made and entered into as of the ___th day of January, 2024 (the “</w:t>
      </w:r>
      <w:r>
        <w:rPr>
          <w:rFonts w:ascii="Times New Roman" w:cs="Times New Roman" w:eastAsia="Times New Roman" w:hAnsi="Times New Roman"/>
          <w:sz w:val="18"/>
          <w:szCs w:val="18"/>
          <w:u w:val="single" w:color="auto"/>
          <w:color w:val="auto"/>
        </w:rPr>
        <w:t>Third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Sintetica S.A., a Swiss corporation having its principal place of business at Via Penate 5, 6850 Mendrisio, Switzerland, (“</w:t>
      </w:r>
      <w:r>
        <w:rPr>
          <w:rFonts w:ascii="Times New Roman" w:cs="Times New Roman" w:eastAsia="Times New Roman" w:hAnsi="Times New Roman"/>
          <w:sz w:val="18"/>
          <w:szCs w:val="18"/>
          <w:u w:val="single" w:color="auto"/>
          <w:color w:val="auto"/>
        </w:rPr>
        <w:t>Sintetica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 xml:space="preserve"> (Formerly known as HARROW HEALTH, INC.), a corporation organized and existing under the laws of Delaware, </w:t>
      </w: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 a limited liability company organized and existing under the laws of Delaware, and</w:t>
      </w:r>
      <w:r>
        <w:rPr>
          <w:rFonts w:ascii="Times New Roman" w:cs="Times New Roman" w:eastAsia="Times New Roman" w:hAnsi="Times New Roman"/>
          <w:sz w:val="18"/>
          <w:szCs w:val="18"/>
          <w:b w:val="1"/>
          <w:bCs w:val="1"/>
          <w:color w:val="auto"/>
        </w:rPr>
        <w:t xml:space="preserve"> HARROW IP, LLC</w:t>
      </w:r>
      <w:r>
        <w:rPr>
          <w:rFonts w:ascii="Times New Roman" w:cs="Times New Roman" w:eastAsia="Times New Roman" w:hAnsi="Times New Roman"/>
          <w:sz w:val="18"/>
          <w:szCs w:val="18"/>
          <w:color w:val="auto"/>
        </w:rPr>
        <w:t>, 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organized and existing under the laws of Delaware, each having its principal place of business at 102 Woodmont Blvd., Suite 610, Nashville, TN 37205 USA (collectively “</w:t>
      </w:r>
      <w:r>
        <w:rPr>
          <w:rFonts w:ascii="Times New Roman" w:cs="Times New Roman" w:eastAsia="Times New Roman" w:hAnsi="Times New Roman"/>
          <w:sz w:val="18"/>
          <w:szCs w:val="18"/>
          <w:b w:val="1"/>
          <w:bCs w:val="1"/>
          <w:color w:val="auto"/>
        </w:rPr>
        <w:t>Harrow</w:t>
      </w:r>
      <w:r>
        <w:rPr>
          <w:rFonts w:ascii="Times New Roman" w:cs="Times New Roman" w:eastAsia="Times New Roman" w:hAnsi="Times New Roman"/>
          <w:sz w:val="18"/>
          <w:szCs w:val="18"/>
          <w:color w:val="auto"/>
        </w:rPr>
        <w:t>”). Sintetica and Harrow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Sintetica and Harrow previously entered into a License and Supply Agreement with a Signing Date of July 25, 2021, as amended on November 15, 2022, and on August 4th, 2023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Harrow Health, Inc. has changed its name to Harrow,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for Harrow, Inc., Harrow Eye, LLC and Harrow IP, LLC to be parties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Harrow and Sintetica wish to modify certain pricing terms for the Product;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Harrow anticipates that registration and approval of a Canadian NDS is likely to take place during calendar year 2024, requiring modification of certain other terms of the Agreement in relation to the registration, purchasing and supply of Product for that country;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Harrow anticipates that sales of Product in Canada will be conducted by a sublicensee in Canada, with the registration filing made in such sublicensee’s name;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a consequence Sintetica and Harrow desire to amend the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with the specific intent to be bound hereby, the parties hereby agree as follows:</w:t>
      </w:r>
    </w:p>
    <w:p>
      <w:pPr>
        <w:spacing w:after="0" w:line="16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this Third Amendment but not defined shall have the meanings ascribed to them under the terms of the Agreement.</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entities are included as parts of the Party “Harrow” to this Agreement: </w:t>
      </w: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 xml:space="preserve">, a corporation organized and existing under the laws of Delaware, </w:t>
      </w: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 xml:space="preserve">, a limited liability company organized and existing under the laws of Delaware, and </w:t>
      </w: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 a limited liability company organized and existing under the laws of Delaware, each having its principal place of business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102 Woodmont Blvd., Suite 610, Nashville, TN 37205 USA. These three entities shall be jointly and severally liable for Harrow performance and obligations under the Agreement. Where any performance by Sintetica is required to or for any specific, single Harrow entity, and unless a single entity has been specified by Harrow, Sintetica shall be deemed to have fully and correctly fulfilled its obligation(s) under the Agreement by performance to or for any of the Harrow entities at Sintetica’s sole discretion.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1.93 in its entirety with the following:</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“Selling Price” shall be the invoice price at which Harrow (for Product to be marketed in the United States) or its sublicensee (for Product to be marketed in Canada), sells the Product to any Third Party.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Sections 4.1, 4.2, and 4.3 in their entirety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NDA Preparation.</w:t>
      </w:r>
      <w:r>
        <w:rPr>
          <w:rFonts w:ascii="Times New Roman" w:cs="Times New Roman" w:eastAsia="Times New Roman" w:hAnsi="Times New Roman"/>
          <w:sz w:val="18"/>
          <w:szCs w:val="18"/>
          <w:color w:val="auto"/>
        </w:rPr>
        <w:t xml:space="preserve"> Sintetica will be responsible for the activities required for the preparation and compilation of the NDA for the Product for submission to the FDA and Health Canada, respectively, at its own expense. As time is of the essence for submission of the NDA in the USA, and in Canada subsequently thereafter, subject to Section 3.2, Sintetica shall promptly complete the compilation and submission under Section 4.2 below for the US submission and Harrow shall provide oversight and collaborate in a timely manner for said submission. For Canada, Sintetica will provide the required dossier (whether it is called a New Drug Submission (NDS), an Abbreviated New Drug Submission (ANDS) or otherwise) to Harrow upon Harrow notice of its intention to proceed with such registration, and the submission to Health Canada will be managed by Harrow or its sublicensee. Except for dossier preparation by Sintetica, all other Regulatory Activities for the Canadian NDA shall be the responsibility of Harrow.</w:t>
      </w:r>
    </w:p>
    <w:p>
      <w:pPr>
        <w:spacing w:after="0" w:line="19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NDA Submission and Transfer of Ownership.</w:t>
      </w:r>
      <w:r>
        <w:rPr>
          <w:rFonts w:ascii="Times New Roman" w:cs="Times New Roman" w:eastAsia="Times New Roman" w:hAnsi="Times New Roman"/>
          <w:sz w:val="18"/>
          <w:szCs w:val="18"/>
          <w:color w:val="auto"/>
        </w:rPr>
        <w:t xml:space="preserve"> For the USA Sintetica will transfer ownership of the NDA for the Product to Harrow upon its approval by the FDA , with Harrow owning registration rights to the NDA. Sintetica will be responsible for payment of the NDA filing fees (i.e., the PDUFA fee for FDA). For Canada, Harrow or its sublicensee will be owner of registration rights to the NDA, and Harrow shall be responsible for payment of any comparable and necessary filing fees for the NDA submitted to Health Canada (whether it is called a New Drug Submission (NDS), an Abbreviated New Drug Submission (ANDS) or otherwise) and including fees for establishment licensing.</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NDA Review and Approval Process.</w:t>
      </w:r>
    </w:p>
    <w:p>
      <w:pPr>
        <w:spacing w:after="0" w:line="22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Sintetica, or Sintetica’s designee, shall oversee and manage the NDA approval process at FDA and shall be responsible for managing all communications with FDA during the NDA approval process. Notwithstanding the above, Sintetica, or its NDA agent designee, shall actively and reasonably keep Harrow informed of any regulatory filings and communications from FDA that would put the NDA at risk or otherwise delay approval of the NDA, and shall consult with Harrow prior to submission of any responses to such communications, who shall provide feedback to Sintetica in a timely manner to avoid any delay in the Regulatory Authority review process. Should any additional fees in addition to those in Section 4.2 be assessed as part of the NDA review and approval process, Sintetica will inform Harrow and shall be responsible for payment of all such fees, with Harrow promptly reimbursing Sintetica for all mutually agreed upon amounts relative thereto. After transfer of Regulatory Approval of the NDA for the USA, Harrow shall be responsible for all communications with FDA and for all fees and costs relative to the NDA and its maintenance, including but not limited to yearly PDUFA Program fee costs, and relative to any post-approval changes (including but not limited to cost and fees regarding Annual Reports, CBE-0, CBE-30, PAS, and addition of foreign sites) submitted to the FDA.</w:t>
      </w:r>
    </w:p>
    <w:p>
      <w:pPr>
        <w:spacing w:after="0" w:line="194"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Harrow, or Harrow’s designee, shall oversee and manage the approval process at Health Canada and shall be responsible for managing all communications with Health Canada during the approval process. Notwithstanding the above, Sintetica, shall actively and reasonably support Harrow in providing any required information and of any communications from Health Canada that would put the filing at risk or otherwise delay approval, and shall consult with Harrow prior to submission of any responses to such communications, who shall provide feedback to Sintetica in a timely manner to avoid any delay in Health Canada review process. Harrow shall promptly provide to Sintetica any information or any communications from Health Canada which might relate to, involve or require possible changes to Sintetica’s Canadian Product registration dossier. Should any additional fees in addition to those in Section 4.2 be assessed as part of the review and approval process, Harrow or its sublicensee shall be responsible for payment of all such fees. Harrow shall be responsible for all communications with Health Canada and for all fees and costs relative to maintenance of the approval, including but not limited to annual fees to Health Canada.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6.6 (f)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quantity per order (“MOQ”) shall be one batch of Product, as described in Section 6.14. MOQ may be changed at any time in writing under mutually agreeable terms. Harrow can combine purchase orders for USA and Canada provided no separate production or filling is required as per approvals received from FDA and Health Canada. All orders shall be of minimum one batch or multiples of batches of Product.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6.13(a)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0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price of the Product (“Transfer Price”) shall, starting from the purchase order of Product for first supply in 2024 be equal to one US dollar sixty-five cents (US$1.65) per unit of Product with delivery as described in Section 6.8(a). For clarification, where this Agreement refers to a “unit of Product”, it shall mean, a single dose of Product unless specified otherwise, with the understanding that each such single dose will then be (pouched and) packaged as part of a multidose box (stock-keeping unit) containing 10 or more ampoules in each such box.</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6.13(d)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of the foregoing, starting from the Third Amendment Effective Date, for purposes of determining Royalties for USA due under this Agreement, the sum of the Applicable Transfer Price of Product and the Royalty for USA under Section 7.4(a) shall not exceed US$4.65 per unit of Product.</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Solely for purposes of such calculations, no matter what the actual Transfer Price is, the “Applicable Transfer Price” shall be deemed to be the then current Transfer Price, but in any event no greater than US$1.65 per unit of Product.</w:t>
      </w:r>
    </w:p>
    <w:p>
      <w:pPr>
        <w:spacing w:after="0" w:line="162"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7.4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7.4(a) Royalty for United States Sales</w:t>
      </w:r>
      <w:r>
        <w:rPr>
          <w:rFonts w:ascii="Times New Roman" w:cs="Times New Roman" w:eastAsia="Times New Roman" w:hAnsi="Times New Roman"/>
          <w:sz w:val="18"/>
          <w:szCs w:val="18"/>
          <w:color w:val="auto"/>
        </w:rPr>
        <w:t>. For sales of Product in the United States, sixty (60) days after the end of each calendar quarter, Harrow shall pay to Sintetica an amount equal to US$3.00 per unit of Product for each unit of Product sold in the United States for the immediately preceding quarter. Notwithstanding the above, in the event that Harrow’s Gross Margin for Product sales in the United States falls below 80%, the amount of the Royalty payable to Sintetica can be reduced to enable Harrow to achieve a Gross Margin of 80%, but under no circumstances shall the Royalty ever be less than US$2.00 per unit of Product. The following non-limiting examples demonstrate the royalty adjustment mechanism:</w:t>
      </w:r>
    </w:p>
    <w:p>
      <w:pPr>
        <w:spacing w:after="0" w:line="183"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Harrow’s Selling Price is US$30 per unit, the Gross Margin calculated is ((30-3-1.65)/30) * 100% = 84.5%, and no adjustment to the Royalty is to be made as it would remain US$3.00 per unit;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ind w:left="2272" w:hanging="328"/>
        <w:spacing w:after="0" w:line="282" w:lineRule="auto"/>
        <w:tabs>
          <w:tab w:leader="none" w:pos="22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Harrow’s Selling Price is US$20/unit, the Gross Margin calculated is ((20-3-1.65)/20) * 100% = 76.75%. To achieve a Gross Margin of 80%, the Royalty is reduced to US$2.35 per unit ((20-2.35-1.65)/20) *100%=80%.</w:t>
      </w:r>
    </w:p>
    <w:p>
      <w:pPr>
        <w:spacing w:after="0" w:line="161" w:lineRule="exact"/>
        <w:rPr>
          <w:rFonts w:ascii="Times New Roman" w:cs="Times New Roman" w:eastAsia="Times New Roman" w:hAnsi="Times New Roman"/>
          <w:sz w:val="18"/>
          <w:szCs w:val="18"/>
          <w:color w:val="auto"/>
        </w:rPr>
      </w:pPr>
    </w:p>
    <w:p>
      <w:pPr>
        <w:jc w:val="both"/>
        <w:ind w:left="2272" w:hanging="328"/>
        <w:spacing w:after="0" w:line="266" w:lineRule="auto"/>
        <w:tabs>
          <w:tab w:leader="none" w:pos="22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Harrow’s Selling Price is US$15/unit, the Gross Margin calculated is ((15-3-1.65)/15) * 100% = 71.67%. To achieve a Gross Margin of 80%, the Royalty would need to be is reduced to US$1.35 per unit ((15-1.35-1.65)/15) *100%=80%. However, since $1.35 is less than US$2.00, the Royalty would only be reduced to US$2.00 per unit.</w:t>
      </w:r>
    </w:p>
    <w:p>
      <w:pPr>
        <w:spacing w:after="0" w:line="176"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u w:val="single" w:color="auto"/>
          <w:color w:val="auto"/>
        </w:rPr>
        <w:t>7.4(b) Royalty for Canada Sales</w:t>
      </w:r>
      <w:r>
        <w:rPr>
          <w:rFonts w:ascii="Times New Roman" w:cs="Times New Roman" w:eastAsia="Times New Roman" w:hAnsi="Times New Roman"/>
          <w:sz w:val="18"/>
          <w:szCs w:val="18"/>
          <w:color w:val="auto"/>
        </w:rPr>
        <w:t>. Harrow anticipates that all Product sales in Canada will be made through one or more sublicensees. For such sales made by the sublicensee in Canada, Harrow agrees to remit to Sintetica fifty percent (50%) of the royalty amounts which would be due to it from the Canadian sublicensee(s) in that calendar quarter.</w:t>
      </w:r>
    </w:p>
    <w:p>
      <w:pPr>
        <w:spacing w:after="0" w:line="176"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Harrow shall pay Sintetica, within sixty (60) days of the end of each calendar quarter in which such sales have been made by its sublicensee(s) in Canada.</w:t>
      </w:r>
    </w:p>
    <w:p>
      <w:pPr>
        <w:spacing w:after="0" w:line="162"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Should Harrow ever market Product itself directly in Canada during the Term of this Agreement, it shall provide sufficiently timely notice to Sintetica when Harrow knows of such an even so as to allow the calculation of the Royalty due for such Canadian sales of Product and, if appropriate, both Parties will discuss in good faith any required changes in the Transfer Price and Royalty for Canada.</w:t>
      </w:r>
    </w:p>
    <w:p>
      <w:pPr>
        <w:spacing w:after="0" w:line="176" w:lineRule="exact"/>
        <w:rPr>
          <w:sz w:val="20"/>
          <w:szCs w:val="20"/>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Schedule 1.97, shall add the following: U.S. Patent Publication No. US20230110216 and Canadian Patent Application 3,174,913.</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respects, the terms and conditions of the Agreement will remain in full force and effect as written; provided, however, that the terms and conditions of this Third Amendment will control over the terms and conditions of the Agreement to the extent there are any inconsistencies between this Third Amendment and the Agreement.</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Third Amendment as of the Third Amendment Effective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SINTETICA S.A.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 Sameer Agarwal</w:t>
            </w:r>
          </w:p>
        </w:tc>
        <w:tc>
          <w:tcPr>
            <w:tcW w:w="22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/s/ Luca Casella</w:t>
            </w: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Sameer Agarwal</w:t>
            </w:r>
          </w:p>
        </w:tc>
        <w:tc>
          <w:tcPr>
            <w:tcW w:w="34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Name: Luca Casella</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 &amp; CCO</w:t>
            </w:r>
          </w:p>
        </w:tc>
        <w:tc>
          <w:tcPr>
            <w:tcW w:w="22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CFO</w:t>
            </w: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HARROW, INC</w:t>
            </w:r>
          </w:p>
        </w:tc>
        <w:tc>
          <w:tcPr>
            <w:tcW w:w="34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w w:val="99"/>
              </w:rPr>
              <w:t>HARROW EYE, LLC</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 Andrew Boll</w:t>
            </w:r>
          </w:p>
        </w:tc>
        <w:tc>
          <w:tcPr>
            <w:tcW w:w="22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 Andrew Boll</w:t>
            </w: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Andrew Boll</w:t>
            </w:r>
          </w:p>
        </w:tc>
        <w:tc>
          <w:tcPr>
            <w:tcW w:w="34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Name: Andrew Boll</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CFO</w:t>
            </w:r>
          </w:p>
        </w:tc>
        <w:tc>
          <w:tcPr>
            <w:tcW w:w="22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VP</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IP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Boll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8" w:name="page139"/>
    <w:bookmarkEnd w:id="138"/>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7100" w:type="dxa"/>
            <w:vAlign w:val="bottom"/>
            <w:gridSpan w:val="3"/>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9"/>
              </w:rPr>
              <w:t>HARROW, INC. SUBSIDIARIES</w:t>
            </w:r>
          </w:p>
        </w:tc>
      </w:tr>
      <w:tr>
        <w:trPr>
          <w:trHeight w:val="234"/>
        </w:trPr>
        <w:tc>
          <w:tcPr>
            <w:tcW w:w="4140" w:type="dxa"/>
            <w:vAlign w:val="bottom"/>
          </w:tcPr>
          <w:p>
            <w:pPr>
              <w:spacing w:after="0"/>
              <w:rPr>
                <w:sz w:val="20"/>
                <w:szCs w:val="20"/>
                <w:color w:val="auto"/>
              </w:rPr>
            </w:pPr>
          </w:p>
        </w:tc>
        <w:tc>
          <w:tcPr>
            <w:tcW w:w="7100" w:type="dxa"/>
            <w:vAlign w:val="bottom"/>
            <w:gridSpan w:val="3"/>
          </w:tcPr>
          <w:p>
            <w:pPr>
              <w:jc w:val="center"/>
              <w:ind w:right="4050"/>
              <w:spacing w:after="0"/>
              <w:rPr>
                <w:sz w:val="20"/>
                <w:szCs w:val="20"/>
                <w:color w:val="auto"/>
              </w:rPr>
            </w:pPr>
            <w:r>
              <w:rPr>
                <w:rFonts w:ascii="Times New Roman" w:cs="Times New Roman" w:eastAsia="Times New Roman" w:hAnsi="Times New Roman"/>
                <w:sz w:val="18"/>
                <w:szCs w:val="18"/>
                <w:color w:val="auto"/>
                <w:w w:val="99"/>
              </w:rPr>
              <w:t>as of December 31, 2023</w:t>
            </w:r>
          </w:p>
        </w:tc>
      </w:tr>
      <w:tr>
        <w:trPr>
          <w:trHeight w:val="452"/>
        </w:trPr>
        <w:tc>
          <w:tcPr>
            <w:tcW w:w="41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1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r>
      <w:tr>
        <w:trPr>
          <w:trHeight w:val="198"/>
        </w:trPr>
        <w:tc>
          <w:tcPr>
            <w:tcW w:w="4140" w:type="dxa"/>
            <w:vAlign w:val="bottom"/>
          </w:tcPr>
          <w:p>
            <w:pPr>
              <w:jc w:val="center"/>
              <w:ind w:left="1310"/>
              <w:spacing w:after="0" w:line="198" w:lineRule="exact"/>
              <w:rPr>
                <w:sz w:val="20"/>
                <w:szCs w:val="20"/>
                <w:color w:val="auto"/>
              </w:rPr>
            </w:pPr>
            <w:r>
              <w:rPr>
                <w:rFonts w:ascii="Times New Roman" w:cs="Times New Roman" w:eastAsia="Times New Roman" w:hAnsi="Times New Roman"/>
                <w:sz w:val="18"/>
                <w:szCs w:val="18"/>
                <w:color w:val="auto"/>
                <w:w w:val="99"/>
              </w:rPr>
              <w:t>ImprimisRx, LLC</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Imprimis NJOF,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NJ,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Harrow Eye,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Harrow IP,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Nashville,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Harrow Analytical Services, LLC</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39"/>
        </w:trPr>
        <w:tc>
          <w:tcPr>
            <w:tcW w:w="4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333-159159, 333-183488, 333-198674, 333-220186 and 333-257413 on Form S-8 and Registration Statement Nos. 333-215672 and 333-265244 on Form S-3 of our report dated March 19, 2024, relating to the consolidated financial statements of Harrow, Inc. and subsidiaries, appearing in this Annual Report on Form 10-K of Harrow, Inc.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2023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19, 2024</w:t>
      </w:r>
      <w:r>
        <w:rPr>
          <w:sz w:val="20"/>
          <w:szCs w:val="20"/>
          <w:color w:val="auto"/>
        </w:rPr>
        <w:tab/>
      </w:r>
      <w:r>
        <w:rPr>
          <w:rFonts w:ascii="Times New Roman" w:cs="Times New Roman" w:eastAsia="Times New Roman" w:hAnsi="Times New Roman"/>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920" w:hanging="453"/>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2023 of Harrow, Inc.;</w:t>
      </w:r>
    </w:p>
    <w:p>
      <w:pPr>
        <w:spacing w:after="0" w:line="22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260" w:hanging="456"/>
        <w:spacing w:after="0" w:line="266"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60" w:hanging="456"/>
        <w:spacing w:after="0" w:line="266"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60" w:hanging="456"/>
        <w:spacing w:after="0" w:line="282"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60" w:hanging="456"/>
        <w:spacing w:after="0" w:line="266"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20" w:hanging="453"/>
        <w:spacing w:after="0" w:line="312" w:lineRule="auto"/>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260" w:hanging="456"/>
        <w:spacing w:after="0" w:line="282"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hanging="456"/>
        <w:spacing w:after="0" w:line="282"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19, 2024</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Mark L. Baum, Chief Executive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656"/>
        <w:spacing w:after="0" w:line="282" w:lineRule="auto"/>
        <w:tabs>
          <w:tab w:leader="none" w:pos="9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220" w:firstLine="656"/>
        <w:spacing w:after="0" w:line="499"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Date: March 19,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Andrew R. Boll, Chief Financial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656"/>
        <w:spacing w:after="0" w:line="282" w:lineRule="auto"/>
        <w:tabs>
          <w:tab w:leader="none" w:pos="9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220" w:firstLine="656"/>
        <w:spacing w:after="0" w:line="499"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Date: March 19,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ind w:left="9908"/>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Policy Regarding the Mandatory Recovery of Compensation</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Effective September 7, 2023</w:t>
      </w:r>
    </w:p>
    <w:p>
      <w:pPr>
        <w:spacing w:after="0" w:line="203" w:lineRule="exact"/>
        <w:rPr>
          <w:sz w:val="20"/>
          <w:szCs w:val="20"/>
          <w:color w:val="auto"/>
        </w:rPr>
      </w:pPr>
    </w:p>
    <w:p>
      <w:pPr>
        <w:jc w:val="both"/>
        <w:ind w:left="328" w:hanging="328"/>
        <w:spacing w:after="0" w:line="259" w:lineRule="auto"/>
        <w:tabs>
          <w:tab w:leader="none" w:pos="32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r>
        <w:rPr>
          <w:rFonts w:ascii="Times New Roman" w:cs="Times New Roman" w:eastAsia="Times New Roman" w:hAnsi="Times New Roman"/>
          <w:sz w:val="18"/>
          <w:szCs w:val="18"/>
          <w:color w:val="auto"/>
        </w:rPr>
        <w:t>. This Policy Regarding the Mandatory Recovery of Compensation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applies to any Incentive Compensation paid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of Harrow Health,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This Policy is intended to comply with and be interpreted in accordance with the requirements of Listing Rule 5608 (“</w:t>
      </w:r>
      <w:r>
        <w:rPr>
          <w:rFonts w:ascii="Times New Roman" w:cs="Times New Roman" w:eastAsia="Times New Roman" w:hAnsi="Times New Roman"/>
          <w:sz w:val="18"/>
          <w:szCs w:val="18"/>
          <w:b w:val="1"/>
          <w:bCs w:val="1"/>
          <w:i w:val="1"/>
          <w:iCs w:val="1"/>
          <w:color w:val="auto"/>
        </w:rPr>
        <w:t>Listing Rule 5608</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The provisions of Listing Rule 5608 shall prevail in the event of any conflict between the text of this Policy and such listing rule. Certain capitalized terms are defined in Section IV hereof.</w:t>
      </w:r>
    </w:p>
    <w:p>
      <w:pPr>
        <w:spacing w:after="0" w:line="179" w:lineRule="exact"/>
        <w:rPr>
          <w:sz w:val="20"/>
          <w:szCs w:val="20"/>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3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Triggering Event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288"/>
        <w:spacing w:after="0" w:line="255" w:lineRule="auto"/>
        <w:rPr>
          <w:sz w:val="20"/>
          <w:szCs w:val="20"/>
          <w:color w:val="auto"/>
        </w:rPr>
      </w:pPr>
      <w:r>
        <w:rPr>
          <w:rFonts w:ascii="Times New Roman" w:cs="Times New Roman" w:eastAsia="Times New Roman" w:hAnsi="Times New Roman"/>
          <w:sz w:val="18"/>
          <w:szCs w:val="18"/>
          <w:color w:val="auto"/>
        </w:rPr>
        <w:t>Except as provided herein and subject to Section II(b) below, in the event that the Company is required to prepare a Financial Restatement, the Company shall recover any Recoverable Amount of any Incentive Compensation received by a current or former Executive Officer during the Look-Back Period. The Recoverable Amount shall be repaid to the Company within a reasonably prompt time after the current or former Executive Officer is notified in writing of the Recoverable Amount as set forth in Section II(c) below, accompanied by a reasonably detailed computation thereof. For the sake of clarity, the recovery rule in this Section II(a) shall apply regardless of any misconduct, fault, or illegal activity of the Company, any Executive Officer,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any committee thereof.</w:t>
      </w:r>
    </w:p>
    <w:p>
      <w:pPr>
        <w:spacing w:after="0" w:line="187" w:lineRule="exact"/>
        <w:rPr>
          <w:sz w:val="20"/>
          <w:szCs w:val="20"/>
          <w:color w:val="auto"/>
        </w:rPr>
      </w:pPr>
    </w:p>
    <w:p>
      <w:pPr>
        <w:ind w:left="648" w:hanging="324"/>
        <w:spacing w:after="0"/>
        <w:tabs>
          <w:tab w:leader="none" w:pos="6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Subject to Recovery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288" w:hanging="316"/>
        <w:spacing w:after="0" w:line="282" w:lineRule="auto"/>
        <w:tabs>
          <w:tab w:leader="none" w:pos="12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subject to mandatory recovery under Section II(a) includes any Incentive Compensation received by an Executive Officer:</w:t>
      </w:r>
    </w:p>
    <w:p>
      <w:pPr>
        <w:spacing w:after="0" w:line="161" w:lineRule="exact"/>
        <w:rPr>
          <w:rFonts w:ascii="Times New Roman" w:cs="Times New Roman" w:eastAsia="Times New Roman" w:hAnsi="Times New Roman"/>
          <w:sz w:val="18"/>
          <w:szCs w:val="18"/>
          <w:color w:val="auto"/>
        </w:rPr>
      </w:pPr>
    </w:p>
    <w:p>
      <w:pPr>
        <w:ind w:left="2268" w:hanging="324"/>
        <w:spacing w:after="0"/>
        <w:tabs>
          <w:tab w:leader="none" w:pos="22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25" w:lineRule="exact"/>
        <w:rPr>
          <w:rFonts w:ascii="Times New Roman" w:cs="Times New Roman" w:eastAsia="Times New Roman" w:hAnsi="Times New Roman"/>
          <w:sz w:val="18"/>
          <w:szCs w:val="18"/>
          <w:color w:val="auto"/>
        </w:rPr>
      </w:pPr>
    </w:p>
    <w:p>
      <w:pPr>
        <w:ind w:left="2268" w:hanging="324"/>
        <w:spacing w:after="0"/>
        <w:tabs>
          <w:tab w:leader="none" w:pos="22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that Incentive Compensation;</w:t>
      </w:r>
    </w:p>
    <w:p>
      <w:pPr>
        <w:spacing w:after="0" w:line="225" w:lineRule="exact"/>
        <w:rPr>
          <w:rFonts w:ascii="Times New Roman" w:cs="Times New Roman" w:eastAsia="Times New Roman" w:hAnsi="Times New Roman"/>
          <w:sz w:val="18"/>
          <w:szCs w:val="18"/>
          <w:color w:val="auto"/>
        </w:rPr>
      </w:pPr>
    </w:p>
    <w:p>
      <w:pPr>
        <w:ind w:left="2268" w:hanging="324"/>
        <w:spacing w:after="0" w:line="282" w:lineRule="auto"/>
        <w:tabs>
          <w:tab w:leader="none" w:pos="22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161" w:lineRule="exact"/>
        <w:rPr>
          <w:rFonts w:ascii="Times New Roman" w:cs="Times New Roman" w:eastAsia="Times New Roman" w:hAnsi="Times New Roman"/>
          <w:sz w:val="18"/>
          <w:szCs w:val="18"/>
          <w:color w:val="auto"/>
        </w:rPr>
      </w:pPr>
    </w:p>
    <w:p>
      <w:pPr>
        <w:ind w:left="2268" w:hanging="324"/>
        <w:spacing w:after="0"/>
        <w:tabs>
          <w:tab w:leader="none" w:pos="226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Look-Back Period.</w:t>
      </w:r>
    </w:p>
    <w:p>
      <w:pPr>
        <w:spacing w:after="0" w:line="225" w:lineRule="exact"/>
        <w:rPr>
          <w:sz w:val="20"/>
          <w:szCs w:val="20"/>
          <w:color w:val="auto"/>
        </w:rPr>
      </w:pPr>
    </w:p>
    <w:p>
      <w:pPr>
        <w:jc w:val="both"/>
        <w:ind w:left="1288" w:hanging="316"/>
        <w:spacing w:after="0" w:line="261" w:lineRule="auto"/>
        <w:tabs>
          <w:tab w:leader="none" w:pos="12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II(b), Incentive Compensation is deemed “received” in the fiscal period that the Financial Reporting Measure specified in the applicable Incentive Compensation award is attained, even if the payment or grant of the Incentive Compensation occurs after the end of that period. This Section II(b) will only apply to Incentive Compensation received in any fiscal period ending on or after the effective date of Listing Rule 5608.</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145" w:name="page146"/>
    <w:bookmarkEnd w:id="145"/>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Recoupment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964" w:hanging="316"/>
        <w:spacing w:after="0" w:line="259" w:lineRule="auto"/>
        <w:tabs>
          <w:tab w:leader="none" w:pos="9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shall determine, at its sole discretion, the method for recouping Incentive Compensation, which may include (A) requiring reimbursement of Incentive Compensation previously paid; (B) seeking recovery of any gain realized on the vesting, exercise, settlement, sale, transfer, or other disposition of any equity-based awards; (C) deducting the amount to be recouped from any compensation otherwise owed by the Company to the Executive Officer; and/or (D) taking any other remedial and recovery action permitted by law, as determined by the Compensation Committee.</w:t>
      </w:r>
    </w:p>
    <w:p>
      <w:pPr>
        <w:spacing w:after="0" w:line="18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Recoverable Amount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“Recoverable Amount” is equal to the amount of Incentive Compensation received in excess of the amount of Incentive Compensation that would have been received had it been determined based on the restated amounts in the Financial Restatement, without regard to taxes paid by the Company or the Executive Officer.</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58" w:lineRule="auto"/>
        <w:tabs>
          <w:tab w:leader="none" w:pos="9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 Compensation based on stock price or total shareholder return, where the amount of erroneously awarded Incentive Compensation is not subject to mathematical recalculation directly from the information in the Financial Restatement, the Recoverable Amount must be based on a reasonable estimate of the effect of the Financial Restatement on the stock price or total shareholder return upon which the Incentive Compensation was received, as determined by the Compensation Committee, which shall be set forth in writing.</w:t>
      </w:r>
    </w:p>
    <w:p>
      <w:pPr>
        <w:spacing w:after="0" w:line="18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 to Applicability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The Company must recover the Recoverable Amount of Incentive Compensation as stated above in Section II(a), unless the Compensation Committee, or in the absence of such committee, a majority of the independent directors serving on the Board, makes a determination that recovery would be impracticable, and at least one of the following applies:</w:t>
      </w:r>
    </w:p>
    <w:p>
      <w:pPr>
        <w:spacing w:after="0" w:line="176" w:lineRule="exact"/>
        <w:rPr>
          <w:sz w:val="20"/>
          <w:szCs w:val="20"/>
          <w:color w:val="auto"/>
        </w:rPr>
      </w:pPr>
    </w:p>
    <w:p>
      <w:pPr>
        <w:ind w:left="1304" w:right="20" w:hanging="656"/>
        <w:spacing w:after="0" w:line="282" w:lineRule="auto"/>
        <w:tabs>
          <w:tab w:leader="none" w:pos="1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recovery would exceed the Recoverable Amount, and a reasonable attempt to recover the Recoverable Amount has already been made and documented;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Recoverable Amount would violate home country law (provided such law was adopted prior to November 28, 2022 and that an opinion of counsel in such country is obtained stating that recoupment would result in such violation); or</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6" w:right="339" w:bottom="1440" w:gutter="0" w:footer="0" w:header="0"/>
        </w:sectPr>
      </w:pPr>
    </w:p>
    <w:bookmarkStart w:id="146" w:name="page147"/>
    <w:bookmarkEnd w:id="146"/>
    <w:p>
      <w:pPr>
        <w:jc w:val="both"/>
        <w:ind w:left="1628" w:hanging="656"/>
        <w:spacing w:after="0" w:line="266" w:lineRule="auto"/>
        <w:tabs>
          <w:tab w:leader="none" w:pos="1628"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and its subsidiaries, to fail to meet the requirements of 26 U.S.C. 401(a)(13) or 26 U.S.C. 411(a) and regulations thereunder.</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48" w:hanging="324"/>
        <w:spacing w:after="0" w:line="261"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Compensation Committee may require that any incentive plan, employment agreement, equity award agreement, or similar agreement entered into on or after the date hereof shall, as a condition to the grant of any benefit thereunder, require an Executive Officer to agree to abide by the terms of this Policy, including the repayment of the Recoverable Amount of erroneously awarded Incentive Compensation.</w:t>
      </w:r>
    </w:p>
    <w:p>
      <w:pPr>
        <w:spacing w:after="0" w:line="179"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Executive Officer or other individual against the loss of any incorrectly awarded or otherwise recouped Incentive Compensation.</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applicable compensation recovery policy disclosure rules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IV.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8" w:hanging="324"/>
        <w:spacing w:after="0" w:line="286"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vests based wholly or in part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a Financial Reporting Measure.</w:t>
      </w:r>
    </w:p>
    <w:p>
      <w:pPr>
        <w:spacing w:after="0" w:line="154" w:lineRule="exact"/>
        <w:rPr>
          <w:rFonts w:ascii="Times New Roman" w:cs="Times New Roman" w:eastAsia="Times New Roman" w:hAnsi="Times New Roman"/>
          <w:sz w:val="18"/>
          <w:szCs w:val="18"/>
          <w:color w:val="auto"/>
        </w:rPr>
      </w:pPr>
    </w:p>
    <w:p>
      <w:pPr>
        <w:jc w:val="both"/>
        <w:ind w:left="648" w:hanging="324"/>
        <w:spacing w:after="0" w:line="262"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Reporting Measure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that is determined and presented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used in preparing the Company’s financial statements, and any measures that are derived wholly or in part from such measures. Stock price and total shareholder return are considered to be Financial Reporting Measures for purposes of this Policy. A Financial Reporting Measure need not be presented within the financial statements or included in a filing with the Commission.</w:t>
      </w:r>
    </w:p>
    <w:p>
      <w:pPr>
        <w:spacing w:after="0" w:line="176"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Restatement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Financial Restatement</w:t>
      </w:r>
      <w:r>
        <w:rPr>
          <w:rFonts w:ascii="Times New Roman" w:cs="Times New Roman" w:eastAsia="Times New Roman" w:hAnsi="Times New Roman"/>
          <w:sz w:val="18"/>
          <w:szCs w:val="18"/>
          <w:color w:val="auto"/>
        </w:rPr>
        <w:t>” means any accounting restatement due to the material noncompliance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any financial 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previously issued financial statements, but would result in a material misstatement if the error were left uncorrected in the current period or the error correction were recognized in the current period (commonly referred to as a “little r” restatement). For purposes of this Policy, the date of a Financial Restatement will be deemed to be the earlier of (i) the date the Board, a committee of the Board, or officers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215"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the Company’s Chief Executive Officer, President, Chief Financial Officer, or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(or, if there is no such accounting officer, the Controller), any vice-president of the Company in charge of a principal business unit, division or function (such as sales, administration or finance), and any other officer or person who performs a significant policy-making function for the Company, whether such person is employed by the Company or a subsidiary thereof. For the sake of clarity, “Executive Officer” includes at a minimum executive officers identified by the Board pursuant to 17 CFR 229.401(b).</w:t>
      </w:r>
    </w:p>
    <w:p>
      <w:pPr>
        <w:spacing w:after="0" w:line="179" w:lineRule="exact"/>
        <w:rPr>
          <w:rFonts w:ascii="Times New Roman" w:cs="Times New Roman" w:eastAsia="Times New Roman" w:hAnsi="Times New Roman"/>
          <w:sz w:val="18"/>
          <w:szCs w:val="18"/>
          <w:color w:val="auto"/>
        </w:rPr>
      </w:pPr>
    </w:p>
    <w:p>
      <w:pPr>
        <w:ind w:left="648" w:right="20" w:hanging="324"/>
        <w:spacing w:after="0" w:line="286"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Look-Back Period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date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Restatement and any transition period as set forth in Listing Rule 5608.</w:t>
      </w:r>
    </w:p>
    <w:p>
      <w:pPr>
        <w:spacing w:after="0" w:line="1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8"/>
      </w:cols>
      <w:pgMar w:left="652"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Roman"/>
      <w:start w:val="2"/>
    </w:lvl>
  </w:abstractNum>
  <w:abstractNum w:abstractNumId="6">
    <w:nsid w:val="70A64E2A"/>
    <w:multiLevelType w:val="hybridMultilevel"/>
    <w:lvl w:ilvl="0">
      <w:lvlJc w:val="left"/>
      <w:lvlText w:val="(%1)"/>
      <w:numFmt w:val="lowerRoman"/>
      <w:start w:val="4"/>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lowerLetter"/>
      <w:start w:val="1"/>
    </w:lvl>
    <w:lvl w:ilvl="1">
      <w:lvlJc w:val="left"/>
      <w:lvlText w:val="(%2)"/>
      <w:numFmt w:val="decimal"/>
      <w:start w:val="1"/>
    </w:lvl>
  </w:abstractNum>
  <w:abstractNum w:abstractNumId="26">
    <w:nsid w:val="75C6C33A"/>
    <w:multiLevelType w:val="hybridMultilevel"/>
    <w:lvl w:ilvl="0">
      <w:lvlJc w:val="left"/>
      <w:lvlText w:val="%1"/>
      <w:numFmt w:val="decimal"/>
      <w:start w:val="104"/>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4"/>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lowerRoman"/>
      <w:start w:val="4"/>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2"/>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3"/>
    </w:lvl>
  </w:abstractNum>
  <w:abstractNum w:abstractNumId="58">
    <w:nsid w:val="5DB70AE5"/>
    <w:multiLevelType w:val="hybridMultilevel"/>
    <w:lvl w:ilvl="0">
      <w:lvlJc w:val="left"/>
      <w:lvlText w:val="%1."/>
      <w:numFmt w:val="decimal"/>
      <w:start w:val="5"/>
    </w:lvl>
    <w:lvl w:ilvl="1">
      <w:lvlJc w:val="left"/>
      <w:lvlText w:val="(%2)"/>
      <w:numFmt w:val="lowerLetter"/>
      <w:start w:val="6"/>
    </w:lvl>
  </w:abstractNum>
  <w:abstractNum w:abstractNumId="59">
    <w:nsid w:val="100F8FCA"/>
    <w:multiLevelType w:val="hybridMultilevel"/>
    <w:lvl w:ilvl="0">
      <w:lvlJc w:val="left"/>
      <w:lvlText w:val="%1"/>
      <w:numFmt w:val="decimal"/>
      <w:start w:val="1"/>
    </w:lvl>
    <w:lvl w:ilvl="1">
      <w:lvlJc w:val="left"/>
      <w:lvlText w:val="(%2)"/>
      <w:numFmt w:val="lowerLetter"/>
      <w:start w:val="1"/>
    </w:lvl>
  </w:abstractNum>
  <w:abstractNum w:abstractNumId="60">
    <w:nsid w:val="6590700B"/>
    <w:multiLevelType w:val="hybridMultilevel"/>
    <w:lvl w:ilvl="0">
      <w:lvlJc w:val="left"/>
      <w:lvlText w:val="%1."/>
      <w:numFmt w:val="decimal"/>
      <w:start w:val="7"/>
    </w:lvl>
    <w:lvl w:ilvl="1">
      <w:lvlJc w:val="left"/>
      <w:lvlText w:val="(%2)"/>
      <w:numFmt w:val="lowerLetter"/>
      <w:start w:val="4"/>
    </w:lvl>
  </w:abstractNum>
  <w:abstractNum w:abstractNumId="61">
    <w:nsid w:val="15014ACB"/>
    <w:multiLevelType w:val="hybridMultilevel"/>
    <w:lvl w:ilvl="0">
      <w:lvlJc w:val="left"/>
      <w:lvlText w:val="%1."/>
      <w:numFmt w:val="decimal"/>
      <w:start w:val="8"/>
    </w:lvl>
    <w:lvl w:ilvl="1">
      <w:lvlJc w:val="left"/>
      <w:lvlText w:val="%2."/>
      <w:numFmt w:val="lowerLetter"/>
      <w:start w:val="1"/>
    </w:lvl>
  </w:abstractNum>
  <w:abstractNum w:abstractNumId="62">
    <w:nsid w:val="5F5E7FD0"/>
    <w:multiLevelType w:val="hybridMultilevel"/>
    <w:lvl w:ilvl="0">
      <w:lvlJc w:val="left"/>
      <w:lvlText w:val="%1."/>
      <w:numFmt w:val="lowerLetter"/>
      <w:start w:val="2"/>
    </w:lvl>
  </w:abstractNum>
  <w:abstractNum w:abstractNumId="63">
    <w:nsid w:val="98A3148"/>
    <w:multiLevelType w:val="hybridMultilevel"/>
    <w:lvl w:ilvl="0">
      <w:lvlJc w:val="left"/>
      <w:lvlText w:val="%1."/>
      <w:numFmt w:val="decimal"/>
      <w:start w:val="9"/>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1"/>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upperLetter"/>
      <w:start w:val="9"/>
    </w:lvl>
  </w:abstractNum>
  <w:abstractNum w:abstractNumId="69">
    <w:nsid w:val="661E3F1E"/>
    <w:multiLevelType w:val="hybridMultilevel"/>
    <w:lvl w:ilvl="0">
      <w:lvlJc w:val="left"/>
      <w:lvlText w:val="%1."/>
      <w:numFmt w:val="upperLetter"/>
      <w:start w:val="35"/>
    </w:lvl>
  </w:abstractNum>
  <w:abstractNum w:abstractNumId="70">
    <w:nsid w:val="5DC79EA8"/>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71">
    <w:nsid w:val="540A471C"/>
    <w:multiLevelType w:val="hybridMultilevel"/>
    <w:lvl w:ilvl="0">
      <w:lvlJc w:val="left"/>
      <w:lvlText w:val="%1."/>
      <w:numFmt w:val="lowerRoman"/>
      <w:start w:val="2"/>
    </w:lvl>
  </w:abstractNum>
  <w:abstractNum w:abstractNumId="72">
    <w:nsid w:val="7BD3EE7B"/>
    <w:multiLevelType w:val="hybridMultilevel"/>
    <w:lvl w:ilvl="0">
      <w:lvlJc w:val="left"/>
      <w:lvlText w:val="%1."/>
      <w:numFmt w:val="lowerLetter"/>
      <w:start w:val="3"/>
    </w:lvl>
    <w:lvl w:ilvl="1">
      <w:lvlJc w:val="left"/>
      <w:lvlText w:val="%2."/>
      <w:numFmt w:val="lowerRoman"/>
      <w:start w:val="1"/>
    </w:lvl>
  </w:abstractNum>
  <w:abstractNum w:abstractNumId="73">
    <w:nsid w:val="51D9C564"/>
    <w:multiLevelType w:val="hybridMultilevel"/>
    <w:lvl w:ilvl="0">
      <w:lvlJc w:val="left"/>
      <w:lvlText w:val="%1."/>
      <w:numFmt w:val="lowerRoman"/>
      <w:start w:val="1"/>
    </w:lvl>
  </w:abstractNum>
  <w:abstractNum w:abstractNumId="74">
    <w:nsid w:val="613EFD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75">
    <w:nsid w:val="BF72B14"/>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abstractNum>
  <w:abstractNum w:abstractNumId="76">
    <w:nsid w:val="11447B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13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80" Type="http://schemas.openxmlformats.org/officeDocument/2006/relationships/hyperlink" Target="https://www.sec.gov/Archives/edgar/data/1360214/000114420407050619/v088205_ex2-1.htm" TargetMode="External"/><Relationship Id="rId81" Type="http://schemas.openxmlformats.org/officeDocument/2006/relationships/hyperlink" Target="https://www.sec.gov/Archives/edgar/data/1360214/000149315223034832/ex3-1.htm" TargetMode="External"/><Relationship Id="rId82" Type="http://schemas.openxmlformats.org/officeDocument/2006/relationships/hyperlink" Target="https://www.sec.gov/Archives/edgar/data/1360214/000149315223034832/ex3-2.htm" TargetMode="External"/><Relationship Id="rId83" Type="http://schemas.openxmlformats.org/officeDocument/2006/relationships/hyperlink" Target="https://www.sec.gov/Archives/edgar/data/1360214/000149315221009249/ex4-1.htm" TargetMode="External"/><Relationship Id="rId84" Type="http://schemas.openxmlformats.org/officeDocument/2006/relationships/hyperlink" Target="https://www.sec.gov/Archives/edgar/data/1360214/000149315221009249/ex4-2.htm" TargetMode="External"/><Relationship Id="rId85" Type="http://schemas.openxmlformats.org/officeDocument/2006/relationships/hyperlink" Target="https://www.sec.gov/Archives/edgar/data/1360214/000149315222036016/ex4-2.htm" TargetMode="External"/><Relationship Id="rId86" Type="http://schemas.openxmlformats.org/officeDocument/2006/relationships/hyperlink" Target="https://www.sec.gov/Archives/edgar/data/1360214/000114420407050619/v088205_ex10-8.htm" TargetMode="External"/><Relationship Id="rId87" Type="http://schemas.openxmlformats.org/officeDocument/2006/relationships/hyperlink" Target="https://www.sec.gov/Archives/edgar/data/1360214/000135448813002503/immy_ex103.htm" TargetMode="External"/><Relationship Id="rId88" Type="http://schemas.openxmlformats.org/officeDocument/2006/relationships/hyperlink" Target="https://www.sec.gov/Archives/edgar/data/1360214/000149315213002218/ex10-3.htm" TargetMode="External"/><Relationship Id="rId89" Type="http://schemas.openxmlformats.org/officeDocument/2006/relationships/hyperlink" Target="https://www.sec.gov/Archives/edgar/data/1360214/000114420407050619/v088205_ex10-12.htm" TargetMode="External"/><Relationship Id="rId90" Type="http://schemas.openxmlformats.org/officeDocument/2006/relationships/hyperlink" Target="https://www.sec.gov/Archives/edgar/data/1360214/000114420407050619/v088205_ex10-13.htm" TargetMode="External"/><Relationship Id="rId91" Type="http://schemas.openxmlformats.org/officeDocument/2006/relationships/hyperlink" Target="https://www.sec.gov/Archives/edgar/data/1360214/000135448813002503/immy_ex104.htm" TargetMode="External"/><Relationship Id="rId92" Type="http://schemas.openxmlformats.org/officeDocument/2006/relationships/hyperlink" Target="https://www.sec.gov/Archives/edgar/data/1360214/000149315216009186/ex10-1.htm" TargetMode="External"/><Relationship Id="rId93" Type="http://schemas.openxmlformats.org/officeDocument/2006/relationships/hyperlink" Target="https://www.sec.gov/Archives/edgar/data/1360214/000149315216009186/ex10-4.htm" TargetMode="External"/><Relationship Id="rId94" Type="http://schemas.openxmlformats.org/officeDocument/2006/relationships/hyperlink" Target="https://www.sec.gov/Archives/edgar/data/1360214/000149315216009186/ex10-7.htm" TargetMode="External"/><Relationship Id="rId95" Type="http://schemas.openxmlformats.org/officeDocument/2006/relationships/hyperlink" Target="https://www.sec.gov/Archives/edgar/data/1360214/000149315217003596/ex10-1.htm" TargetMode="External"/><Relationship Id="rId96" Type="http://schemas.openxmlformats.org/officeDocument/2006/relationships/hyperlink" Target="https://www.sec.gov/Archives/edgar/data/1360214/000149315217008881/ex10-8.htm" TargetMode="External"/><Relationship Id="rId97" Type="http://schemas.openxmlformats.org/officeDocument/2006/relationships/hyperlink" Target="https://www.sec.gov/Archives/edgar/data/1360214/000149315217008881/ex10-9.htm" TargetMode="External"/><Relationship Id="rId98" Type="http://schemas.openxmlformats.org/officeDocument/2006/relationships/hyperlink" Target="https://www.sec.gov/Archives/edgar/data/1360214/000149315217008881/ex10-10.htm" TargetMode="External"/><Relationship Id="rId99" Type="http://schemas.openxmlformats.org/officeDocument/2006/relationships/hyperlink" Target="https://www.sec.gov/Archives/edgar/data/1360214/000149315218003095/ex10-53.htm" TargetMode="External"/><Relationship Id="rId100" Type="http://schemas.openxmlformats.org/officeDocument/2006/relationships/hyperlink" Target="https://www.sec.gov/Archives/edgar/data/1360214/000149315218003095/ex10-54.htm" TargetMode="External"/><Relationship Id="rId101" Type="http://schemas.openxmlformats.org/officeDocument/2006/relationships/hyperlink" Target="https://www.sec.gov/Archives/edgar/data/1360214/000149315218003095/ex10-55.htm" TargetMode="External"/><Relationship Id="rId102" Type="http://schemas.openxmlformats.org/officeDocument/2006/relationships/hyperlink" Target="https://www.sec.gov/Archives/edgar/data/1360214/000149315218006896/ex10-1.htm" TargetMode="External"/><Relationship Id="rId103" Type="http://schemas.openxmlformats.org/officeDocument/2006/relationships/hyperlink" Target="https://www.sec.gov/Archives/edgar/data/1360214/000149315218006896/ex10-2.htm" TargetMode="External"/><Relationship Id="rId104" Type="http://schemas.openxmlformats.org/officeDocument/2006/relationships/hyperlink" Target="https://www.sec.gov/Archives/edgar/data/1360214/000149315218011011/ex10-3.htm" TargetMode="External"/><Relationship Id="rId105" Type="http://schemas.openxmlformats.org/officeDocument/2006/relationships/hyperlink" Target="https://www.sec.gov/Archives/edgar/data/1360214/000149315218011011/ex10-4.htm" TargetMode="External"/><Relationship Id="rId106" Type="http://schemas.openxmlformats.org/officeDocument/2006/relationships/hyperlink" Target="https://www.sec.gov/Archives/edgar/data/1360214/000149315218015757/ex10-1.htm" TargetMode="External"/><Relationship Id="rId107" Type="http://schemas.openxmlformats.org/officeDocument/2006/relationships/hyperlink" Target="https://www.sec.gov/Archives/edgar/data/1360214/000149315218015757/ex10-2.htm" TargetMode="External"/><Relationship Id="rId108" Type="http://schemas.openxmlformats.org/officeDocument/2006/relationships/hyperlink" Target="https://www.sec.gov/Archives/edgar/data/1360214/000149315218015757/ex10-3.htm" TargetMode="External"/><Relationship Id="rId109" Type="http://schemas.openxmlformats.org/officeDocument/2006/relationships/hyperlink" Target="https://www.sec.gov/Archives/edgar/data/1360214/000149315219001358/ex10-1.htm" TargetMode="External"/><Relationship Id="rId110" Type="http://schemas.openxmlformats.org/officeDocument/2006/relationships/hyperlink" Target="https://www.sec.gov/Archives/edgar/data/1360214/000149315219012535/ex10-3.htm" TargetMode="External"/><Relationship Id="rId111" Type="http://schemas.openxmlformats.org/officeDocument/2006/relationships/hyperlink" Target="https://www.sec.gov/Archives/edgar/data/1360214/000149315219012535/ex10-2.htm" TargetMode="External"/><Relationship Id="rId112" Type="http://schemas.openxmlformats.org/officeDocument/2006/relationships/hyperlink" Target="https://www.sec.gov/Archives/edgar/data/1360214/000149315219012535/ex10-4.htm" TargetMode="External"/><Relationship Id="rId113" Type="http://schemas.openxmlformats.org/officeDocument/2006/relationships/hyperlink" Target="https://www.sec.gov/Archives/edgar/data/1360214/000149315220003862/ex10-64.htm" TargetMode="External"/><Relationship Id="rId114" Type="http://schemas.openxmlformats.org/officeDocument/2006/relationships/hyperlink" Target="https://www.sec.gov/Archives/edgar/data/1360214/000149315220003862/ex10-65.htm" TargetMode="External"/><Relationship Id="rId115" Type="http://schemas.openxmlformats.org/officeDocument/2006/relationships/hyperlink" Target="https://www.sec.gov/Archives/edgar/data/1360214/000149315220003862/ex10-66.htm" TargetMode="External"/><Relationship Id="rId116" Type="http://schemas.openxmlformats.org/officeDocument/2006/relationships/hyperlink" Target="https://www.sec.gov/Archives/edgar/data/1360214/000149315220020827/ex10-1.htm" TargetMode="External"/><Relationship Id="rId117" Type="http://schemas.openxmlformats.org/officeDocument/2006/relationships/hyperlink" Target="https://www.sec.gov/Archives/edgar/data/1360214/000149315222006525/ex10-50.htm" TargetMode="External"/><Relationship Id="rId118" Type="http://schemas.openxmlformats.org/officeDocument/2006/relationships/hyperlink" Target="https://www.sec.gov/Archives/edgar/data/1360214/000149315222032076/ex10-3.htm" TargetMode="External"/><Relationship Id="rId119" Type="http://schemas.openxmlformats.org/officeDocument/2006/relationships/hyperlink" Target="https://www.sec.gov/Archives/edgar/data/1360214/000149315221019181/ex10-2.htm" TargetMode="External"/><Relationship Id="rId120" Type="http://schemas.openxmlformats.org/officeDocument/2006/relationships/hyperlink" Target="https://www.sec.gov/Archives/edgar/data/1360214/000149315217009907/ex10-1.htm" TargetMode="External"/><Relationship Id="rId121" Type="http://schemas.openxmlformats.org/officeDocument/2006/relationships/hyperlink" Target="https://www.sec.gov/Archives/edgar/data/1360214/000149315221009572/formdef14a.htm#a_015" TargetMode="External"/><Relationship Id="rId122" Type="http://schemas.openxmlformats.org/officeDocument/2006/relationships/hyperlink" Target="https://www.sec.gov/Archives/edgar/data/1360214/000149315221021876/ex10-1.htm" TargetMode="External"/><Relationship Id="rId123" Type="http://schemas.openxmlformats.org/officeDocument/2006/relationships/hyperlink" Target="https://www.sec.gov/Archives/edgar/data/1360214/000149315222032076/ex10-1.htm" TargetMode="External"/><Relationship Id="rId124" Type="http://schemas.openxmlformats.org/officeDocument/2006/relationships/hyperlink" Target="https://www.sec.gov/Archives/edgar/data/1360214/000149315222032076/ex10-2.htm" TargetMode="External"/><Relationship Id="rId125" Type="http://schemas.openxmlformats.org/officeDocument/2006/relationships/hyperlink" Target="https://www.sec.gov/Archives/edgar/data/1360214/000149315222006525/ex10-51.htm" TargetMode="External"/><Relationship Id="rId126" Type="http://schemas.openxmlformats.org/officeDocument/2006/relationships/hyperlink" Target="https://www.sec.gov/Archives/edgar/data/1360214/000149315222035372/ex10-1.htm" TargetMode="External"/><Relationship Id="rId127" Type="http://schemas.openxmlformats.org/officeDocument/2006/relationships/hyperlink" Target="https://www.sec.gov/Archives/edgar/data/1360214/000149315223016414/ex10-1.htm" TargetMode="External"/><Relationship Id="rId128" Type="http://schemas.openxmlformats.org/officeDocument/2006/relationships/hyperlink" Target="https://www.sec.gov/Archives/edgar/data/1360214/000149315223016414/ex10-2.htm" TargetMode="External"/><Relationship Id="rId129" Type="http://schemas.openxmlformats.org/officeDocument/2006/relationships/hyperlink" Target="https://www.sec.gov/Archives/edgar/data/1360214/000149315223027361/ex10-1.htm" TargetMode="External"/><Relationship Id="rId130" Type="http://schemas.openxmlformats.org/officeDocument/2006/relationships/hyperlink" Target="https://www.sec.gov/Archives/edgar/data/1360214/00014931522304056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2024-03-19T16:35:04Z</dcterms:created>
  <dcterms:modified xsi:type="dcterms:W3CDTF">2024-03-19T16:35:04Z</dcterms:modified>
</cp:coreProperties>
</file>