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27,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vMerge w:val="continue"/>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vMerge w:val="continue"/>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27, 2025, Harrow, Inc. (the “Company”) issued a press release and a letter to stockholders announcing its financial results for the period ended December 31, 2024 and an update on recent corporate events. The press release and letter to stockholders are being furnished as Exhibits 99.1 and 99.2, respectively, to this Current Report on Form 8-K.</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840" w:hanging="832"/>
        <w:spacing w:after="0"/>
        <w:tabs>
          <w:tab w:leader="none" w:pos="8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issued by Harrow, Inc. on March 27, 2025</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Letter to Stockholders by Harrow, Inc. dated March 27, 2025</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27,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59"/>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156845</wp:posOffset>
            </wp:positionV>
            <wp:extent cx="1543050" cy="805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Harrow Announces Fourth-Quarter and Year-End 2024 Audited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Fourth-Quarter, Full-Year 2024, and Recent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revenues of $66.8 million for Q4 2024, an 84% increase over Q4 2023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$199.6 million for FY 2024, a 53% increase over FY 2023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$6.8 million for Q4 2024, for a GAAP net loss of $(17.5) million for FY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$22.5 million for Q4 2024, leading to Adjusted EBITDA of $40.3 million for FY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IHEEZO® unit demand and VEVYE® prescriptions for Q4 2024 each increased over 40% over Q3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VEVYE® Access for All </w:t>
      </w:r>
      <w:r>
        <w:rPr>
          <w:rFonts w:ascii="Times New Roman" w:cs="Times New Roman" w:eastAsia="Times New Roman" w:hAnsi="Times New Roman"/>
          <w:sz w:val="18"/>
          <w:szCs w:val="18"/>
          <w:color w:val="auto"/>
        </w:rPr>
        <w:t>program expected to drive continued market share expansion in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TRIESENCE® transitional pass-through approved, significantly increasing addressable market opportunity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NASHVILLE, Tenn., March 27, 2025 – Harrow (Nasdaq: HROW), a leading North American eyecare pharmaceutical company, announced results for the fourth quarter and year ended December 31, 2024. The Company also posted its fourth quarter </w:t>
      </w:r>
      <w:r>
        <w:rPr>
          <w:rFonts w:ascii="Times New Roman" w:cs="Times New Roman" w:eastAsia="Times New Roman" w:hAnsi="Times New Roman"/>
          <w:sz w:val="18"/>
          <w:szCs w:val="18"/>
          <w:u w:val="single" w:color="auto"/>
          <w:color w:val="auto"/>
        </w:rPr>
        <w:t>Letter to Stockholders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corporate presentation</w:t>
      </w:r>
      <w:r>
        <w:rPr>
          <w:rFonts w:ascii="Times New Roman" w:cs="Times New Roman" w:eastAsia="Times New Roman" w:hAnsi="Times New Roman"/>
          <w:sz w:val="18"/>
          <w:szCs w:val="18"/>
          <w:color w:val="auto"/>
        </w:rPr>
        <w:t xml:space="preserve"> to the “Investors” section of its website,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 The Company encourages all Harrow stockholders to review these documents, which provide additional details concerning the historical quarterly period and future expectations for the business.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stellar fourth-quarter performance, including an 84% year-over-year increase in revenues to a record $66.8 million, marked the end of a monumental year for Harrow, with 2024 revenues rising 53% over 2023 to $199.6 million,” said Mark L. Baum, Chief Executive Officer of Harrow. “This strong finish, driven by over 40% quarter-over-quarter growth in both IHEEZO unit demand and VEVYE prescriptions, showcases market uptake for our expanding portfolio and the overall success of the Harrow team. We expect our momentum to continue in 2025, particularly in the second half, as the recently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VEVYE Access for All</w:t>
      </w:r>
      <w:r>
        <w:rPr>
          <w:rFonts w:ascii="Times New Roman" w:cs="Times New Roman" w:eastAsia="Times New Roman" w:hAnsi="Times New Roman"/>
          <w:sz w:val="18"/>
          <w:szCs w:val="18"/>
          <w:color w:val="auto"/>
        </w:rPr>
        <w:t xml:space="preserve"> program gains traction – accelerating market share capture, expanding commercially covered prescriptions, and bolstering prescriber confidence by ensuring their patients can affordably start treatment with VEVYE, regardless of insurance status. Meanwhile, in addition to our success in stabilizing the supply chain for TRIESENCE, the Centers for Medicare &amp; Medicaid Services recently approved our transitional pass-through application, significantly increasing its addressable market. This terrific news should add fuel to our commercial efforts concurrent with our development of a next-generation version of this high-value and high-trust product. Because we remain at the initial stages of market penetration for our core products, we expect revenue growth in these cornerstone products for years to come.”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Baum added, “We continue to review new ways to better serve our customers and leverage our commercial infrastructure by adding attractive low-risk, high-return products. This includes product candidates we have been quietly nurturing internally, which we expect to discuss in more detail later this year; those being brought to us by third parties; and those in which we already have a stake, such as the MELT-300 program. Finally, Harrow stockholders should know that while we expect normal seasonal revenue fluctuations, we are confident in the remainder of 2025, as demonstrated by our 2025 revenue guidance of ‘more than $280 million,’ representing an increase over 2024 revenue of more than 40% in annual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Fourth-quarter and year-end 2024 figures of merit:</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280" w:type="dxa"/>
            <w:vAlign w:val="bottom"/>
          </w:tcPr>
          <w:p>
            <w:pPr>
              <w:spacing w:after="0"/>
              <w:rPr>
                <w:sz w:val="24"/>
                <w:szCs w:val="24"/>
                <w:color w:val="auto"/>
              </w:rPr>
            </w:pPr>
          </w:p>
        </w:tc>
        <w:tc>
          <w:tcPr>
            <w:tcW w:w="294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r>
      <w:tr>
        <w:trPr>
          <w:trHeight w:val="238"/>
        </w:trPr>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9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66,831,000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56"/>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gross margin</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6,777,000</w:t>
            </w:r>
          </w:p>
        </w:tc>
        <w:tc>
          <w:tcPr>
            <w:tcW w:w="4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(9,148,000)</w:t>
            </w:r>
          </w:p>
        </w:tc>
        <w:tc>
          <w:tcPr>
            <w:tcW w:w="2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(17,481,000)</w:t>
            </w: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(24,411,000)</w:t>
            </w:r>
          </w:p>
        </w:tc>
      </w:tr>
      <w:tr>
        <w:trPr>
          <w:trHeight w:val="257"/>
        </w:trPr>
        <w:tc>
          <w:tcPr>
            <w:tcW w:w="4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11,366,000</w:t>
            </w:r>
          </w:p>
        </w:tc>
        <w:tc>
          <w:tcPr>
            <w:tcW w:w="4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(7,016,000)</w:t>
            </w:r>
          </w:p>
        </w:tc>
        <w:tc>
          <w:tcPr>
            <w:tcW w:w="2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(2,089,000)</w:t>
            </w:r>
          </w:p>
        </w:tc>
        <w:tc>
          <w:tcPr>
            <w:tcW w:w="3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(11,512,000)</w:t>
            </w:r>
          </w:p>
        </w:tc>
      </w:tr>
      <w:tr>
        <w:trPr>
          <w:trHeight w:val="256"/>
        </w:trPr>
        <w:tc>
          <w:tcPr>
            <w:tcW w:w="4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22,489,000</w:t>
            </w:r>
          </w:p>
        </w:tc>
        <w:tc>
          <w:tcPr>
            <w:tcW w:w="400" w:type="dxa"/>
            <w:vAlign w:val="bottom"/>
          </w:tcPr>
          <w:p>
            <w:pPr>
              <w:spacing w:after="0"/>
              <w:rPr>
                <w:sz w:val="22"/>
                <w:szCs w:val="22"/>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2,563,000</w:t>
            </w:r>
          </w:p>
        </w:tc>
        <w:tc>
          <w:tcPr>
            <w:tcW w:w="280" w:type="dxa"/>
            <w:vAlign w:val="bottom"/>
          </w:tcPr>
          <w:p>
            <w:pPr>
              <w:spacing w:after="0"/>
              <w:rPr>
                <w:sz w:val="22"/>
                <w:szCs w:val="22"/>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40,327,000</w:t>
            </w:r>
          </w:p>
        </w:tc>
        <w:tc>
          <w:tcPr>
            <w:tcW w:w="3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28,119,000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0.19</w:t>
            </w:r>
          </w:p>
        </w:tc>
        <w:tc>
          <w:tcPr>
            <w:tcW w:w="4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0.24</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(0.49)</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56"/>
        </w:trPr>
        <w:tc>
          <w:tcPr>
            <w:tcW w:w="4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 per share:</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0.32</w:t>
            </w: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34"/>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0.40</w:t>
            </w:r>
          </w:p>
        </w:tc>
        <w:tc>
          <w:tcPr>
            <w:tcW w:w="4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3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bl>
    <w:p>
      <w:pPr>
        <w:spacing w:after="0" w:line="179" w:lineRule="exact"/>
        <w:rPr>
          <w:sz w:val="20"/>
          <w:szCs w:val="20"/>
          <w:color w:val="auto"/>
        </w:rPr>
      </w:pPr>
    </w:p>
    <w:p>
      <w:pPr>
        <w:jc w:val="both"/>
        <w:ind w:left="340" w:hanging="332"/>
        <w:spacing w:after="0" w:line="219"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release.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Harrow Announces Fourth-Quarter and Year-End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team will host a conference call and live webcast tomorrow morning, Friday, March 28, 2025, at 8:00 a.m. Eastern time to discuss the fourth-quarter and year-end 2024 results and provide a business update. Participants can access the live conference call via webcast on the “Investors” page of Harrow’s website. To participate via telephone, please register in advance using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Upon registration, all telephone participants will receive a confirmation email with detailed instructions, including a unique dial-in number and PIN, for accessing the call. A replay of the conference call webcast will be archived on the Company’s website for one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Harrow, Inc. (Nasdaq: HROW) is a leading eyecare pharmaceutical company engaged in the discovery, development, and commercialization of innovative ophthalmic pharmaceutical products for the North American market. Harrow helps eyecare professionals preserve the gift of sight by making its portfolio of pharmaceutical products accessible and affordable to millions of patients each year.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and uncertainties related to our pharmacy operations and the pharmacy and pharmaceutical business in general, including the ongoing communications with the U.S. Food and Drug Administration relating to compliance and quality plans at our outsourcing facility in New Jersey;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2023, subsequent Quarterly Reports on Form 10-Q, and other filings with the SEC.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Webb, Director of Communications and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615-733-4737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Harrow Announces Fourth-Quarter and Year-End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47,247,000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74,085,000</w:t>
            </w:r>
          </w:p>
        </w:tc>
      </w:tr>
      <w:tr>
        <w:trPr>
          <w:trHeight w:val="23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current assets</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142,404,000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65,397,000</w:t>
            </w:r>
          </w:p>
        </w:tc>
      </w:tr>
      <w:tr>
        <w:trPr>
          <w:trHeight w:val="209"/>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189,651,000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139,482,000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assets</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199,320,000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172,682,000</w:t>
            </w:r>
          </w:p>
        </w:tc>
        <w:tc>
          <w:tcPr>
            <w:tcW w:w="80" w:type="dxa"/>
            <w:vAlign w:val="bottom"/>
            <w:shd w:val="clear" w:color="auto" w:fill="CCEEFF"/>
          </w:tcPr>
          <w:p>
            <w:pPr>
              <w:spacing w:after="0"/>
              <w:rPr>
                <w:sz w:val="19"/>
                <w:szCs w:val="19"/>
                <w:color w:val="auto"/>
              </w:rPr>
            </w:pPr>
          </w:p>
        </w:tc>
      </w:tr>
      <w:tr>
        <w:trPr>
          <w:trHeight w:val="263"/>
        </w:trPr>
        <w:tc>
          <w:tcPr>
            <w:tcW w:w="6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388,971,000</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312,164,000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6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91,343,000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49,344,000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 net of unamortized debt discount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219,539,000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185,885,000</w:t>
            </w:r>
          </w:p>
        </w:tc>
        <w:tc>
          <w:tcPr>
            <w:tcW w:w="80" w:type="dxa"/>
            <w:vAlign w:val="bottom"/>
          </w:tcPr>
          <w:p>
            <w:pPr>
              <w:spacing w:after="0"/>
              <w:rPr>
                <w:sz w:val="18"/>
                <w:szCs w:val="18"/>
                <w:color w:val="auto"/>
              </w:rPr>
            </w:pPr>
          </w:p>
        </w:tc>
      </w:tr>
      <w:tr>
        <w:trPr>
          <w:trHeight w:val="23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liabilities</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8,792,000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6,524,000</w:t>
            </w:r>
          </w:p>
        </w:tc>
        <w:tc>
          <w:tcPr>
            <w:tcW w:w="80" w:type="dxa"/>
            <w:vAlign w:val="bottom"/>
            <w:shd w:val="clear" w:color="auto" w:fill="CCEEFF"/>
          </w:tcPr>
          <w:p>
            <w:pPr>
              <w:spacing w:after="0"/>
              <w:rPr>
                <w:sz w:val="19"/>
                <w:szCs w:val="19"/>
                <w:color w:val="auto"/>
              </w:rPr>
            </w:pPr>
          </w:p>
        </w:tc>
      </w:tr>
      <w:tr>
        <w:trPr>
          <w:trHeight w:val="209"/>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319,674,000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241,753,000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69,297,000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70,411,000</w:t>
            </w:r>
          </w:p>
        </w:tc>
      </w:tr>
      <w:tr>
        <w:trPr>
          <w:trHeight w:val="223"/>
        </w:trPr>
        <w:tc>
          <w:tcPr>
            <w:tcW w:w="6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388,971,000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312,164,000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9"/>
          </w:tcPr>
          <w:p>
            <w:pPr>
              <w:jc w:val="right"/>
              <w:ind w:right="80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7"/>
          </w:tcPr>
          <w:p>
            <w:pPr>
              <w:jc w:val="right"/>
              <w:ind w:right="100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14,135,000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11,302,000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color w:val="auto"/>
              </w:rPr>
              <w:t>49,245,000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39,640,000</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52,696,000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25,053,000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150,369,000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90,553,000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26,212,000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129,064,000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4,755,000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3,336,000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12,230,000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6,652,000</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380,000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color w:val="auto"/>
              </w:rPr>
              <w:t>253,000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380,000</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39,797,000</w:t>
            </w: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29,928,000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141,547,000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90,122,000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6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12,899,000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(4,875,000)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5"/>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8,822,000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431,000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(6,636,000)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(4,808,000)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(26,142,000)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(24,141,000)</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514,000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535,000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right"/>
              <w:ind w:right="61"/>
              <w:spacing w:after="0"/>
              <w:rPr>
                <w:sz w:val="20"/>
                <w:szCs w:val="20"/>
                <w:color w:val="auto"/>
              </w:rPr>
            </w:pPr>
            <w:r>
              <w:rPr>
                <w:rFonts w:ascii="Times New Roman" w:cs="Times New Roman" w:eastAsia="Times New Roman" w:hAnsi="Times New Roman"/>
                <w:sz w:val="18"/>
                <w:szCs w:val="18"/>
                <w:color w:val="auto"/>
              </w:rPr>
              <w:t>(161,000)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(701,000)</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Harrow,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6,777,000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(9,148,000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(17,481,000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(24,411,000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0.19</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(0.26)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2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(0.26</w:t>
            </w:r>
          </w:p>
        </w:tc>
        <w:tc>
          <w:tcPr>
            <w:tcW w:w="1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(0.49</w:t>
            </w:r>
          </w:p>
        </w:tc>
        <w:tc>
          <w:tcPr>
            <w:tcW w:w="2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HARROW, INC.</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040" w:type="dxa"/>
            <w:vAlign w:val="bottom"/>
            <w:gridSpan w:val="13"/>
          </w:tcPr>
          <w:p>
            <w:pPr>
              <w:ind w:left="2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7"/>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5"/>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(22,202,000)</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3,840,000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(33,164,000)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(152,553,000)</w:t>
            </w: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28,528,000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126,528,000</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(26,838,000)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74,085,000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96,270,000</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Harrow Announces Fourth-Quarter and Year-End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income (loss), excluding the effects of stock-based compensation and expenses, impairment of intangible assets, interest, taxes, depreciation, amortization, investment (income)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income (loss), for the three months and year ended December 31, 2024 and for the same periods in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9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(24,411,000)</w:t>
            </w:r>
          </w:p>
        </w:tc>
        <w:tc>
          <w:tcPr>
            <w:tcW w:w="1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4,794,000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4,175,000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17,619,000</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15,696,000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5,124,000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22,786,000</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21,324,000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(514,000)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(535,000)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161,000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701,000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1,850,000</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4,075,000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2,448,000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11,783,000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10,082,000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4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(3,092,000)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168,000</w:t>
            </w: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261,000</w:t>
            </w:r>
          </w:p>
        </w:tc>
        <w:tc>
          <w:tcPr>
            <w:tcW w:w="4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420" w:type="dxa"/>
            <w:vAlign w:val="bottom"/>
          </w:tcPr>
          <w:p>
            <w:pPr>
              <w:spacing w:after="0"/>
              <w:rPr>
                <w:sz w:val="19"/>
                <w:szCs w:val="19"/>
                <w:color w:val="auto"/>
              </w:rPr>
            </w:pPr>
          </w:p>
        </w:tc>
        <w:tc>
          <w:tcPr>
            <w:tcW w:w="11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6"/>
                <w:szCs w:val="16"/>
                <w:color w:val="auto"/>
              </w:rPr>
              <w:t>5,741,000</w:t>
            </w:r>
            <w:r>
              <w:rPr>
                <w:rFonts w:ascii="Times New Roman" w:cs="Times New Roman" w:eastAsia="Times New Roman" w:hAnsi="Times New Roman"/>
                <w:sz w:val="26"/>
                <w:szCs w:val="26"/>
                <w:color w:val="auto"/>
                <w:vertAlign w:val="superscript"/>
              </w:rPr>
              <w:t>(1)</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28,119,000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$5,465,000 for the loss on extinguishment of debt.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Harrow Announces Fourth-Quarter and Year-End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Core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Harrow Core Results, including core gross margin, core net income (loss), and core basic and diluted income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Core Results, non-GAAP measures, to the most comparable GAAP measures for the three months and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for the same periods in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8"/>
                <w:szCs w:val="18"/>
                <w:b w:val="1"/>
                <w:bCs w:val="1"/>
                <w:color w:val="auto"/>
              </w:rPr>
              <w:t>of Certain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52,696,000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56,318,000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12,899,000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4,075,000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17,227,000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6,263,000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4,075,000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261,000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10,852,000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514,000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6,777,000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4,075,000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261,000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11,366,000</w:t>
            </w:r>
          </w:p>
        </w:tc>
        <w:tc>
          <w:tcPr>
            <w:tcW w:w="0" w:type="dxa"/>
            <w:vAlign w:val="bottom"/>
          </w:tcPr>
          <w:p>
            <w:pPr>
              <w:spacing w:after="0"/>
              <w:rPr>
                <w:sz w:val="1"/>
                <w:szCs w:val="1"/>
                <w:color w:val="auto"/>
              </w:rPr>
            </w:pPr>
          </w:p>
        </w:tc>
      </w:tr>
      <w:tr>
        <w:trPr>
          <w:trHeight w:val="256"/>
        </w:trPr>
        <w:tc>
          <w:tcPr>
            <w:tcW w:w="20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Income 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35,807,767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35,807,767</w:t>
            </w: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28,317,740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28,317,740</w:t>
            </w:r>
          </w:p>
        </w:tc>
        <w:tc>
          <w:tcPr>
            <w:tcW w:w="0" w:type="dxa"/>
            <w:vAlign w:val="bottom"/>
          </w:tcPr>
          <w:p>
            <w:pPr>
              <w:spacing w:after="0"/>
              <w:rPr>
                <w:sz w:val="1"/>
                <w:szCs w:val="1"/>
                <w:color w:val="auto"/>
              </w:rPr>
            </w:pPr>
          </w:p>
        </w:tc>
      </w:tr>
      <w:tr>
        <w:trPr>
          <w:trHeight w:val="414"/>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8"/>
                <w:szCs w:val="18"/>
                <w:b w:val="1"/>
                <w:bCs w:val="1"/>
                <w:color w:val="auto"/>
              </w:rPr>
              <w:t>of Certain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150,369,000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160,462,000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8,822,000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11,783,000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20,858,000</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income before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(17,320,000)</w:t>
            </w: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11,783,000</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(1,928,000)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(17,481,000)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11,783,000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(2,089,000)</w:t>
            </w: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4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35,650,714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35,650,714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Harrow Announces Fourth-Quarter and Year-End 2024 Financial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8"/>
                <w:szCs w:val="18"/>
                <w:b w:val="1"/>
                <w:bCs w:val="1"/>
                <w:color w:val="auto"/>
              </w:rPr>
              <w:t>of Certain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25,053,000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(4,875,000)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2,448,000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(2,427,000)</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income before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(9,683,000)</w:t>
            </w: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2,448,000</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(416,000)</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(7,551,000)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535,000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(9,148,000)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2,448,000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(416,000)</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(7,016,000)</w:t>
            </w: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4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35,353,848</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35,353,848</w:t>
            </w:r>
          </w:p>
        </w:tc>
        <w:tc>
          <w:tcPr>
            <w:tcW w:w="0" w:type="dxa"/>
            <w:vAlign w:val="bottom"/>
          </w:tcPr>
          <w:p>
            <w:pPr>
              <w:spacing w:after="0"/>
              <w:rPr>
                <w:sz w:val="1"/>
                <w:szCs w:val="1"/>
                <w:color w:val="auto"/>
              </w:rPr>
            </w:pPr>
          </w:p>
        </w:tc>
      </w:tr>
      <w:tr>
        <w:trPr>
          <w:trHeight w:val="432"/>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8"/>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8"/>
                <w:szCs w:val="18"/>
                <w:b w:val="1"/>
                <w:bCs w:val="1"/>
                <w:color w:val="auto"/>
              </w:rPr>
              <w:t>of Certain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90,553,000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9,314,000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99,867,000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431,000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10,082,000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10,513,000</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income before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(23,710,000)</w:t>
            </w: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10,082,000</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(3,092,000)</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5,909,000</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(10,811,000)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(24,411,000)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10,082,000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(3,092,000)</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5,909,000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(11,512,000)</w:t>
            </w: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4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32,616,777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32,616,777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basic and diluted income (loss) per share is calculated using the weighted-average number of shares of common stock outstanding during the period. Core basic and diluted income (loss) per share also contemplates dilutive shares associated with equity-based awards as described in Note 2 and elsewhere in the Consolidated Financial Statements included in the Company’s Annual Report on Form 10-K for the year ended December 31, 2024.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164465</wp:posOffset>
            </wp:positionV>
            <wp:extent cx="1543050"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to Stockholders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Harrow Stockholders: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 tremendous close to a monumental year – and today, I am pleased to report another period of record financial performance by the Harrow team, with fourth-quarter revenue of $66.8 million, an impressive 84% year-over-year increase. Revenues for 2024 increased 53% to $199.6 million, exceeding the 47% annual growth achieved in the previous year (2022-2023). Notably, these results were attained with only a minimal contribution from the recently relaunched TRIESENCE®, which is anticipated to make a more substantial positive financial impact later this year (</w:t>
      </w:r>
      <w:r>
        <w:rPr>
          <w:rFonts w:ascii="Times New Roman" w:cs="Times New Roman" w:eastAsia="Times New Roman" w:hAnsi="Times New Roman"/>
          <w:sz w:val="18"/>
          <w:szCs w:val="18"/>
          <w:i w:val="1"/>
          <w:iCs w:val="1"/>
          <w:color w:val="auto"/>
        </w:rPr>
        <w:t>see page 5 for more details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thanks to our strong financial performance in the fourth quarter, which included net income of $6.8 million and Adjusted EBITDA (a non-GAAP measure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of approximately $22.5 million, we successfully met the annual leverage ratio term under our senior secured loan agreement, and, as promised, we avoided the need to issue warrants to our lender. This achievement reflects our continued commitment to disciplined execution, profitability, and long-term value creation for our stockholders.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steady revenue growth, over many years, is a testament to the strength of our Five-Year Strategic Plan, the discipline behind its execution, and the dedication of the nearly 400-strong members of the Harrow Family, motivated by a common goal of helping patients safeguard one of their most precious gifts – </w:t>
      </w:r>
      <w:r>
        <w:rPr>
          <w:rFonts w:ascii="Times New Roman" w:cs="Times New Roman" w:eastAsia="Times New Roman" w:hAnsi="Times New Roman"/>
          <w:sz w:val="18"/>
          <w:szCs w:val="18"/>
          <w:i w:val="1"/>
          <w:iCs w:val="1"/>
          <w:color w:val="auto"/>
        </w:rPr>
        <w:t>the gift of sight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increasing the value of our company. While not everything will go our way, much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Therefore, I expect our growth to continue as we execute our vision of becoming North America’s leading ophthalmic pharmaceutical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rest of 2025, we are focused on revenue growth from increased IHEEZO® unit demand, improving patient access to VEVYE® and significantly and rapidly growing our U.S. dry eye disease (DED) market share, making TRIESENCE the injectable steroid of choice for U.S. ophthalmologists, and leveraging our portfolio of products and commercial organization throughout the enterprise.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stockholders have expressed concerns regarding the potential impact of tariffs on our business. However, based on our analysis, we do not anticipate a noticeable impact on our financial results.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based on current visibility and consistent with our historical approach to providing directional financial guidance, we are issuing full-year 2025 revenue guidance of “over $280 million,” with our higher-margin branded business expected to drive the lion’s share of our growth. While we anticipate typical seasonal revenue patterns, we expect the momentum from recent initiatives to begin gaining traction in the second quarter and continue to build throughout the remainder of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and Full-Year 2024 Financials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 delivered record revenues in the fourth quarter of 2024, reaching $66.8 million, an 84% increase over the prior year’s fourth quarter revenues of $36.4 million and a 36% sequential increase over the third quarter of 2024 revenues of $49.3 million. Full-year 2024 revenues grew 53% to $199.6 million from $130.2 million in 2023 – a reflection of our strong execution and strategic portfolio expansion.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spacing w:after="0" w:line="226" w:lineRule="auto"/>
        <w:rPr>
          <w:sz w:val="20"/>
          <w:szCs w:val="20"/>
          <w:color w:val="auto"/>
        </w:rPr>
      </w:pPr>
      <w:r>
        <w:rPr>
          <w:rFonts w:ascii="Times New Roman" w:cs="Times New Roman" w:eastAsia="Times New Roman" w:hAnsi="Times New Roman"/>
          <w:sz w:val="18"/>
          <w:szCs w:val="18"/>
          <w:color w:val="auto"/>
        </w:rPr>
        <w:t>GAAP net income for the fourth quarter of 2024 was $6.8 million compared with a GAAP net loss in the prior year’s fourth quarter of $(9.1) million. Core net income (a non-GAAP measure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for the fourth quarter of 2024 was $11.4 million compared with a core net loss of $(7.0) million in the prior year’s fourth quarter.</w:t>
      </w:r>
    </w:p>
    <w:p>
      <w:pPr>
        <w:spacing w:after="0" w:line="20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Adjusted EBITDA (a non-GAAP measure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for the fourth quarter of 2024 increased to $22.5 million compared with Adjusted EBITDA of $2.6 million during the same quarter last year. Adjusted EBITDA for full-year 2024 increased 43% to $40.3 million compared with Adjusted EBITDA for full-year 2023 of $28.1 million.</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cash and cash equivalents totaled $47.2 million. Accounts receivable stood at $116.4 million, reflecting the robust increase in branded sales. However, during the fourth quarter, we extended payment terms to our largest distributor customer, a Fortune 500 company, to allow end users of our branded products to complete revenue cycles before making payments. While this negatively impacted our cash flows from operations by approximately $17.8 million in the fourth quarter, our strong cash position allowed us to extend this strategic concession without compromising stability. Given the distributor’s financial strength and reliability, we view this as a prudent credit decision and remain confident in the long-term benefits of this approach. Importantly, going forward and beginning in 2025, we do not expect to see impacts from these kinds of working capital changes and should be back on track to producing cash flow from operations.</w:t>
      </w:r>
    </w:p>
    <w:p>
      <w:pPr>
        <w:spacing w:after="0" w:line="19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GAAP gross margins were 79% for the fourth quarter of 2024 compared to 69% in the same quarter in 2023. Core gross margins (a non-GAAP measure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rose to 84% in the fourth quarter of 2024 compared with 75% in the same period in 2023. GAAP gross margins were 75% for full-year 2024 compared to 70% in full-year 2023, with core gross margins being 80% for full-year 2024 compared with 77% for full-year 2023.</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key highlight of the fourth quarter was the continued strong performance of IHEEZO and VEVYE, both of which surpassed the threshold of contributing 10% or more of total Harrow revenues. As a result, we reported individual revenues for these products in the Form 10-K filing, as reflected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328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For the Year Ended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IHEEZO</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$22,805,000</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$10,548,000</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49,303,000</w:t>
            </w: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20,621,000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VEVYE</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15,962,000</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1,766,000</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28,061,000</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1,766,000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branded products</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7,028,000</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1,919,000</w:t>
            </w: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37,836,000</w:t>
            </w: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15,124,000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60" w:type="dxa"/>
            <w:vAlign w:val="bottom"/>
          </w:tcPr>
          <w:p>
            <w:pPr>
              <w:spacing w:after="0"/>
              <w:rPr>
                <w:sz w:val="19"/>
                <w:szCs w:val="19"/>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2,162,000</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915,000</w:t>
            </w:r>
          </w:p>
        </w:tc>
        <w:tc>
          <w:tcPr>
            <w:tcW w:w="9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12,747,000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revenue, net</w:t>
            </w: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46,335,000</w:t>
            </w:r>
          </w:p>
        </w:tc>
        <w:tc>
          <w:tcPr>
            <w:tcW w:w="2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16,395,000</w:t>
            </w:r>
          </w:p>
        </w:tc>
        <w:tc>
          <w:tcPr>
            <w:tcW w:w="2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116,115,000</w:t>
            </w:r>
          </w:p>
        </w:tc>
        <w:tc>
          <w:tcPr>
            <w:tcW w:w="2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50,258,000</w:t>
            </w:r>
          </w:p>
        </w:tc>
        <w:tc>
          <w:tcPr>
            <w:tcW w:w="300" w:type="dxa"/>
            <w:vAlign w:val="bottom"/>
            <w:vMerge w:val="continue"/>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ImprimisRx revenue, net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20,496,000</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19,960,000</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83,499,000</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79,935,000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66,831,000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36,355,000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199,614,000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130,193,000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strength of our branded pharmaceutical portfolio – particularly the outstanding growth of IHEEZO and VEVYE – highlights the increasing market adoption of our innovative ophthalmic pharmaceutical products. With IHEEZO contributing 34% of total revenue and VEVYE accounting for 24% of sales in the fourth quarter of 2024, we see a clear shift toward a more diversified and higher-margin revenue base.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move into 2025, in addition to the traditional quarter-to-quarter revenue build we experienced in 2024, we expect growth across our branded portfolio, enhancing profitability through operational efficiencies and strategically positioning Harrow for continued leadership in the ophthalmic pharmaceutical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3" w:lineRule="exact"/>
        <w:rPr>
          <w:sz w:val="20"/>
          <w:szCs w:val="20"/>
          <w:color w:val="auto"/>
        </w:rPr>
      </w:pPr>
    </w:p>
    <w:p>
      <w:pPr>
        <w:ind w:left="5580" w:right="4560" w:hanging="5572"/>
        <w:spacing w:after="0" w:line="372" w:lineRule="auto"/>
        <w:tabs>
          <w:tab w:leader="none" w:pos="164"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reconciliation of all non-GAAP measures can be found starting on page 10 of this letter.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VEVYE® Access for 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VEVYE is a patented formulation of 0.1% cyclosporine delivered in a semi-fluorinated alkane (SFA) vehicle, indicated for the signs and symptoms of DED. It is also the only SFA-based product in the U.S. market that contains an anti-inflammatory active pharmaceutical ingredient, differentiating it in function and feel from every competitor.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January 2025 marked the first anniversary of VEVYE’s launch, with physician and patient interest continuing to exceed our expectations, particularly regarding our exceptional refill rate. VEVYE’s prescription growth rose by 44% from the third quarter to the fourth quarter of 2024 (see slide 7 of our 4Q24 corporate deck). National market share gains were impressive, with VEVYE approaching 5% of the total DED market, based on IQVIA datasets.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commercial team has done a fantastic job spearheading VEVYE’s debut, leveraging prescriber and patient dissatisfaction with older, less efficacious, and less tolerable treatments that led many to over-the-counter (OTC) non-disease-modifying options. However, with the introduction of more effective and tolerable prescription products like VEVYE, these patients are returning to prescription therapies, resulting in market expansion for the prescription category – </w:t>
      </w:r>
      <w:r>
        <w:rPr>
          <w:rFonts w:ascii="Times New Roman" w:cs="Times New Roman" w:eastAsia="Times New Roman" w:hAnsi="Times New Roman"/>
          <w:sz w:val="18"/>
          <w:szCs w:val="18"/>
          <w:i w:val="1"/>
          <w:iCs w:val="1"/>
          <w:color w:val="auto"/>
        </w:rPr>
        <w:t>and an outstanding first year for VEVYE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real VEVYE market share story is in many discrete markets where VEVYE massively outperforms national market share numbers. In fact, we have a greater than 10% share in eight major metropolitan markets we cover.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Here is the even better VEVYE news: We believe we have a clear signal that we can achieve our market leadership goals for VEVYE – including double-digit market share status in other major markets – with a few tweaks to our market access program.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Regarding market access, even the most phenomenal drugs can still fail due to procedural and financial barriers, as well as other logistical impediments, which are often imposed by middlemen between patients, prescribers, and the necessary prescription medications. The net effect for patients is not having access to what they are prescribed. Access is critical to ensuring patients benefit from the best available treatments, and Harrow is 100% committed to rooting out and eliminating access barriers to VEVYE. After all, a great clinical option like VEVYE means little if patients can’t obtain or afford it.</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To match words with action, we recently launched the groundbreaking </w:t>
      </w:r>
      <w:r>
        <w:rPr>
          <w:rFonts w:ascii="Times New Roman" w:cs="Times New Roman" w:eastAsia="Times New Roman" w:hAnsi="Times New Roman"/>
          <w:sz w:val="18"/>
          <w:szCs w:val="18"/>
          <w:i w:val="1"/>
          <w:iCs w:val="1"/>
          <w:color w:val="auto"/>
        </w:rPr>
        <w:t>VEVYE® Access for All</w:t>
      </w:r>
      <w:r>
        <w:rPr>
          <w:rFonts w:ascii="Times New Roman" w:cs="Times New Roman" w:eastAsia="Times New Roman" w:hAnsi="Times New Roman"/>
          <w:sz w:val="18"/>
          <w:szCs w:val="18"/>
          <w:color w:val="auto"/>
        </w:rPr>
        <w:t xml:space="preserve"> Program. This program guarantees access to VEVYE for eligible patients and health plans, ensuring that every patient can affordably start treatment without obstacles. I believe this is the most generous market access program in the U.S. prescription dry eye market.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VEVYE Access for All unshackles eyecare professionals and their staff from the costs of managing prior authorizations, “step-therapy,” and other administrative burdens. It improves VEVYE accessibility for patients with Medicare Part D, Commercial insurance, Medicaid, or no insurance. It also expands our market by providing affordable access to a disease-modifying prescription product choice for individuals suffering from dry eye who currently use high-priced OTC tear substitutes and lubricants.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expect VEVYE Access for All, coupled with another soon-to-be-announced program, to accelerate our market momentum, increase commercially covered prescriptions, and strengthen prescriber confidence by ensuring that when they write a VEVYE prescription, their patients will receive it – free from any implicit challenge to their professional ethics or clinical intelligence.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18"/>
          <w:szCs w:val="18"/>
          <w:color w:val="auto"/>
        </w:rPr>
        <w:t>For Harrow stockholders, VEVYE Access for All should translate into higher prescription volumes – both initial fills and refills – and steady revenue growth for our VEVYE franchise. Most importantly, it ensures profitability for every VEVYE prescription without forcing Harrow to “invest in coverage” and risk losing money on a significant portion of these prescriptions. In industry terms, “investing in coverage” typically means offering large rebates to middlemen over several years in exchange for formulary access. In competitive markets like dry eye disease, these rebates, combined with other steep commercial costs, can result in a net loss per prescription that is hard to reverse. Even worse, for most branded dry eye products, patients often face out-of-pocket costs exceeding what most patients will now pay for VEVYE, regardless of insurance coverage or formulary status. And – even worse for prescribers – they remain on the hook to wrestle with prior authorization and step-therapy hassles. I hope our stockholders are pleased with the approach we’ve decided to take!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Lastly, during the second quarter of 2025, some of our partners will cease reporting VEVYE prescription data to third-party aggregators, such as IQVIA. Consequently, VEVYE data from these sources will soon become more inaccurate. That said, we will continue to update the market with certain performance metrics in our public-facing communications at the end of each reporting period.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Harrow’s Posterior Segment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Harrow’s posterior segment portfolio includes IHEEZO and TRIESENCE. This portfolio achieved significant milestones during the fourth quarter, driven by our all-star commercial team that delivered increased product adoption, expanded and strengthened strategic relationships with the U.S. retina community, and fostered strong customer engagement by highlighting the clinical merits of our product portfolio.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note, during the fourth quarter, Harrow executed its first agreement with a Group Purchasing Organization (GPO) for both IHEEZO and TRIESENCE, providing access to a key product procurement marketplace relied upon by retina accounts of all sizes. This first GPO agreement has been well received, enhancing awareness of both products. Harrow is already planning additional GPO agreements to expand market access, increase product visibility, and streamline the ordering process for the retina community.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Harrow remains focused on expanding patient access and utilization for IHEEZO and TRIESENCE across Medicare and commercial patient populations. This commitment is exemplified by the late January 2025 </w:t>
      </w:r>
      <w:r>
        <w:rPr>
          <w:rFonts w:ascii="Times New Roman" w:cs="Times New Roman" w:eastAsia="Times New Roman" w:hAnsi="Times New Roman"/>
          <w:sz w:val="18"/>
          <w:szCs w:val="18"/>
          <w:u w:val="single" w:color="auto"/>
          <w:color w:val="auto"/>
        </w:rPr>
        <w:t>launch</w:t>
      </w:r>
      <w:r>
        <w:rPr>
          <w:rFonts w:ascii="Times New Roman" w:cs="Times New Roman" w:eastAsia="Times New Roman" w:hAnsi="Times New Roman"/>
          <w:sz w:val="18"/>
          <w:szCs w:val="18"/>
          <w:color w:val="auto"/>
        </w:rPr>
        <w:t xml:space="preserve"> of “Harrow Cares,” a comprehensive program designed to enhance access and affordability. The initiative streamlines enrollment, accelerates therapy initiation, and provides personalized support, empowering retina specialists to confidently utilize IHEEZO and TRIESENCE in their practices. Additionally, Harrow is strengthening its engagement with the retina community through peer-to-peer education, key opinion leader (KOL) collaborations, and strategic initiatives at major industry congresses.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IHEEZO Update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previously announced “Retina Pivot” drove IHEEZO’s strong momentum in the fourth quarter, with customer unit demand volumes increasing 43% to 49,130 units compared with 34,468 units in the third quarter of 2024. This represents IHEEZO’s highest quarter-over-quarter revenue growth since its launch in April of 2023 and resulted in revenue of $23 million in the fourth quarter of 2024, or 34% of Harrow’s total revenues. Customer unit demand remains on the rise, supported by an impressive 86% reorder rate, consistent numbers of new IHEEZO accounts, and positive feedback from physicians and patients regarding the numerous clinical benefits IHEEZO offers. Given the overall market opportunity for IHEEZO, while there will be quarterly fluctuations in unit demand, we expect meaningful and continued year-over-year revenue growth for many years.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TRIESENCE Update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expected, TRIESENCE is fulfilling a critical unmet market need. Highly trusted by eyecare physicians and much preferred over the potentially dangerous off-label alternatives, TRIESENCE has a broad label and cost advantages over other branded steroids. These factors have enabled us to position TRIESENCE as a clinically compelling choice for retina specialists during this relaunch. Since its relaunch in October 2024, Harrow has expanded its customer base by over 230 new accounts, significantly increasing its presence among retina specialists nationwide.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above said, eyecare professionals will not purchase TRIESENCE if they cannot receive adequate and timely reimbursement. When we acquired TRIESENCE, market access activities were not maintained and needed attention. Our team has been working diligently and has made significant progress. As you will see below, we are optimizing access for prescribers and patients at both private and public payor levels, with more payers establishing coverage for TRIESENCE in office and hospital settings. We expect this trend to continue, enabling TRIESENCE to contribute more meaningfully to our revenues. Here are some specific TRIESENCE wins our team is responsible for:</w:t>
      </w:r>
    </w:p>
    <w:p>
      <w:pPr>
        <w:spacing w:after="0" w:line="183" w:lineRule="exact"/>
        <w:rPr>
          <w:sz w:val="20"/>
          <w:szCs w:val="20"/>
          <w:color w:val="auto"/>
        </w:rPr>
      </w:pPr>
    </w:p>
    <w:p>
      <w:pPr>
        <w:jc w:val="both"/>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announced a five-year strategic supply and development agreement for TRIESENCE with the current U.S.-based contract manufacturing organization (CMO) producing TRIESENCE. This agreement will increase supply assurance by leveraging more than 15 years of experience with the TRIESENCE manufacturing process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announced that we had begun developing a next-generation version of TRIESENCE and intend to submit a new drug application (NDA) to the U.S. Food and Drug Administration (FDA) before the end of 2027.</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TRIESENCE permanent, product-specific J-Code (J3300), which enables individual billing in the in-office setting for ophthalmologists, optometrists, and retina specialists, has now been successfully billed by all 12 Medicare Administrative Contractors (MACs).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Centers for Medicare &amp; Medicaid Services (CMS) recently published and confirmed the Average Sales Price (ASP) amount for TRIESENCE, effective April 1, 2025. This transparency provides clarity into the expected reimbursement per unit, assurance of coverage through Medicare (including Medicare Advantage), and market validation for ASP pricing among commercial carriers – all while offering physicians greater simplicity and predictability in the adjudication and reimbursement process for TRIESENCE.</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CMS recently granted TRIESENCE transitional pass-through reimbursement status – similar to what was granted to IHEEZO in March 2023. Starting on April 1, 2025, and for the following three years, TRIESENCE will be eligible for separate, full reimbursement outside of the bundled surgical payment in both Ambulatory Surgery Center (ASC) and Hospital Outpatient Department (HOPD) settings of care. This change is particularly beneficial for ASCs, where procedures are typically reimbursed under a bundled payment system that includes both the procedure and the associated drugs. With pass-through status, ASCs can now receive reimbursement based on the Average Sales Price (ASP) + 6% in both the ASC and HOPD settings of case.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Specialty Branded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Specialty Branded Products (SBPs), one of the broadest portfolios in the North American market, consists of ILEVRO®, NEVANAC®, VIGAMOX®, MAXITROL®, MAXIDEX®, IOPIDINE®, NATACYN™, FLAREX®, TOBRADEX® ST, VERKAZIA®, FRESHKOTE®, and ZERVIATE®. These trusted products have helped establish Harrow as a leading ophthalmic pharmaceutical company by ensuring eyecare professionals can access these important products. For our stockholders, this portfolio represents a strong and growing financial asset, driving meaningful revenue and margin contributions that support Harrow’s continued success.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ImprimisRx</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ImprimisRx performed well during the fourth quarter, contributing record quarterly revenues and the highest annual revenue level in its 10-plus-year history.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some of you may know, the Harrow you know today was largely built by leveraging ImprimisRx. Consistent with that theme, we launched Project Beagle this year, a 360-degree review of opportunities to offer ImprimisRx customers a Harrow-owned FDA-approved SBP alternative to a compounded formulation. To be clear, </w:t>
      </w:r>
      <w:r>
        <w:rPr>
          <w:rFonts w:ascii="Times New Roman" w:cs="Times New Roman" w:eastAsia="Times New Roman" w:hAnsi="Times New Roman"/>
          <w:sz w:val="18"/>
          <w:szCs w:val="18"/>
          <w:i w:val="1"/>
          <w:iCs w:val="1"/>
          <w:color w:val="auto"/>
        </w:rPr>
        <w:t>we are not exiting compounding</w:t>
      </w:r>
      <w:r>
        <w:rPr>
          <w:rFonts w:ascii="Times New Roman" w:cs="Times New Roman" w:eastAsia="Times New Roman" w:hAnsi="Times New Roman"/>
          <w:sz w:val="18"/>
          <w:szCs w:val="18"/>
          <w:color w:val="auto"/>
        </w:rPr>
        <w:t xml:space="preserve">. Thousands of U.S. eyecare professionals rely on our ImprimisRx compounded products to treat sight-threatening and sight-preserving conditions. ImprimisRx products are also used by numerous eyecare professionals each year to help give the gift of sight to tens of thousands of patients worldwide in medical missions. I don’t want our commitment to support mission work ever to end. That said, we’ve successfully reduced the cost structure for many of our SBPs (manufactured by third-party CMOs) to the point that we can </w:t>
      </w:r>
      <w:r>
        <w:rPr>
          <w:rFonts w:ascii="Times New Roman" w:cs="Times New Roman" w:eastAsia="Times New Roman" w:hAnsi="Times New Roman"/>
          <w:sz w:val="18"/>
          <w:szCs w:val="18"/>
          <w:i w:val="1"/>
          <w:iCs w:val="1"/>
          <w:color w:val="auto"/>
        </w:rPr>
        <w:t>lower costs</w:t>
      </w:r>
      <w:r>
        <w:rPr>
          <w:rFonts w:ascii="Times New Roman" w:cs="Times New Roman" w:eastAsia="Times New Roman" w:hAnsi="Times New Roman"/>
          <w:sz w:val="18"/>
          <w:szCs w:val="18"/>
          <w:color w:val="auto"/>
        </w:rPr>
        <w:t xml:space="preserve"> for customers while potentially increasing our profitability.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Finally, during the fourth quarter of last year, we announced that we had received a $34.9 million jury verdict award in the case of </w:t>
      </w:r>
      <w:r>
        <w:rPr>
          <w:rFonts w:ascii="Times New Roman" w:cs="Times New Roman" w:eastAsia="Times New Roman" w:hAnsi="Times New Roman"/>
          <w:sz w:val="18"/>
          <w:szCs w:val="18"/>
          <w:i w:val="1"/>
          <w:iCs w:val="1"/>
          <w:color w:val="auto"/>
        </w:rPr>
        <w:t>ImprimisRx, LLC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OSRX, Inc. </w:t>
      </w:r>
      <w:r>
        <w:rPr>
          <w:rFonts w:ascii="Times New Roman" w:cs="Times New Roman" w:eastAsia="Times New Roman" w:hAnsi="Times New Roman"/>
          <w:sz w:val="18"/>
          <w:szCs w:val="18"/>
          <w:color w:val="auto"/>
        </w:rPr>
        <w:t>(OSRX). The eight-member jury in this case unanimously found OSRX, Inc. or Ocular Science, Inc. acted with malice, fraud, or oppression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willfully engaged in trademark infringement and unfair competition under California and federal law. As a part of their verdict, the jury awarded over $20 million in punitive damages. We look forward to updating our stockholders as this case progresses through the final litigation stages before collection proceedings can commence.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Acquisitions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Andrew and I are excited about a few acquisition and in-licensing opportunities we’ve been working on. As usual, there are two sides to every deal, and we cannot control whether we will ultimately close any specific deal. Count on us to not waver from our approach to acquisitions and the co-opted “Buffett Criteria” I described in my last Letter to Stockholders, requiring that an opportunity must be (1) meaningful, (2) sensible, and (3) increase stockholder value on a per-share basis. We have zero interest in risky science projects. Instead, we look for very “easy pitches” – meaning (a) a clear and defined regulatory pathway, (b) limited development investment requirements and rapid completion of development to an NDA submission, and (c) an informed expectation of payment sufficient to generate an attractive return on our investment.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opportunity may be with a business we founded – Melt Pharmaceuticals, Inc. (Melt). Melt is a clinical-stage pharmaceutical company focused on developing non-opioid, non-IV sedation therapeutics for medical procedures in the hospital, outpatient, and in-office settings – including ophthalmic procedures. Melt’s core intellectual property is the subject of multiple granted patents in North America, Europe, Asia, and the Middle East. Harrow already owns approximately 45% of Melt’s equity interests and a 5% royalty interest in Melt’s MELT-300 program. For Harrow stockholders, an FDA-approved MELT-300 would result in a loss of revenue from ImprimisRx’s compounded MKO Melt, equivalent to approximately 1% of our overall revenue. However, concurrently, Harrow would expect an increased value in its Melt equity and a royalty structure that could far exceed the profits from the MKO Melt. With projected sales of over 175,000 MKO Melt units in 2025, an FDA-approved MELT-300 could significantly boost market unit demand, setting the stage for a powerful launch and potentially serving as another example of Project Beagle.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Capital Structure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Below are the details of Harrow’s current debt obligations, which total approximately $222.75 million:</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Principal</w:t>
            </w:r>
          </w:p>
        </w:tc>
        <w:tc>
          <w:tcPr>
            <w:tcW w:w="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8"/>
                <w:szCs w:val="18"/>
                <w:color w:val="auto"/>
              </w:rPr>
            </w:pPr>
          </w:p>
        </w:tc>
        <w:tc>
          <w:tcPr>
            <w:tcW w:w="426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8"/>
                <w:szCs w:val="18"/>
                <w:b w:val="1"/>
                <w:bCs w:val="1"/>
                <w:color w:val="auto"/>
              </w:rPr>
              <w:t>Details</w:t>
            </w: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Maturing</w:t>
            </w:r>
          </w:p>
        </w:tc>
        <w:tc>
          <w:tcPr>
            <w:tcW w:w="0" w:type="dxa"/>
            <w:vAlign w:val="bottom"/>
          </w:tcPr>
          <w:p>
            <w:pPr>
              <w:spacing w:after="0"/>
              <w:rPr>
                <w:sz w:val="1"/>
                <w:szCs w:val="1"/>
                <w:color w:val="auto"/>
              </w:rPr>
            </w:pPr>
          </w:p>
        </w:tc>
      </w:tr>
      <w:tr>
        <w:trPr>
          <w:trHeight w:val="236"/>
        </w:trPr>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Type</w:t>
            </w: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i w:val="1"/>
                <w:iCs w:val="1"/>
                <w:color w:val="auto"/>
                <w:w w:val="99"/>
              </w:rPr>
              <w:t>(in millions)</w:t>
            </w:r>
          </w:p>
        </w:tc>
        <w:tc>
          <w:tcPr>
            <w:tcW w:w="180" w:type="dxa"/>
            <w:vAlign w:val="bottom"/>
          </w:tcPr>
          <w:p>
            <w:pPr>
              <w:spacing w:after="0"/>
              <w:rPr>
                <w:sz w:val="20"/>
                <w:szCs w:val="20"/>
                <w:color w:val="auto"/>
              </w:rPr>
            </w:pPr>
          </w:p>
        </w:tc>
        <w:tc>
          <w:tcPr>
            <w:tcW w:w="426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Debt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Oaktree facility, interest-only</w:t>
            </w: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 2023</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 2026</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Unsecured Senior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75.00</w:t>
            </w:r>
          </w:p>
        </w:tc>
        <w:tc>
          <w:tcPr>
            <w:tcW w:w="4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Nasdaq: HROWL, 8.625% interest rate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 2021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 2026</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Unsecured Senior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40.25</w:t>
            </w:r>
          </w:p>
        </w:tc>
        <w:tc>
          <w:tcPr>
            <w:tcW w:w="4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Nasdaq: HROWM, 11.875% interest rate</w:t>
            </w:r>
          </w:p>
        </w:tc>
        <w:tc>
          <w:tcPr>
            <w:tcW w:w="15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Dec 2022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 2027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engaged in discussions with our lenders and other potential partners to review options for refinancing or fully or partially repaying our debt obligations. These discussions involve multiple parties.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objective is to reduce our cost of capital, enhance financial flexibility, and ensure that we have the necessary resources to continue pursuing strategic opportunities. Given the business’s performance, we remain confident in our ability to achieve these goals in a manner that delivers long-term value to our stockholders.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Finally, it’s worth highlighting that Andrew and I have been working for over 12 years for our equity in Harrow. A substantial portion of our personal net worth is invested in Harrow common stock – shares we have earned, purchased for cash, and </w:t>
      </w:r>
      <w:r>
        <w:rPr>
          <w:rFonts w:ascii="Times New Roman" w:cs="Times New Roman" w:eastAsia="Times New Roman" w:hAnsi="Times New Roman"/>
          <w:sz w:val="18"/>
          <w:szCs w:val="18"/>
          <w:i w:val="1"/>
          <w:iCs w:val="1"/>
          <w:color w:val="auto"/>
        </w:rPr>
        <w:t>never sold</w:t>
      </w:r>
      <w:r>
        <w:rPr>
          <w:rFonts w:ascii="Times New Roman" w:cs="Times New Roman" w:eastAsia="Times New Roman" w:hAnsi="Times New Roman"/>
          <w:sz w:val="18"/>
          <w:szCs w:val="18"/>
          <w:color w:val="auto"/>
        </w:rPr>
        <w:t>. Therefore, rest assured that our interests are aligned, and we are working diligently to ensure that Harrow’s debt does not jeopardize the value of Harrow’s common stock – now or in the future.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hope you are pleased with our 2024 performance and the expectations we have set for this year. Last year, there are things we could have done better, but we ultimately got many things right. All in all, it was an incredibly positive year of growth, setting the stage for our march toward achieving the long-term goals outlined in our Five-Year Strategic Plan. With 2025 underway, we aim to accelerate our momentum and reach even more remarkable successes this year and beyond.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our stockholders, partners, and the entire Harrow Family, thank you for your trust and support. The future at Harrow is bright, and we look forward to sharing its promise with each of you. As many of you have heard me say… and it remains my perspective – “We </w:t>
      </w:r>
      <w:r>
        <w:rPr>
          <w:rFonts w:ascii="Times New Roman" w:cs="Times New Roman" w:eastAsia="Times New Roman" w:hAnsi="Times New Roman"/>
          <w:sz w:val="18"/>
          <w:szCs w:val="18"/>
          <w:i w:val="1"/>
          <w:iCs w:val="1"/>
          <w:color w:val="auto"/>
        </w:rPr>
        <w:t>are just getting started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L. 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Chairman of the Board,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 to Previous Letters to Stockholders</w:t>
            </w:r>
          </w:p>
        </w:tc>
        <w:tc>
          <w:tcPr>
            <w:tcW w:w="46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60"/>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70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2023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4Q 2022</w:t>
            </w:r>
          </w:p>
        </w:tc>
        <w:tc>
          <w:tcPr>
            <w:tcW w:w="2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2021</w:t>
            </w:r>
          </w:p>
        </w:tc>
        <w:tc>
          <w:tcPr>
            <w:tcW w:w="2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2020</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 2019</w:t>
            </w:r>
          </w:p>
        </w:tc>
      </w:tr>
      <w:tr>
        <w:trPr>
          <w:trHeight w:val="216"/>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3Q 2024</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3Q 2023</w:t>
            </w:r>
          </w:p>
        </w:tc>
        <w:tc>
          <w:tcPr>
            <w:tcW w:w="20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3Q 2022</w:t>
            </w:r>
          </w:p>
        </w:tc>
        <w:tc>
          <w:tcPr>
            <w:tcW w:w="240" w:type="dxa"/>
            <w:vAlign w:val="bottom"/>
          </w:tcPr>
          <w:p>
            <w:pPr>
              <w:spacing w:after="0"/>
              <w:rPr>
                <w:sz w:val="18"/>
                <w:szCs w:val="18"/>
                <w:color w:val="auto"/>
              </w:rPr>
            </w:pPr>
          </w:p>
        </w:tc>
        <w:tc>
          <w:tcPr>
            <w:tcW w:w="1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3Q 2021</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3Q 2020</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 2019</w:t>
            </w:r>
          </w:p>
        </w:tc>
      </w:tr>
      <w:tr>
        <w:trPr>
          <w:trHeight w:val="216"/>
        </w:trPr>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2024</w:t>
            </w:r>
          </w:p>
        </w:tc>
        <w:tc>
          <w:tcPr>
            <w:tcW w:w="19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2023</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2Q 2022</w:t>
            </w:r>
          </w:p>
        </w:tc>
        <w:tc>
          <w:tcPr>
            <w:tcW w:w="2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2021</w:t>
            </w:r>
          </w:p>
        </w:tc>
        <w:tc>
          <w:tcPr>
            <w:tcW w:w="18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2Q 2020</w:t>
            </w:r>
          </w:p>
        </w:tc>
        <w:tc>
          <w:tcPr>
            <w:tcW w:w="1680" w:type="dxa"/>
            <w:vAlign w:val="bottom"/>
            <w:shd w:val="clear" w:color="auto" w:fill="CCEEFF"/>
          </w:tcPr>
          <w:p>
            <w:pPr>
              <w:spacing w:after="0"/>
              <w:rPr>
                <w:sz w:val="18"/>
                <w:szCs w:val="18"/>
                <w:color w:val="auto"/>
              </w:rPr>
            </w:pPr>
          </w:p>
        </w:tc>
      </w:tr>
      <w:tr>
        <w:trPr>
          <w:trHeight w:val="234"/>
        </w:trPr>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2024</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2023</w:t>
            </w:r>
          </w:p>
        </w:tc>
        <w:tc>
          <w:tcPr>
            <w:tcW w:w="20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1Q 2022</w:t>
            </w:r>
          </w:p>
        </w:tc>
        <w:tc>
          <w:tcPr>
            <w:tcW w:w="240" w:type="dxa"/>
            <w:vAlign w:val="bottom"/>
          </w:tcPr>
          <w:p>
            <w:pPr>
              <w:spacing w:after="0"/>
              <w:rPr>
                <w:sz w:val="20"/>
                <w:szCs w:val="20"/>
                <w:color w:val="auto"/>
              </w:rPr>
            </w:pPr>
          </w:p>
        </w:tc>
        <w:tc>
          <w:tcPr>
            <w:tcW w:w="19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2021</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1Q 2020</w:t>
            </w:r>
          </w:p>
        </w:tc>
        <w:tc>
          <w:tcPr>
            <w:tcW w:w="1680" w:type="dxa"/>
            <w:vAlign w:val="bottom"/>
          </w:tcPr>
          <w:p>
            <w:pPr>
              <w:spacing w:after="0"/>
              <w:rPr>
                <w:sz w:val="20"/>
                <w:szCs w:val="20"/>
                <w:color w:val="auto"/>
              </w:rPr>
            </w:pPr>
          </w:p>
        </w:tc>
      </w:tr>
      <w:tr>
        <w:trPr>
          <w:trHeight w:val="441"/>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Fourth Quarter and Full-Year 2024 Financial Overview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GAAP Operating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Selected financial highlights regarding GAAP operating results for the three months and year ended December 31, 2024 and for the same periods in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6"/>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0" w:type="dxa"/>
            <w:vAlign w:val="bottom"/>
          </w:tcPr>
          <w:p>
            <w:pPr>
              <w:spacing w:after="0"/>
              <w:rPr>
                <w:sz w:val="18"/>
                <w:szCs w:val="18"/>
                <w:color w:val="auto"/>
              </w:rPr>
            </w:pPr>
          </w:p>
        </w:tc>
        <w:tc>
          <w:tcPr>
            <w:tcW w:w="284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36,355,000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199,614,000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130,193,000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14,135,000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11,302,000</w:t>
            </w:r>
          </w:p>
        </w:tc>
        <w:tc>
          <w:tcPr>
            <w:tcW w:w="26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49,245,000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39,640,000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52,696,000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25,053,000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150,369,000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90,553,000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26,212,000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129,064,000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83,090,000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4,755,000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3,336,000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12,230,000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380,000</w:t>
            </w:r>
          </w:p>
        </w:tc>
        <w:tc>
          <w:tcPr>
            <w:tcW w:w="26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253,000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39,797,000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29,928,000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141,547,000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90,122,000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12,899,000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(4,875,000)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8,822,000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(6,636,000)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(4,808,000)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(26,142,000)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(24,141,000)</w:t>
            </w:r>
          </w:p>
        </w:tc>
        <w:tc>
          <w:tcPr>
            <w:tcW w:w="0" w:type="dxa"/>
            <w:vAlign w:val="bottom"/>
          </w:tcPr>
          <w:p>
            <w:pPr>
              <w:spacing w:after="0"/>
              <w:rPr>
                <w:sz w:val="1"/>
                <w:szCs w:val="1"/>
                <w:color w:val="auto"/>
              </w:rPr>
            </w:pP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 )</w:t>
            </w:r>
          </w:p>
        </w:tc>
        <w:tc>
          <w:tcPr>
            <w:tcW w:w="2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514,000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535,000</w:t>
            </w:r>
          </w:p>
        </w:tc>
        <w:tc>
          <w:tcPr>
            <w:tcW w:w="260" w:type="dxa"/>
            <w:vAlign w:val="bottom"/>
          </w:tcPr>
          <w:p>
            <w:pPr>
              <w:spacing w:after="0"/>
              <w:rPr>
                <w:sz w:val="19"/>
                <w:szCs w:val="19"/>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(161,000)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(701,000)</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Harrow, Inc.</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(9,148,000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(17,481,000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(24,411,000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0.19</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(0.26)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(0.49)</w:t>
            </w:r>
          </w:p>
        </w:tc>
        <w:tc>
          <w:tcPr>
            <w:tcW w:w="400" w:type="dxa"/>
            <w:vAlign w:val="bottom"/>
            <w:gridSpan w:val="2"/>
            <w:shd w:val="clear" w:color="auto" w:fill="CCEEFF"/>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(0.75)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(0.26</w:t>
            </w:r>
          </w:p>
        </w:tc>
        <w:tc>
          <w:tcPr>
            <w:tcW w:w="320" w:type="dxa"/>
            <w:vAlign w:val="bottom"/>
            <w:vMerge w:val="continue"/>
          </w:tcPr>
          <w:p>
            <w:pPr>
              <w:spacing w:after="0"/>
              <w:rPr>
                <w:sz w:val="17"/>
                <w:szCs w:val="17"/>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(0.49</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80" w:type="dxa"/>
            <w:vAlign w:val="bottom"/>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Core Results (Non-GAAP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Core Results (non-GAAP measures), which we define as the after-tax earnings and other operational and financial metrics generated from our principal business, for the three months and year ended December 31, 2024 and for the same periods in 2023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00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19"/>
                <w:szCs w:val="19"/>
                <w:color w:val="auto"/>
              </w:rPr>
            </w:pPr>
          </w:p>
        </w:tc>
        <w:tc>
          <w:tcPr>
            <w:tcW w:w="12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09"/>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66,831,000</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36,355,000</w:t>
            </w:r>
          </w:p>
        </w:tc>
        <w:tc>
          <w:tcPr>
            <w:tcW w:w="3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199,614,000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130,193,000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56"/>
        </w:trPr>
        <w:tc>
          <w:tcPr>
            <w:tcW w:w="5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gross margin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6,777,000</w:t>
            </w:r>
          </w:p>
        </w:tc>
        <w:tc>
          <w:tcPr>
            <w:tcW w:w="3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(9,148,000)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(17,481,000)</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(24,411,000)</w:t>
            </w:r>
          </w:p>
        </w:tc>
      </w:tr>
      <w:tr>
        <w:trPr>
          <w:trHeight w:val="256"/>
        </w:trPr>
        <w:tc>
          <w:tcPr>
            <w:tcW w:w="50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11,366,000</w:t>
            </w:r>
          </w:p>
        </w:tc>
        <w:tc>
          <w:tcPr>
            <w:tcW w:w="3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(7,016,000)</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(2,089,000)</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(11,512,000)</w:t>
            </w:r>
          </w:p>
        </w:tc>
      </w:tr>
      <w:tr>
        <w:trPr>
          <w:trHeight w:val="257"/>
        </w:trPr>
        <w:tc>
          <w:tcPr>
            <w:tcW w:w="5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22,489,000</w:t>
            </w:r>
          </w:p>
        </w:tc>
        <w:tc>
          <w:tcPr>
            <w:tcW w:w="380" w:type="dxa"/>
            <w:vAlign w:val="bottom"/>
          </w:tcPr>
          <w:p>
            <w:pPr>
              <w:spacing w:after="0"/>
              <w:rPr>
                <w:sz w:val="22"/>
                <w:szCs w:val="22"/>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2,563,000</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40,327,000</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28,119,000</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0.19</w:t>
            </w:r>
          </w:p>
        </w:tc>
        <w:tc>
          <w:tcPr>
            <w:tcW w:w="38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(0.49)</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r>
      <w:tr>
        <w:trPr>
          <w:trHeight w:val="256"/>
        </w:trPr>
        <w:tc>
          <w:tcPr>
            <w:tcW w:w="5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Core net income (loss) per share:</w:t>
            </w:r>
            <w:r>
              <w:rPr>
                <w:rFonts w:ascii="Times New Roman" w:cs="Times New Roman" w:eastAsia="Times New Roman" w:hAnsi="Times New Roman"/>
                <w:sz w:val="29"/>
                <w:szCs w:val="29"/>
                <w:color w:val="auto"/>
                <w:vertAlign w:val="superscript"/>
              </w:rPr>
              <w:t>(1)</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1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234"/>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(0.20)</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bl>
    <w:p>
      <w:pPr>
        <w:spacing w:after="0" w:line="179" w:lineRule="exact"/>
        <w:rPr>
          <w:sz w:val="20"/>
          <w:szCs w:val="20"/>
          <w:color w:val="auto"/>
        </w:rPr>
      </w:pPr>
    </w:p>
    <w:p>
      <w:pPr>
        <w:jc w:val="both"/>
        <w:ind w:left="340" w:hanging="332"/>
        <w:spacing w:after="0" w:line="219" w:lineRule="auto"/>
        <w:tabs>
          <w:tab w:leader="none" w:pos="34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gross margin, core net income (loss), core basic and diluted net income (loss) per share (collectively, “Core Results”), and Adjusted EBITDA are non-GAAP measures. For additional information, including a reconciliation of such Core Results and Adjusted EBITDA to the most directly comparable measures presented in accordance with GAAP, see the explanation of non-GAAP measures and reconciliation tables at the end of this Letter to Stockholders.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remarks in this stockholder letter include forward-looking statements within the meaning of federal securities laws. Forward-looking statements are subject to numerous risks and uncertainties, many of which are beyond Harrow’s control, including risks and uncertainties described from time to time in its Securities and Exchange Commission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list and description of those risks and uncertainties, please see the “Risk Factors” section of the Company’s Annual Report on Form 10-K for the year ended December 31, 2024, subsequent Quarterly Reports on Form 10-Q, and other filings with the SEC.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Harrow’s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Harrow refers to non-GAAP financial measures, specifically Adjusted EBITDA, adjusted earnings, core gross margin, core net income (loss), and core basic and diluted net income (loss) per share. A reconciliation of non-GAAP measures with the most directly comparable GAAP measures is included in this letter.</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No compounded formulation is FDA-approved. All compounded formulations are customizable. Other than drugs compounded at a registered outsourcing facility, all compounded formulations require a prescription for an individually identified patient consistent with federal and state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service marks, and trade names included or referenced in this publication are the property of their respective owners.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Company’s results of operations determined in accordance with U.S. generally accepted accounting principles (GAAP), which are presented and discussed above, management also utilizes Adjusted EBITDA and Core Results, unaudited financial measures that are not calculated in accordance with GAAP, to evaluate the Company’s financial results and performance and to plan and forecast future periods. Adjusted EBITDA and Core Results are considered “non-GAAP” financial measures within the meaning of Regulation G promulgated by the SEC. Management believes that these non-GAAP financial measures reflect an additional way of viewing aspects of the Company’s operations that, when viewed with GAAP results, provide a more complete understanding of the Company’s results of operations and the factors and trends affecting its business. Management believes Adjusted EBITDA and Core Results provide meaningful supplemental information regarding the Company’s performance because (i) they allow for greater transparency with respect to key metrics used by management in its financial and operational decision-making; (ii) they exclude the impact of non-cash or, when specified, non-recurring items that are not directly attributable to the Company’s core operating performance and that may obscure trends in the Company’s core operating performance; and (iii) they are used by institutional investors and the analyst community to help analyze the Company’s results. However, Adjusted EBITDA, Core Results, and any other non-GAAP financial measures should be considered as a supplement to, and not as a substitute for, or superior to, the corresponding measures calculated in accordance with GAAP. Further, non-GAAP financial measures used by the Company and the way they are calculated may differ from the non-GAAP financial measures or the calculations of the same non-GAAP financial measures used by other companies, including the Company’s competitors.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defines Adjusted EBITDA as net income (loss), excluding the effects of stock-based compensation and expenses, impairment of intangible assets, interest, taxes, depreciation, amortization, investment (income) loss, net, and, if any and when specified, other non-recurring income or expense items. Management believes that the most directly comparable GAAP financial measure to Adjusted EBITDA is net income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Adjusted EBITDA, a non-GAAP measure, to the most comparable GAAP measure, net income (loss), for the three months and year ended December 31, 2024 and for the same periods in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80" w:type="dxa"/>
            <w:vAlign w:val="bottom"/>
          </w:tcPr>
          <w:p>
            <w:pPr>
              <w:spacing w:after="0"/>
              <w:rPr>
                <w:sz w:val="18"/>
                <w:szCs w:val="18"/>
                <w:color w:val="auto"/>
              </w:rPr>
            </w:pPr>
          </w:p>
        </w:tc>
        <w:tc>
          <w:tcPr>
            <w:tcW w:w="290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4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CCEEFF"/>
            </w:tcBorders>
          </w:tcPr>
          <w:p>
            <w:pPr>
              <w:spacing w:after="0"/>
              <w:rPr>
                <w:sz w:val="19"/>
                <w:szCs w:val="19"/>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(17,481,000)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(24,411,000)</w:t>
            </w:r>
          </w:p>
        </w:tc>
        <w:tc>
          <w:tcPr>
            <w:tcW w:w="1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and expenses</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4,794,000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4,175,000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17,619,000</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15,696,000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380,000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6,375,000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5,124,000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22,786,000</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21,324,000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(514,000)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(535,000)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161,000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701,000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468,000</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435,000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1,850,000</w:t>
            </w: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1,530,000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4,075,000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2,448,000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11,783,000</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10,082,000</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(416,000)</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4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(3,092,000)</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146,000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168,000</w:t>
            </w: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261,000</w:t>
            </w:r>
          </w:p>
        </w:tc>
        <w:tc>
          <w:tcPr>
            <w:tcW w:w="4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420" w:type="dxa"/>
            <w:vAlign w:val="bottom"/>
          </w:tcPr>
          <w:p>
            <w:pPr>
              <w:spacing w:after="0"/>
              <w:rPr>
                <w:sz w:val="19"/>
                <w:szCs w:val="19"/>
                <w:color w:val="auto"/>
              </w:rPr>
            </w:pPr>
          </w:p>
        </w:tc>
        <w:tc>
          <w:tcPr>
            <w:tcW w:w="110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6"/>
                <w:szCs w:val="16"/>
                <w:color w:val="auto"/>
              </w:rPr>
              <w:t>5,741,000</w:t>
            </w:r>
            <w:r>
              <w:rPr>
                <w:rFonts w:ascii="Times New Roman" w:cs="Times New Roman" w:eastAsia="Times New Roman" w:hAnsi="Times New Roman"/>
                <w:sz w:val="26"/>
                <w:szCs w:val="26"/>
                <w:color w:val="auto"/>
                <w:vertAlign w:val="superscript"/>
              </w:rPr>
              <w:t>(1)</w:t>
            </w: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22,489,000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2,563,000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40,327,000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28,119,000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$5,465,000 for the loss on extinguishment of debt.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Core Results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Harrow Core Results, including core gross margin, core net income (loss), and core basic and diluted income (loss) per share exclude (1) all amortization and impairment charges of intangible assets, excluding software development costs, (2) net gains and losses on investments and equity securities, including equity method gains and losses and equity valued at fair value through profit and loss (FVPL), and preferred stock dividends, and (3) gains/losses on forgiveness of debt. In certain periods, Core Results may also exclude fair value adjustments of financial assets in the form of options to acquire a company carried at FVPL, obligations related to product recalls, certain acquisition-related items, restructuring charges/releases and associated items, related legal items, gains/losses on early extinguishment of debt or debt modifications, impairments of property, plant and equipment and software, as well as income and expense items that management deems exceptional and that are or are expected to accumulate within the year to be over a $100,000 threshold.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Core Results, non-GAAP measures, to the most comparable GAAP measures for the three months and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for the same periods in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8"/>
                <w:szCs w:val="18"/>
                <w:b w:val="1"/>
                <w:bCs w:val="1"/>
                <w:color w:val="auto"/>
              </w:rPr>
              <w:t>of Certain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52,696,000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56,318,000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12,899,000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4,075,000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17,227,000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6,263,000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4,075,000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261,000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10,852,000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514,000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514,000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6,777,000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4,075,000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261,000</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11,366,000</w:t>
            </w:r>
          </w:p>
        </w:tc>
        <w:tc>
          <w:tcPr>
            <w:tcW w:w="0" w:type="dxa"/>
            <w:vAlign w:val="bottom"/>
          </w:tcPr>
          <w:p>
            <w:pPr>
              <w:spacing w:after="0"/>
              <w:rPr>
                <w:sz w:val="1"/>
                <w:szCs w:val="1"/>
                <w:color w:val="auto"/>
              </w:rPr>
            </w:pPr>
          </w:p>
        </w:tc>
      </w:tr>
      <w:tr>
        <w:trPr>
          <w:trHeight w:val="257"/>
        </w:trPr>
        <w:tc>
          <w:tcPr>
            <w:tcW w:w="20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Income 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35,807,767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35,807,767</w:t>
            </w: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28,317,740</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28,317,740</w:t>
            </w:r>
          </w:p>
        </w:tc>
        <w:tc>
          <w:tcPr>
            <w:tcW w:w="0" w:type="dxa"/>
            <w:vAlign w:val="bottom"/>
          </w:tcPr>
          <w:p>
            <w:pPr>
              <w:spacing w:after="0"/>
              <w:rPr>
                <w:sz w:val="1"/>
                <w:szCs w:val="1"/>
                <w:color w:val="auto"/>
              </w:rPr>
            </w:pPr>
          </w:p>
        </w:tc>
      </w:tr>
      <w:tr>
        <w:trPr>
          <w:trHeight w:val="414"/>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line="202" w:lineRule="exact"/>
              <w:rPr>
                <w:sz w:val="20"/>
                <w:szCs w:val="20"/>
                <w:color w:val="auto"/>
              </w:rPr>
            </w:pPr>
            <w:r>
              <w:rPr>
                <w:rFonts w:ascii="Times New Roman" w:cs="Times New Roman" w:eastAsia="Times New Roman" w:hAnsi="Times New Roman"/>
                <w:sz w:val="18"/>
                <w:szCs w:val="18"/>
                <w:b w:val="1"/>
                <w:bCs w:val="1"/>
                <w:color w:val="auto"/>
              </w:rPr>
              <w:t>of Certain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c>
          <w:tcPr>
            <w:tcW w:w="0" w:type="dxa"/>
            <w:vAlign w:val="bottom"/>
          </w:tcPr>
          <w:p>
            <w:pPr>
              <w:spacing w:after="0"/>
              <w:rPr>
                <w:sz w:val="1"/>
                <w:szCs w:val="1"/>
                <w:color w:val="auto"/>
              </w:rPr>
            </w:pPr>
          </w:p>
        </w:tc>
      </w:tr>
      <w:tr>
        <w:trPr>
          <w:trHeight w:val="252"/>
        </w:trPr>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1"/>
                <w:szCs w:val="21"/>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150,369,000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160,462,000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8,822,000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11,783,000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20,858,000</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income before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(17,320,000)</w:t>
            </w: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11,783,000</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(1,928,000)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(161,000)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(161,000)</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(17,481,000)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11,783,000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253,000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3,171,000</w:t>
            </w: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185,000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(2,089,000)</w:t>
            </w:r>
          </w:p>
        </w:tc>
        <w:tc>
          <w:tcPr>
            <w:tcW w:w="0" w:type="dxa"/>
            <w:vAlign w:val="bottom"/>
          </w:tcPr>
          <w:p>
            <w:pPr>
              <w:spacing w:after="0"/>
              <w:rPr>
                <w:sz w:val="1"/>
                <w:szCs w:val="1"/>
                <w:color w:val="auto"/>
              </w:rPr>
            </w:pPr>
          </w:p>
        </w:tc>
      </w:tr>
      <w:tr>
        <w:trPr>
          <w:trHeight w:val="201"/>
        </w:trPr>
        <w:tc>
          <w:tcPr>
            <w:tcW w:w="2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4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of shares of common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stock outstanding, basic</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35,650,714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35,650,714</w:t>
            </w:r>
          </w:p>
        </w:tc>
        <w:tc>
          <w:tcPr>
            <w:tcW w:w="0" w:type="dxa"/>
            <w:vAlign w:val="bottom"/>
          </w:tcPr>
          <w:p>
            <w:pPr>
              <w:spacing w:after="0"/>
              <w:rPr>
                <w:sz w:val="1"/>
                <w:szCs w:val="1"/>
                <w:color w:val="auto"/>
              </w:rPr>
            </w:pPr>
          </w:p>
        </w:tc>
      </w:tr>
      <w:tr>
        <w:trPr>
          <w:trHeight w:val="432"/>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38"/>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10"/>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25,053,000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2,140,000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(4,875,000)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2,448,000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(2,427,000)</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income before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(9,683,000)</w:t>
            </w: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2,448,000</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(416,000)</w:t>
            </w:r>
          </w:p>
        </w:tc>
        <w:tc>
          <w:tcPr>
            <w:tcW w:w="2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(7,551,000)</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535,000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535,000</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(9,148,000)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2,448,000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(416,000)</w:t>
            </w: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(7,016,000)</w:t>
            </w:r>
          </w:p>
        </w:tc>
      </w:tr>
      <w:tr>
        <w:trPr>
          <w:trHeight w:val="201"/>
        </w:trPr>
        <w:tc>
          <w:tcPr>
            <w:tcW w:w="2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204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35,353,848</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35,353,848</w:t>
            </w:r>
          </w:p>
        </w:tc>
      </w:tr>
      <w:tr>
        <w:trPr>
          <w:trHeight w:val="432"/>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187"/>
        </w:trPr>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of Certain</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0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Core</w:t>
            </w:r>
          </w:p>
        </w:tc>
      </w:tr>
      <w:tr>
        <w:trPr>
          <w:trHeight w:val="238"/>
        </w:trPr>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Results</w:t>
            </w:r>
          </w:p>
        </w:tc>
        <w:tc>
          <w:tcPr>
            <w:tcW w:w="1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Impairments</w:t>
            </w:r>
          </w:p>
        </w:tc>
        <w:tc>
          <w:tcPr>
            <w:tcW w:w="140" w:type="dxa"/>
            <w:vAlign w:val="bottom"/>
          </w:tcPr>
          <w:p>
            <w:pPr>
              <w:spacing w:after="0"/>
              <w:rPr>
                <w:sz w:val="20"/>
                <w:szCs w:val="20"/>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Items</w:t>
            </w:r>
          </w:p>
        </w:tc>
        <w:tc>
          <w:tcPr>
            <w:tcW w:w="2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Results</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90,553,000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9,314,000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99,867,000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431,000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10,082,000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10,513,000</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income before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2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(23,710,000)</w:t>
            </w:r>
          </w:p>
        </w:tc>
        <w:tc>
          <w:tcPr>
            <w:tcW w:w="10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10,082,000</w:t>
            </w: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(3,092,000)</w:t>
            </w:r>
          </w:p>
        </w:tc>
        <w:tc>
          <w:tcPr>
            <w:tcW w:w="2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5,909,000</w:t>
            </w:r>
          </w:p>
        </w:tc>
        <w:tc>
          <w:tcPr>
            <w:tcW w:w="2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(10,811,000)</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(701,000)</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(701,000)</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(24,411,000)</w:t>
            </w:r>
          </w:p>
        </w:tc>
        <w:tc>
          <w:tcPr>
            <w:tcW w:w="10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10,082,000</w:t>
            </w:r>
          </w:p>
        </w:tc>
        <w:tc>
          <w:tcPr>
            <w:tcW w:w="10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(3,092,000)</w:t>
            </w: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5,909,000</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(11,512,000)</w:t>
            </w:r>
          </w:p>
        </w:tc>
      </w:tr>
      <w:tr>
        <w:trPr>
          <w:trHeight w:val="201"/>
        </w:trPr>
        <w:tc>
          <w:tcPr>
            <w:tcW w:w="2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Basic and diluted loss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2040" w:type="dxa"/>
            <w:vAlign w:val="bottom"/>
            <w:shd w:val="clear" w:color="auto" w:fill="CCEEFF"/>
          </w:tcPr>
          <w:p>
            <w:pPr>
              <w:spacing w:after="0" w:line="271" w:lineRule="exact"/>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basic and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32,616,777</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32,616,777</w:t>
            </w:r>
          </w:p>
        </w:tc>
      </w:tr>
    </w:tbl>
    <w:p>
      <w:pPr>
        <w:spacing w:after="0" w:line="198" w:lineRule="exact"/>
        <w:rPr>
          <w:sz w:val="20"/>
          <w:szCs w:val="20"/>
          <w:color w:val="auto"/>
        </w:rPr>
      </w:pPr>
    </w:p>
    <w:p>
      <w:pPr>
        <w:jc w:val="both"/>
        <w:ind w:left="340" w:hanging="332"/>
        <w:spacing w:after="0" w:line="219" w:lineRule="auto"/>
        <w:tabs>
          <w:tab w:leader="none" w:pos="34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Core basic and diluted income (loss) per share is calculated using the weighted-average number of shares of common stock outstanding during the period. Core basic and diluted income (loss) per share also contemplates dilutive shares associated with equity-based awards as described in Note 2 and elsewhere in the Consolidated Financial Statements included in the Company’s Annual Report on Form 10-K for the year ended December 31, 2024.</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2025-03-27T15:15:05Z</dcterms:created>
  <dcterms:modified xsi:type="dcterms:W3CDTF">2025-03-27T15:15:05Z</dcterms:modified>
</cp:coreProperties>
</file>