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69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946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Opaleye Management Inc.</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ONE BOSTON PLACE, 26TH FLOOR</w:t>
            </w: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HARROW HEALTH,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HROW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440" w:type="dxa"/>
            <w:vAlign w:val="bottom"/>
            <w:gridSpan w:val="3"/>
          </w:tcPr>
          <w:p>
            <w:pPr>
              <w:ind w:left="80"/>
              <w:spacing w:after="0"/>
              <w:rPr>
                <w:sz w:val="20"/>
                <w:szCs w:val="20"/>
                <w:color w:val="auto"/>
              </w:rPr>
            </w:pPr>
            <w:r>
              <w:rPr>
                <w:rFonts w:ascii="Arial" w:cs="Arial" w:eastAsia="Arial" w:hAnsi="Arial"/>
                <w:sz w:val="17"/>
                <w:szCs w:val="17"/>
                <w:color w:val="0000FF"/>
              </w:rPr>
              <w:t>09/19/2023</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4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gridSpan w:val="2"/>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9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14.6512</w:t>
            </w:r>
            <w:r>
              <w:rPr>
                <w:rFonts w:ascii="Arial" w:cs="Arial" w:eastAsia="Arial" w:hAnsi="Arial"/>
                <w:sz w:val="22"/>
                <w:szCs w:val="22"/>
                <w:color w:val="008000"/>
                <w:w w:val="94"/>
                <w:vertAlign w:val="superscript"/>
              </w:rPr>
              <w:t>(2)</w:t>
            </w: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900" w:type="dxa"/>
            <w:vAlign w:val="bottom"/>
            <w:gridSpan w:val="3"/>
            <w:vMerge w:val="restart"/>
          </w:tcPr>
          <w:p>
            <w:pPr>
              <w:ind w:left="400"/>
              <w:spacing w:after="0"/>
              <w:rPr>
                <w:sz w:val="20"/>
                <w:szCs w:val="20"/>
                <w:color w:val="auto"/>
              </w:rPr>
            </w:pPr>
            <w:r>
              <w:rPr>
                <w:rFonts w:ascii="Arial" w:cs="Arial" w:eastAsia="Arial" w:hAnsi="Arial"/>
                <w:sz w:val="17"/>
                <w:szCs w:val="17"/>
                <w:color w:val="0000FF"/>
              </w:rPr>
              <w:t>09/19/2023</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right"/>
              <w:ind w:right="131"/>
              <w:spacing w:after="0"/>
              <w:rPr>
                <w:sz w:val="20"/>
                <w:szCs w:val="20"/>
                <w:color w:val="auto"/>
              </w:rPr>
            </w:pPr>
            <w:r>
              <w:rPr>
                <w:rFonts w:ascii="Arial" w:cs="Arial" w:eastAsia="Arial" w:hAnsi="Arial"/>
                <w:sz w:val="17"/>
                <w:szCs w:val="17"/>
                <w:color w:val="0000FF"/>
              </w:rPr>
              <w:t>14,017</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gridSpan w:val="3"/>
            <w:vMerge w:val="continue"/>
          </w:tcPr>
          <w:p>
            <w:pPr>
              <w:spacing w:after="0"/>
              <w:rPr>
                <w:sz w:val="9"/>
                <w:szCs w:val="9"/>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3,614,017</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14.4928</w:t>
            </w:r>
            <w:r>
              <w:rPr>
                <w:rFonts w:ascii="Arial" w:cs="Arial" w:eastAsia="Arial" w:hAnsi="Arial"/>
                <w:sz w:val="22"/>
                <w:szCs w:val="22"/>
                <w:color w:val="008000"/>
                <w:w w:val="94"/>
                <w:vertAlign w:val="superscript"/>
              </w:rPr>
              <w:t>(3)</w:t>
            </w: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900" w:type="dxa"/>
            <w:vAlign w:val="bottom"/>
            <w:gridSpan w:val="3"/>
            <w:vMerge w:val="restart"/>
          </w:tcPr>
          <w:p>
            <w:pPr>
              <w:ind w:left="400"/>
              <w:spacing w:after="0"/>
              <w:rPr>
                <w:sz w:val="20"/>
                <w:szCs w:val="20"/>
                <w:color w:val="auto"/>
              </w:rPr>
            </w:pPr>
            <w:r>
              <w:rPr>
                <w:rFonts w:ascii="Arial" w:cs="Arial" w:eastAsia="Arial" w:hAnsi="Arial"/>
                <w:sz w:val="17"/>
                <w:szCs w:val="17"/>
                <w:color w:val="0000FF"/>
              </w:rPr>
              <w:t>09/20/2023</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right"/>
              <w:ind w:right="171"/>
              <w:spacing w:after="0"/>
              <w:rPr>
                <w:sz w:val="20"/>
                <w:szCs w:val="20"/>
                <w:color w:val="auto"/>
              </w:rPr>
            </w:pPr>
            <w:r>
              <w:rPr>
                <w:rFonts w:ascii="Arial" w:cs="Arial" w:eastAsia="Arial" w:hAnsi="Arial"/>
                <w:sz w:val="17"/>
                <w:szCs w:val="17"/>
                <w:color w:val="0000FF"/>
              </w:rPr>
              <w:t>5,983</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gridSpan w:val="3"/>
            <w:vMerge w:val="continue"/>
          </w:tcPr>
          <w:p>
            <w:pPr>
              <w:spacing w:after="0"/>
              <w:rPr>
                <w:sz w:val="9"/>
                <w:szCs w:val="9"/>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3,620,000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40" w:type="dxa"/>
            <w:vAlign w:val="bottom"/>
            <w:gridSpan w:val="11"/>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1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volume-weighted average purchase price of $14.6512. The range of purchase prices per share on the transaction date was $14.59 to $14.73.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volume-weighted average purchase price of $14.4928. The range of purchase prices per share on the transaction date was $14.22 to $14.67. The reporting person undertakes to provide, upon request by the SEC staff, the issuer, or a security holder of the issuer, full information regarding the number of shares purchased at each price.</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By: /s/ James Silverman,</w:t>
      </w:r>
      <w:r>
        <w:rPr>
          <w:sz w:val="20"/>
          <w:szCs w:val="20"/>
          <w:color w:val="auto"/>
        </w:rPr>
        <w:tab/>
      </w:r>
      <w:r>
        <w:rPr>
          <w:rFonts w:ascii="Arial" w:cs="Arial" w:eastAsia="Arial" w:hAnsi="Arial"/>
          <w:sz w:val="15"/>
          <w:szCs w:val="15"/>
          <w:color w:val="0000FF"/>
        </w:rPr>
        <w:t>09/20/2023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2023-09-20T17:45:45Z</dcterms:created>
  <dcterms:modified xsi:type="dcterms:W3CDTF">2023-09-20T17:45:45Z</dcterms:modified>
</cp:coreProperties>
</file>