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27, 2015</w:t>
      </w:r>
    </w:p>
    <w:p>
      <w:pPr>
        <w:spacing w:after="0" w:line="20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IMPRIMIS PHARMACEUTICALS, INC.</w:t>
      </w:r>
    </w:p>
    <w:p>
      <w:pPr>
        <w:spacing w:after="0" w:line="4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400"/>
          </w:cols>
          <w:pgMar w:left="240" w:top="741" w:right="259" w:bottom="1440" w:gutter="0" w:footer="0" w:header="0"/>
        </w:sectPr>
      </w:pPr>
    </w:p>
    <w:p>
      <w:pPr>
        <w:spacing w:after="0" w:line="201"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900"/>
        <w:spacing w:after="0"/>
        <w:rPr>
          <w:sz w:val="20"/>
          <w:szCs w:val="20"/>
          <w:color w:val="auto"/>
        </w:rPr>
      </w:pPr>
      <w:r>
        <w:rPr>
          <w:rFonts w:ascii="Times New Roman" w:cs="Times New Roman" w:eastAsia="Times New Roman" w:hAnsi="Times New Roman"/>
          <w:sz w:val="17"/>
          <w:szCs w:val="17"/>
          <w:color w:val="auto"/>
        </w:rPr>
        <w:t>(State or other jurisdiction</w:t>
      </w:r>
    </w:p>
    <w:p>
      <w:pPr>
        <w:spacing w:after="0" w:line="21" w:lineRule="exact"/>
        <w:rPr>
          <w:sz w:val="24"/>
          <w:szCs w:val="24"/>
          <w:color w:val="auto"/>
        </w:rPr>
      </w:pPr>
    </w:p>
    <w:p>
      <w:pPr>
        <w:ind w:left="122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001-35814</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(Commission</w:t>
      </w:r>
    </w:p>
    <w:p>
      <w:pPr>
        <w:spacing w:after="0" w:line="9"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45-0567010</w:t>
      </w:r>
    </w:p>
    <w:p>
      <w:pPr>
        <w:spacing w:after="0" w:line="31"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500" w:space="720"/>
            <w:col w:w="2980" w:space="720"/>
            <w:col w:w="2480"/>
          </w:cols>
          <w:pgMar w:left="240" w:top="741" w:right="259" w:bottom="1440" w:gutter="0" w:footer="0" w:header="0"/>
          <w:type w:val="continuous"/>
        </w:sectPr>
      </w:pPr>
    </w:p>
    <w:p>
      <w:pPr>
        <w:spacing w:after="0" w:line="3"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b w:val="1"/>
          <w:bCs w:val="1"/>
          <w:color w:val="auto"/>
        </w:rPr>
        <w:t>12264 El Camino Real, Suite 350</w:t>
      </w:r>
    </w:p>
    <w:p>
      <w:pPr>
        <w:spacing w:after="0" w:line="31"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b w:val="1"/>
          <w:bCs w:val="1"/>
          <w:color w:val="auto"/>
        </w:rPr>
        <w:t>San Diego, California</w:t>
      </w:r>
    </w:p>
    <w:p>
      <w:pPr>
        <w:spacing w:after="0" w:line="9"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80"/>
        <w:spacing w:after="0"/>
        <w:rPr>
          <w:sz w:val="20"/>
          <w:szCs w:val="20"/>
          <w:color w:val="auto"/>
        </w:rPr>
      </w:pPr>
      <w:r>
        <w:rPr>
          <w:rFonts w:ascii="Times New Roman" w:cs="Times New Roman" w:eastAsia="Times New Roman" w:hAnsi="Times New Roman"/>
          <w:sz w:val="18"/>
          <w:szCs w:val="18"/>
          <w:b w:val="1"/>
          <w:bCs w:val="1"/>
          <w:color w:val="auto"/>
        </w:rPr>
        <w:t>92130</w:t>
      </w:r>
    </w:p>
    <w:p>
      <w:pPr>
        <w:spacing w:after="0" w:line="31" w:lineRule="exact"/>
        <w:rPr>
          <w:sz w:val="24"/>
          <w:szCs w:val="24"/>
          <w:color w:val="auto"/>
        </w:rPr>
      </w:pPr>
    </w:p>
    <w:p>
      <w:pPr>
        <w:jc w:val="center"/>
        <w:ind w:right="238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500" w:space="720"/>
            <w:col w:w="3180"/>
          </w:cols>
          <w:pgMar w:left="240" w:top="741" w:right="259" w:bottom="1440" w:gutter="0" w:footer="0" w:header="0"/>
          <w:type w:val="continuous"/>
        </w:sectPr>
      </w:pP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(858) 704-4040</w:t>
      </w:r>
    </w:p>
    <w:p>
      <w:pPr>
        <w:spacing w:after="0" w:line="225"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12264 El Camino Real, Suite 350</w:t>
      </w:r>
    </w:p>
    <w:p>
      <w:pPr>
        <w:spacing w:after="0" w:line="31"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San Diego, CA 92130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1823085</wp:posOffset>
            </wp:positionH>
            <wp:positionV relativeFrom="paragraph">
              <wp:posOffset>5715</wp:posOffset>
            </wp:positionV>
            <wp:extent cx="361886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Written communications pursuant to Rule 425 under the Securities Act (17 CFR 230.425)</w:t>
      </w:r>
    </w:p>
    <w:p>
      <w:pPr>
        <w:spacing w:after="0" w:line="225"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Soliciting material pursuant to Rule 14a-12 under the Exchange Act (17 CFR 240.14a-12)</w:t>
      </w:r>
    </w:p>
    <w:p>
      <w:pPr>
        <w:spacing w:after="0" w:line="225"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communications pursuant to Rule 14d-2(b) under the Exchange Act (17 CFR 240.14d-2(b))</w:t>
      </w:r>
    </w:p>
    <w:p>
      <w:pPr>
        <w:spacing w:after="0" w:line="225"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506095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41" w:right="2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3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On November 27, 2015, Imprimis Pharmaceuticals, Inc. (the “Company”) entered into a Controlled Equity Offering</w:t>
      </w:r>
      <w:r>
        <w:rPr>
          <w:rFonts w:ascii="Times New Roman" w:cs="Times New Roman" w:eastAsia="Times New Roman" w:hAnsi="Times New Roman"/>
          <w:sz w:val="30"/>
          <w:szCs w:val="30"/>
          <w:color w:val="auto"/>
          <w:vertAlign w:val="superscript"/>
        </w:rPr>
        <w:t>SM</w:t>
      </w:r>
      <w:r>
        <w:rPr>
          <w:rFonts w:ascii="Times New Roman" w:cs="Times New Roman" w:eastAsia="Times New Roman" w:hAnsi="Times New Roman"/>
          <w:sz w:val="18"/>
          <w:szCs w:val="18"/>
          <w:color w:val="auto"/>
        </w:rPr>
        <w:t xml:space="preserve"> sales agreement (the “Sales Agreement”) with Cantor Fitzgerald &amp; Co., as agent (“Cantor Fitzgerald”), pursuant to which the Company may offer and sell, from time to time through Cantor Fitzgerald, shares of the Company’s common stock, par value $0.001 per share (the “Common Stock”), having an aggregate offering price of up to $10,000,000 (the “Shares”). Any Shares offered and sold under the Sales Agreement will be issued pursuant to the Company’s registration statement on Form S-3 (File No. 333-198675) and the accompanying base prospectus, which were declared effective by the Securities and Exchange Commission (the “SEC”) on September 29, 2014 (the “Registration Statement”), as supplemented by a prospectus supplement dated November 27, 2015, and filed with the SEC pursuant to Rule 424(b)(5) under the Securities Act of 1933, as amended (the “Securities Act”).</w:t>
      </w:r>
    </w:p>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terms of the Sales Agreement, sales of the Shares, if any, will be made through Cantor Fitzgerald by any method permitted by law deemed to be an “at the market offering” as defined in Rule 415 promulgated under the Securities Act, including sales made directly on the NASDAQ Capital Market, on any other existing trading market for the Common Stock or to or through a market maker. In addition, the Sales Agreement provides that, subject to the prior written consent of the Company, Cantor Fitzgerald may make sales of the Shares, if any, by any other method permitted by law, including in privately negotiated transactions.</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not obligated to make any sales of Shares under the Sales Agreement, and if it elects to make any sales, the Company may set a minimum sales price for the Shares. The offering of Shares pursuant to the Sales Agreement will terminate upon the termination of the Sales Agreement by Cantor Fitzgerald or the Company as permitted therein, which includes the right of either such party to terminate the Sales Agreement in its sole discretion upon ten days’ prior notice to the other party.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will pay Cantor Fitzgerald a cash commission of 3.0% of the aggregate gross proceeds from each sale of Shares under the Sales Agreement, and will also reimburse Cantor Fitzgerald for certain fees and expenses in connection with the Sales Agreement in an amount not to exceed $50,000. The Company has also agreed to provide Cantor Fitzgerald with customary indemnification and contribution rights.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intends to use the net proceeds raised through sales of the Shares, if any, for working capital and general corporate purposes.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Sales Agreement is not complete and is qualified in its entirety by reference to the full text of such agreement, a copy of which is filed as Exhibit 1.1 to this Current Report on Form 8-K and is incorporated herein by reference.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copy of the opinion of Morrison &amp; Foerster LLP relating to the legality of the issuance and sale of the Shares pursuant to the Sales Agreement is filed as Exhibit 5.1 to this Current Report on Form 8-K. Such opinion is also filed with reference to, and is hereby incorporated by reference into, the Registration Statement.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Current Report on Form 8-K shall not constitute an offer to sell or the solicitation of an offer to buy the Shares or any other security, nor shall there be any offer, solicitation, or sale of the Shares or any other security in any state in which such offer, solicitation or sale would be unlawful prior to registration or qualification under the securities laws of any such state.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10320" w:type="dxa"/>
            <w:vAlign w:val="bottom"/>
          </w:tcPr>
          <w:p>
            <w:pPr>
              <w:spacing w:after="0"/>
              <w:rPr>
                <w:sz w:val="20"/>
                <w:szCs w:val="20"/>
                <w:color w:val="auto"/>
              </w:rPr>
            </w:pPr>
          </w:p>
        </w:tc>
      </w:tr>
      <w:tr>
        <w:trPr>
          <w:trHeight w:val="439"/>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454"/>
        </w:trPr>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4"/>
                <w:szCs w:val="24"/>
                <w:color w:val="auto"/>
              </w:rPr>
            </w:pPr>
          </w:p>
        </w:tc>
        <w:tc>
          <w:tcPr>
            <w:tcW w:w="10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Controlled Equity Offering</w:t>
            </w:r>
            <w:r>
              <w:rPr>
                <w:rFonts w:ascii="Times New Roman" w:cs="Times New Roman" w:eastAsia="Times New Roman" w:hAnsi="Times New Roman"/>
                <w:sz w:val="30"/>
                <w:szCs w:val="30"/>
                <w:color w:val="auto"/>
                <w:vertAlign w:val="superscript"/>
              </w:rPr>
              <w:t>SM</w:t>
            </w:r>
            <w:r>
              <w:rPr>
                <w:rFonts w:ascii="Times New Roman" w:cs="Times New Roman" w:eastAsia="Times New Roman" w:hAnsi="Times New Roman"/>
                <w:sz w:val="18"/>
                <w:szCs w:val="18"/>
                <w:color w:val="auto"/>
              </w:rPr>
              <w:t xml:space="preserve"> Sales Agreement, dated November 27, 2015, by and between Imprimis Pharmaceuticals, Inc. and Cantor</w:t>
            </w:r>
          </w:p>
        </w:tc>
      </w:tr>
      <w:tr>
        <w:trPr>
          <w:trHeight w:val="234"/>
        </w:trPr>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20" w:type="dxa"/>
            <w:vAlign w:val="bottom"/>
          </w:tcPr>
          <w:p>
            <w:pPr>
              <w:spacing w:after="0"/>
              <w:rPr>
                <w:sz w:val="20"/>
                <w:szCs w:val="20"/>
                <w:color w:val="auto"/>
              </w:rPr>
            </w:pPr>
            <w:r>
              <w:rPr>
                <w:rFonts w:ascii="Times New Roman" w:cs="Times New Roman" w:eastAsia="Times New Roman" w:hAnsi="Times New Roman"/>
                <w:sz w:val="18"/>
                <w:szCs w:val="18"/>
                <w:color w:val="auto"/>
              </w:rPr>
              <w:t>Fitzgerald &amp; Co.</w:t>
            </w:r>
          </w:p>
        </w:tc>
      </w:tr>
      <w:tr>
        <w:trPr>
          <w:trHeight w:val="43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24"/>
                <w:szCs w:val="24"/>
                <w:color w:val="auto"/>
              </w:rPr>
            </w:pPr>
          </w:p>
        </w:tc>
        <w:tc>
          <w:tcPr>
            <w:tcW w:w="10320" w:type="dxa"/>
            <w:vAlign w:val="bottom"/>
          </w:tcPr>
          <w:p>
            <w:pPr>
              <w:spacing w:after="0"/>
              <w:rPr>
                <w:sz w:val="20"/>
                <w:szCs w:val="20"/>
                <w:color w:val="auto"/>
              </w:rPr>
            </w:pPr>
            <w:r>
              <w:rPr>
                <w:rFonts w:ascii="Times New Roman" w:cs="Times New Roman" w:eastAsia="Times New Roman" w:hAnsi="Times New Roman"/>
                <w:sz w:val="18"/>
                <w:szCs w:val="18"/>
                <w:color w:val="auto"/>
              </w:rPr>
              <w:t>Opinion of Morrison &amp; Foerster LLP</w:t>
            </w:r>
          </w:p>
        </w:tc>
      </w:tr>
      <w:tr>
        <w:trPr>
          <w:trHeight w:val="43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24"/>
                <w:szCs w:val="24"/>
                <w:color w:val="auto"/>
              </w:rPr>
            </w:pPr>
          </w:p>
        </w:tc>
        <w:tc>
          <w:tcPr>
            <w:tcW w:w="10320" w:type="dxa"/>
            <w:vAlign w:val="bottom"/>
          </w:tcPr>
          <w:p>
            <w:pPr>
              <w:spacing w:after="0"/>
              <w:rPr>
                <w:sz w:val="20"/>
                <w:szCs w:val="20"/>
                <w:color w:val="auto"/>
              </w:rPr>
            </w:pPr>
            <w:r>
              <w:rPr>
                <w:rFonts w:ascii="Times New Roman" w:cs="Times New Roman" w:eastAsia="Times New Roman" w:hAnsi="Times New Roman"/>
                <w:sz w:val="18"/>
                <w:szCs w:val="18"/>
                <w:color w:val="auto"/>
              </w:rPr>
              <w:t>Consent of Morrison &amp; Foerster LLP (contained in Exhibit 5.1)</w:t>
            </w:r>
          </w:p>
        </w:tc>
      </w:tr>
      <w:tr>
        <w:trPr>
          <w:trHeight w:val="439"/>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3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57"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40" w:type="dxa"/>
            <w:vAlign w:val="bottom"/>
          </w:tcPr>
          <w:p>
            <w:pPr>
              <w:spacing w:after="0"/>
              <w:rPr>
                <w:sz w:val="20"/>
                <w:szCs w:val="20"/>
                <w:color w:val="auto"/>
              </w:rPr>
            </w:pPr>
          </w:p>
        </w:tc>
        <w:tc>
          <w:tcPr>
            <w:tcW w:w="7580" w:type="dxa"/>
            <w:vAlign w:val="bottom"/>
            <w:gridSpan w:val="2"/>
          </w:tcPr>
          <w:p>
            <w:pPr>
              <w:ind w:left="1880"/>
              <w:spacing w:after="0"/>
              <w:rPr>
                <w:sz w:val="20"/>
                <w:szCs w:val="20"/>
                <w:color w:val="auto"/>
              </w:rPr>
            </w:pPr>
            <w:r>
              <w:rPr>
                <w:rFonts w:ascii="Times New Roman" w:cs="Times New Roman" w:eastAsia="Times New Roman" w:hAnsi="Times New Roman"/>
                <w:sz w:val="18"/>
                <w:szCs w:val="18"/>
                <w:b w:val="1"/>
                <w:bCs w:val="1"/>
                <w:color w:val="auto"/>
              </w:rPr>
              <w:t>IMPRIMIS PHARMACEUTICALS, INC.</w:t>
            </w:r>
          </w:p>
        </w:tc>
      </w:tr>
      <w:tr>
        <w:trPr>
          <w:trHeight w:val="439"/>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Dated: November 27, 2015</w:t>
            </w:r>
          </w:p>
        </w:tc>
        <w:tc>
          <w:tcPr>
            <w:tcW w:w="244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Andrew R. Boll</w:t>
            </w:r>
          </w:p>
        </w:tc>
      </w:tr>
      <w:tr>
        <w:trPr>
          <w:trHeight w:val="198"/>
        </w:trPr>
        <w:tc>
          <w:tcPr>
            <w:tcW w:w="3840" w:type="dxa"/>
            <w:vAlign w:val="bottom"/>
          </w:tcPr>
          <w:p>
            <w:pPr>
              <w:spacing w:after="0"/>
              <w:rPr>
                <w:sz w:val="17"/>
                <w:szCs w:val="17"/>
                <w:color w:val="auto"/>
              </w:rPr>
            </w:pPr>
          </w:p>
        </w:tc>
        <w:tc>
          <w:tcPr>
            <w:tcW w:w="2440" w:type="dxa"/>
            <w:vAlign w:val="bottom"/>
          </w:tcPr>
          <w:p>
            <w:pPr>
              <w:ind w:left="188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1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Andrew R. Boll</w:t>
            </w:r>
          </w:p>
        </w:tc>
      </w:tr>
      <w:tr>
        <w:trPr>
          <w:trHeight w:val="234"/>
        </w:trPr>
        <w:tc>
          <w:tcPr>
            <w:tcW w:w="3840" w:type="dxa"/>
            <w:vAlign w:val="bottom"/>
          </w:tcPr>
          <w:p>
            <w:pPr>
              <w:spacing w:after="0"/>
              <w:rPr>
                <w:sz w:val="20"/>
                <w:szCs w:val="20"/>
                <w:color w:val="auto"/>
              </w:rPr>
            </w:pPr>
          </w:p>
        </w:tc>
        <w:tc>
          <w:tcPr>
            <w:tcW w:w="244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Title:</w:t>
            </w: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39"/>
        </w:trPr>
        <w:tc>
          <w:tcPr>
            <w:tcW w:w="38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57" w:right="239" w:bottom="1440" w:gutter="0" w:footer="0" w:header="0"/>
        </w:sectPr>
      </w:pPr>
    </w:p>
    <w:bookmarkStart w:id="3" w:name="page4"/>
    <w:bookmarkEnd w:id="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IMPRIMIS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Shares of Common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(par value $0.001 per share)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Controlled Equity Offering</w:t>
      </w:r>
      <w:r>
        <w:rPr>
          <w:rFonts w:ascii="Times New Roman" w:cs="Times New Roman" w:eastAsia="Times New Roman" w:hAnsi="Times New Roman"/>
          <w:sz w:val="30"/>
          <w:szCs w:val="30"/>
          <w:b w:val="1"/>
          <w:bCs w:val="1"/>
          <w:color w:val="auto"/>
          <w:vertAlign w:val="superscript"/>
        </w:rPr>
        <w:t>SM</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Sales Agreement</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November 27, 2015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Cantor Fitzgerald &amp; Co.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499 Park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Imprimis Pharmaceuticals, Inc., a Delaware corporation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confirms its agreement (this “</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with Cantor Fitzgerald &amp; Co.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u w:val="single" w:color="auto"/>
          <w:color w:val="auto"/>
        </w:rPr>
        <w:t>Agent</w:t>
      </w:r>
      <w:r>
        <w:rPr>
          <w:rFonts w:ascii="Times New Roman" w:cs="Times New Roman" w:eastAsia="Times New Roman" w:hAnsi="Times New Roman"/>
          <w:sz w:val="18"/>
          <w:szCs w:val="18"/>
          <w:color w:val="auto"/>
        </w:rPr>
        <w:t>”), as follows:</w:t>
      </w:r>
    </w:p>
    <w:p>
      <w:pPr>
        <w:spacing w:after="0" w:line="207" w:lineRule="exact"/>
        <w:rPr>
          <w:sz w:val="20"/>
          <w:szCs w:val="20"/>
          <w:color w:val="auto"/>
        </w:rPr>
      </w:pPr>
    </w:p>
    <w:p>
      <w:pPr>
        <w:jc w:val="both"/>
        <w:ind w:firstLine="656"/>
        <w:spacing w:after="0" w:line="253" w:lineRule="auto"/>
        <w:tabs>
          <w:tab w:leader="none" w:pos="84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and Sale of Shares</w:t>
      </w:r>
      <w:r>
        <w:rPr>
          <w:rFonts w:ascii="Times New Roman" w:cs="Times New Roman" w:eastAsia="Times New Roman" w:hAnsi="Times New Roman"/>
          <w:sz w:val="18"/>
          <w:szCs w:val="18"/>
          <w:color w:val="auto"/>
        </w:rPr>
        <w:t>. The Company agrees that, from time to time during the term of this Agreement, on the terms and subject to the conditions set forth herein, it may issue and sell through the Agent, shares of common stock (the “</w:t>
      </w:r>
      <w:r>
        <w:rPr>
          <w:rFonts w:ascii="Times New Roman" w:cs="Times New Roman" w:eastAsia="Times New Roman" w:hAnsi="Times New Roman"/>
          <w:sz w:val="18"/>
          <w:szCs w:val="18"/>
          <w:b w:val="1"/>
          <w:bCs w:val="1"/>
          <w:u w:val="single" w:color="auto"/>
          <w:color w:val="auto"/>
        </w:rPr>
        <w:t>Placement Shares</w:t>
      </w:r>
      <w:r>
        <w:rPr>
          <w:rFonts w:ascii="Times New Roman" w:cs="Times New Roman" w:eastAsia="Times New Roman" w:hAnsi="Times New Roman"/>
          <w:sz w:val="18"/>
          <w:szCs w:val="18"/>
          <w:color w:val="auto"/>
        </w:rPr>
        <w:t>”) of the Company, par value $0.001 per share (the “</w:t>
      </w:r>
      <w:r>
        <w:rPr>
          <w:rFonts w:ascii="Times New Roman" w:cs="Times New Roman" w:eastAsia="Times New Roman" w:hAnsi="Times New Roman"/>
          <w:sz w:val="18"/>
          <w:szCs w:val="18"/>
          <w:b w:val="1"/>
          <w:bCs w:val="1"/>
          <w:u w:val="single" w:color="auto"/>
          <w:color w:val="auto"/>
        </w:rPr>
        <w:t>Common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no event shall the Company issue or sell through the Agent such number or dollar amount of Placement Shares that would (a) exceed the number or dollar amount of shares of Common Stock registered on the effective Registration Statement (defined below) pursuant to which the offering is being made, (b) exceed the number of authorized but unissued shares of Common Stock, (c) exceed the number or dollar amount of shares of Common Stock permitted to be sold under Form S-3 (including General Instruction I.B.6 thereof) or (d) exceed the number or dollar amount of shares of Common Stock for which the Company has filed a Prospectus Supplement (defined below) (the lesser of (a), (b), (c) and (d), the “</w:t>
      </w:r>
      <w:r>
        <w:rPr>
          <w:rFonts w:ascii="Times New Roman" w:cs="Times New Roman" w:eastAsia="Times New Roman" w:hAnsi="Times New Roman"/>
          <w:sz w:val="18"/>
          <w:szCs w:val="18"/>
          <w:b w:val="1"/>
          <w:bCs w:val="1"/>
          <w:u w:val="single" w:color="auto"/>
          <w:color w:val="auto"/>
        </w:rPr>
        <w:t>Maximum Amount</w:t>
      </w:r>
      <w:r>
        <w:rPr>
          <w:rFonts w:ascii="Times New Roman" w:cs="Times New Roman" w:eastAsia="Times New Roman" w:hAnsi="Times New Roman"/>
          <w:sz w:val="18"/>
          <w:szCs w:val="18"/>
          <w:color w:val="auto"/>
        </w:rPr>
        <w:t xml:space="preserve">”). Notwithstanding anything to the contrary contained herein, the parties hereto agree that compliance with the limitations set forth in this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on the amount of Placement Shares issued and sold under this Agreement shall be the sole responsibility of the Company and that Agent shall have no obligation in connection with such compliance provided the Agent follows the trading instructions provided by the Company pursuant to any Placement Notice in all material respects. The issuance and sale of Placement Shares through Agent will be effected pursuant to the Registration Statement (as defined below) filed by the Company and declared effective by the Securities and Exchange Commission (the “</w:t>
      </w:r>
      <w:r>
        <w:rPr>
          <w:rFonts w:ascii="Times New Roman" w:cs="Times New Roman" w:eastAsia="Times New Roman" w:hAnsi="Times New Roman"/>
          <w:sz w:val="18"/>
          <w:szCs w:val="18"/>
          <w:b w:val="1"/>
          <w:bCs w:val="1"/>
          <w:u w:val="single" w:color="auto"/>
          <w:color w:val="auto"/>
        </w:rPr>
        <w:t>Commission</w:t>
      </w:r>
      <w:r>
        <w:rPr>
          <w:rFonts w:ascii="Times New Roman" w:cs="Times New Roman" w:eastAsia="Times New Roman" w:hAnsi="Times New Roman"/>
          <w:sz w:val="18"/>
          <w:szCs w:val="18"/>
          <w:color w:val="auto"/>
        </w:rPr>
        <w:t>”) on September 29, 2014, although nothing in this Agreement shall be construed as requiring the Company to use the Registration Statement to issue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5" w:name="page6"/>
    <w:bookmarkEnd w:id="5"/>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Company has filed, in accordance with the provisions of the Securities Act of 1933, as amended (the “</w:t>
      </w:r>
      <w:r>
        <w:rPr>
          <w:rFonts w:ascii="Times New Roman" w:cs="Times New Roman" w:eastAsia="Times New Roman" w:hAnsi="Times New Roman"/>
          <w:sz w:val="18"/>
          <w:szCs w:val="18"/>
          <w:b w:val="1"/>
          <w:bCs w:val="1"/>
          <w:u w:val="single" w:color="auto"/>
          <w:color w:val="auto"/>
        </w:rPr>
        <w:t>Securities Act</w:t>
      </w:r>
      <w:r>
        <w:rPr>
          <w:rFonts w:ascii="Times New Roman" w:cs="Times New Roman" w:eastAsia="Times New Roman" w:hAnsi="Times New Roman"/>
          <w:sz w:val="18"/>
          <w:szCs w:val="18"/>
          <w:color w:val="auto"/>
        </w:rPr>
        <w:t>”) and the rules and regulations thereunder (the “</w:t>
      </w:r>
      <w:r>
        <w:rPr>
          <w:rFonts w:ascii="Times New Roman" w:cs="Times New Roman" w:eastAsia="Times New Roman" w:hAnsi="Times New Roman"/>
          <w:sz w:val="18"/>
          <w:szCs w:val="18"/>
          <w:b w:val="1"/>
          <w:bCs w:val="1"/>
          <w:u w:val="single" w:color="auto"/>
          <w:color w:val="auto"/>
        </w:rPr>
        <w:t>Securities Act Regulations</w:t>
      </w:r>
      <w:r>
        <w:rPr>
          <w:rFonts w:ascii="Times New Roman" w:cs="Times New Roman" w:eastAsia="Times New Roman" w:hAnsi="Times New Roman"/>
          <w:sz w:val="18"/>
          <w:szCs w:val="18"/>
          <w:color w:val="auto"/>
        </w:rPr>
        <w:t>”), with the Commission a registration statement on Form S-3 (File No. 333-198675), including a base prospectus, relating to certain securities, including the Placement Shares to be issued from time to time by the Company, and which incorporates by reference documents that the Company has filed or will file in accordance with the provisions of the Securities Exchange Act of 1934, as amended (the “</w:t>
      </w:r>
      <w:r>
        <w:rPr>
          <w:rFonts w:ascii="Times New Roman" w:cs="Times New Roman" w:eastAsia="Times New Roman" w:hAnsi="Times New Roman"/>
          <w:sz w:val="18"/>
          <w:szCs w:val="18"/>
          <w:b w:val="1"/>
          <w:bCs w:val="1"/>
          <w:u w:val="single" w:color="auto"/>
          <w:color w:val="auto"/>
        </w:rPr>
        <w:t>Exchange Act</w:t>
      </w:r>
      <w:r>
        <w:rPr>
          <w:rFonts w:ascii="Times New Roman" w:cs="Times New Roman" w:eastAsia="Times New Roman" w:hAnsi="Times New Roman"/>
          <w:sz w:val="18"/>
          <w:szCs w:val="18"/>
          <w:color w:val="auto"/>
        </w:rPr>
        <w:t>”), and the rules and regulations thereunder. The Company will prepare a prospectus supplement to the base prospectus included as part of the registration statement, which prospectus supplement relates to the Placement Shares to be issued from time to time by the Company (the “</w:t>
      </w:r>
      <w:r>
        <w:rPr>
          <w:rFonts w:ascii="Times New Roman" w:cs="Times New Roman" w:eastAsia="Times New Roman" w:hAnsi="Times New Roman"/>
          <w:sz w:val="18"/>
          <w:szCs w:val="18"/>
          <w:b w:val="1"/>
          <w:bCs w:val="1"/>
          <w:u w:val="single" w:color="auto"/>
          <w:color w:val="auto"/>
        </w:rPr>
        <w:t>Prospectus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Supplement</w:t>
      </w:r>
      <w:r>
        <w:rPr>
          <w:rFonts w:ascii="Times New Roman" w:cs="Times New Roman" w:eastAsia="Times New Roman" w:hAnsi="Times New Roman"/>
          <w:sz w:val="18"/>
          <w:szCs w:val="18"/>
          <w:color w:val="auto"/>
        </w:rPr>
        <w:t>”). The Company will furnish to the Agent, for use by the Agent, copies of the prospectus included as part of such registration statement,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supplemented, by the Prospectus Supplement, relating to the Placement Shares to be issued from time to time by the Company. The Company may file one or more additional registration statements from time to time that will contain one or more base prospectuses, with respect to the Placement Shares. Except where the context otherwise requires, such registration statement(s), including all documents filed as part thereof or incorporated by reference therein, and including any information contained in a Prospectus (as defined below) subsequently filed with the Commission pursuant to Rule 424(b) under the Securities Act Regulations or deemed to be a part of such registration statement pursuant to Rule 430B of the Securities Act Regulations, is herein called the “</w:t>
      </w:r>
      <w:r>
        <w:rPr>
          <w:rFonts w:ascii="Times New Roman" w:cs="Times New Roman" w:eastAsia="Times New Roman" w:hAnsi="Times New Roman"/>
          <w:sz w:val="18"/>
          <w:szCs w:val="18"/>
          <w:b w:val="1"/>
          <w:bCs w:val="1"/>
          <w:u w:val="single" w:color="auto"/>
          <w:color w:val="auto"/>
        </w:rPr>
        <w:t>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Statement</w:t>
      </w:r>
      <w:r>
        <w:rPr>
          <w:rFonts w:ascii="Times New Roman" w:cs="Times New Roman" w:eastAsia="Times New Roman" w:hAnsi="Times New Roman"/>
          <w:sz w:val="18"/>
          <w:szCs w:val="18"/>
          <w:color w:val="auto"/>
        </w:rPr>
        <w:t>.” The base prospectus or base prospectuses, including all documents incorporated therein by reference, included in the Registration Statement,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 may be supplemented, if necessary, by the Prospectus Supplement, in the form in which such prospectus or prospectuses and/or Prospectus Supplement have most recently been filed by the Company with the Commission pursuant to Rule 424(b) under the Securities Act Regulations, together with any then issued Issuer Free Writing Prospectus(es), is herein called the “</w:t>
      </w:r>
      <w:r>
        <w:rPr>
          <w:rFonts w:ascii="Times New Roman" w:cs="Times New Roman" w:eastAsia="Times New Roman" w:hAnsi="Times New Roman"/>
          <w:sz w:val="18"/>
          <w:szCs w:val="18"/>
          <w:b w:val="1"/>
          <w:bCs w:val="1"/>
          <w:u w:val="single" w:color="auto"/>
          <w:color w:val="auto"/>
        </w:rPr>
        <w:t>Prospectus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7"/>
          <w:szCs w:val="17"/>
          <w:color w:val="auto"/>
        </w:rPr>
        <w:t>Any reference herein to the Registration Statement, Prospectus or any Issuer Free Writing Prospectus (defined below) shall be deemed to refer to and include the documents, if any, incorporated by reference therein (the “</w:t>
      </w:r>
      <w:r>
        <w:rPr>
          <w:rFonts w:ascii="Times New Roman" w:cs="Times New Roman" w:eastAsia="Times New Roman" w:hAnsi="Times New Roman"/>
          <w:sz w:val="17"/>
          <w:szCs w:val="17"/>
          <w:b w:val="1"/>
          <w:bCs w:val="1"/>
          <w:u w:val="single" w:color="auto"/>
          <w:color w:val="auto"/>
        </w:rPr>
        <w:t>Incorporated Documents</w:t>
      </w:r>
      <w:r>
        <w:rPr>
          <w:rFonts w:ascii="Times New Roman" w:cs="Times New Roman" w:eastAsia="Times New Roman" w:hAnsi="Times New Roman"/>
          <w:sz w:val="17"/>
          <w:szCs w:val="17"/>
          <w:color w:val="auto"/>
        </w:rPr>
        <w:t>”), including, unless the context otherwise requires, the documents, if any, filed as exhibits to such Incorporated Documents. Any reference herein to the terms “amend,” “amendment” or “supplement” with respect to the Registration Statement, the Prospectus or any Issuer Free Writing Prospectus shall be deemed to refer to and include the filing of any document under the Exchange Act on or after the most-recent effective date of the Registration Statement, or the date of the Prospectus or such Issuer Free Writing Prospectus, as the case may be, and incorporated therein by reference. For purposes of this Agreement, all references to the Registration Statement, the Prospectus or to any amendment or supplement thereto shall be deemed to include the most recent copy filed with the Commission pursuant to its Electronic Data Gathering Analysis and Retrieval System, or if applicable, the Interactive Data Electronic Application system when used by the Commission (collectively, “</w:t>
      </w:r>
      <w:r>
        <w:rPr>
          <w:rFonts w:ascii="Times New Roman" w:cs="Times New Roman" w:eastAsia="Times New Roman" w:hAnsi="Times New Roman"/>
          <w:sz w:val="17"/>
          <w:szCs w:val="17"/>
          <w:b w:val="1"/>
          <w:bCs w:val="1"/>
          <w:u w:val="single" w:color="auto"/>
          <w:color w:val="auto"/>
        </w:rPr>
        <w:t>EDGAR</w:t>
      </w:r>
      <w:r>
        <w:rPr>
          <w:rFonts w:ascii="Times New Roman" w:cs="Times New Roman" w:eastAsia="Times New Roman" w:hAnsi="Times New Roman"/>
          <w:sz w:val="17"/>
          <w:szCs w:val="17"/>
          <w:color w:val="auto"/>
        </w:rPr>
        <w:t>”).</w:t>
      </w:r>
    </w:p>
    <w:p>
      <w:pPr>
        <w:spacing w:after="0" w:line="168" w:lineRule="exact"/>
        <w:rPr>
          <w:sz w:val="20"/>
          <w:szCs w:val="20"/>
          <w:color w:val="auto"/>
        </w:rPr>
      </w:pPr>
    </w:p>
    <w:p>
      <w:pPr>
        <w:jc w:val="both"/>
        <w:ind w:firstLine="656"/>
        <w:spacing w:after="0" w:line="253" w:lineRule="auto"/>
        <w:tabs>
          <w:tab w:leader="none" w:pos="8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Placements</w:t>
      </w:r>
      <w:r>
        <w:rPr>
          <w:rFonts w:ascii="Times New Roman" w:cs="Times New Roman" w:eastAsia="Times New Roman" w:hAnsi="Times New Roman"/>
          <w:sz w:val="18"/>
          <w:szCs w:val="18"/>
          <w:color w:val="auto"/>
        </w:rPr>
        <w:t>. Each time that the Company wishes to issue and sell Placement Shares hereunder (each, a “</w:t>
      </w:r>
      <w:r>
        <w:rPr>
          <w:rFonts w:ascii="Times New Roman" w:cs="Times New Roman" w:eastAsia="Times New Roman" w:hAnsi="Times New Roman"/>
          <w:sz w:val="18"/>
          <w:szCs w:val="18"/>
          <w:b w:val="1"/>
          <w:bCs w:val="1"/>
          <w:u w:val="single" w:color="auto"/>
          <w:color w:val="auto"/>
        </w:rPr>
        <w:t>Placement</w:t>
      </w:r>
      <w:r>
        <w:rPr>
          <w:rFonts w:ascii="Times New Roman" w:cs="Times New Roman" w:eastAsia="Times New Roman" w:hAnsi="Times New Roman"/>
          <w:sz w:val="18"/>
          <w:szCs w:val="18"/>
          <w:color w:val="auto"/>
        </w:rPr>
        <w:t>”), it will notify the Agent by email notice (or other method mutually agreed to in writing by the parties) of the number of Placement Shares to be issued, the time period during which sales are requested to be made, any limitation on the number of Placement Shares that may be sold in any one day and any minimum price below which sales may not be made (a “</w:t>
      </w:r>
      <w:r>
        <w:rPr>
          <w:rFonts w:ascii="Times New Roman" w:cs="Times New Roman" w:eastAsia="Times New Roman" w:hAnsi="Times New Roman"/>
          <w:sz w:val="18"/>
          <w:szCs w:val="18"/>
          <w:b w:val="1"/>
          <w:bCs w:val="1"/>
          <w:u w:val="single" w:color="auto"/>
          <w:color w:val="auto"/>
        </w:rPr>
        <w:t>Placement Notice</w:t>
      </w:r>
      <w:r>
        <w:rPr>
          <w:rFonts w:ascii="Times New Roman" w:cs="Times New Roman" w:eastAsia="Times New Roman" w:hAnsi="Times New Roman"/>
          <w:sz w:val="18"/>
          <w:szCs w:val="18"/>
          <w:color w:val="auto"/>
        </w:rPr>
        <w:t xml:space="preserve">”), the form of which is attached hereto as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The Placement Notice shall originate from any of the individuals from the Company set forth on </w:t>
      </w:r>
      <w:r>
        <w:rPr>
          <w:rFonts w:ascii="Times New Roman" w:cs="Times New Roman" w:eastAsia="Times New Roman" w:hAnsi="Times New Roman"/>
          <w:sz w:val="18"/>
          <w:szCs w:val="18"/>
          <w:u w:val="single" w:color="auto"/>
          <w:color w:val="auto"/>
        </w:rPr>
        <w:t>Schedule 3</w:t>
      </w:r>
      <w:r>
        <w:rPr>
          <w:rFonts w:ascii="Times New Roman" w:cs="Times New Roman" w:eastAsia="Times New Roman" w:hAnsi="Times New Roman"/>
          <w:sz w:val="18"/>
          <w:szCs w:val="18"/>
          <w:color w:val="auto"/>
        </w:rPr>
        <w:t xml:space="preserve"> (with a copy to each of the other individuals from the Company listed on such schedule), and shall be addressed to each of the individuals from the Agent set forth on </w:t>
      </w:r>
      <w:r>
        <w:rPr>
          <w:rFonts w:ascii="Times New Roman" w:cs="Times New Roman" w:eastAsia="Times New Roman" w:hAnsi="Times New Roman"/>
          <w:sz w:val="18"/>
          <w:szCs w:val="18"/>
          <w:u w:val="single" w:color="auto"/>
          <w:color w:val="auto"/>
        </w:rPr>
        <w:t>Schedule 3</w:t>
      </w:r>
      <w:r>
        <w:rPr>
          <w:rFonts w:ascii="Times New Roman" w:cs="Times New Roman" w:eastAsia="Times New Roman" w:hAnsi="Times New Roman"/>
          <w:sz w:val="18"/>
          <w:szCs w:val="18"/>
          <w:color w:val="auto"/>
        </w:rPr>
        <w:t xml:space="preserve">, as such </w:t>
      </w:r>
      <w:r>
        <w:rPr>
          <w:rFonts w:ascii="Times New Roman" w:cs="Times New Roman" w:eastAsia="Times New Roman" w:hAnsi="Times New Roman"/>
          <w:sz w:val="18"/>
          <w:szCs w:val="18"/>
          <w:u w:val="single" w:color="auto"/>
          <w:color w:val="auto"/>
        </w:rPr>
        <w:t>Schedule 3</w:t>
      </w:r>
      <w:r>
        <w:rPr>
          <w:rFonts w:ascii="Times New Roman" w:cs="Times New Roman" w:eastAsia="Times New Roman" w:hAnsi="Times New Roman"/>
          <w:sz w:val="18"/>
          <w:szCs w:val="18"/>
          <w:color w:val="auto"/>
        </w:rPr>
        <w:t xml:space="preserve"> may be amended from time to time. The Placement Notice shall be effective unless and until (i) the Agent declines to accept the terms contained therein for any reason, in its sole discretion, which declination to be effective must occur within two (2) Business Days (as defined below) after receipt of such Placement Notice, (ii) the entire amount of the Placement Shares thereunder have been sold, (iii) the Company, in its sole discretion, suspends or terminates the Placement Notice or (iv) this Agreement has been terminated under the provisions of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The amount of any discount, commission or other compensation to be paid by the Company to Agent in connection with the sale of the Placement Shares shall be calculated in accordance with the terms set forth in </w:t>
      </w:r>
      <w:r>
        <w:rPr>
          <w:rFonts w:ascii="Times New Roman" w:cs="Times New Roman" w:eastAsia="Times New Roman" w:hAnsi="Times New Roman"/>
          <w:sz w:val="18"/>
          <w:szCs w:val="18"/>
          <w:u w:val="single" w:color="auto"/>
          <w:color w:val="auto"/>
        </w:rPr>
        <w:t>Schedule 2</w:t>
      </w:r>
      <w:r>
        <w:rPr>
          <w:rFonts w:ascii="Times New Roman" w:cs="Times New Roman" w:eastAsia="Times New Roman" w:hAnsi="Times New Roman"/>
          <w:sz w:val="18"/>
          <w:szCs w:val="18"/>
          <w:color w:val="auto"/>
        </w:rPr>
        <w:t>. It is expressly acknowledged and agreed that neither the Company nor the Agent will have any obligation whatsoever with respect to a Placement or any Placement Shares unless and until the Company delivers a Placement Notice to the Agent and the Agent does not decline such Placement Notice pursuant to the terms set forth above, and then only upon the terms specified therein and herein. In the event of a conflict between the terms of this Agreement and the terms of a Placement Notice, the terms of the Placement Notice will control.</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6" w:name="page7"/>
    <w:bookmarkEnd w:id="6"/>
    <w:p>
      <w:pPr>
        <w:jc w:val="both"/>
        <w:ind w:firstLine="656"/>
        <w:spacing w:after="0" w:line="253" w:lineRule="auto"/>
        <w:tabs>
          <w:tab w:leader="none" w:pos="8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Sale of Placement Shares by Agent</w:t>
      </w:r>
      <w:r>
        <w:rPr>
          <w:rFonts w:ascii="Times New Roman" w:cs="Times New Roman" w:eastAsia="Times New Roman" w:hAnsi="Times New Roman"/>
          <w:sz w:val="18"/>
          <w:szCs w:val="18"/>
          <w:color w:val="auto"/>
        </w:rPr>
        <w:t xml:space="preserve">. Subject to the provisions of </w:t>
      </w:r>
      <w:r>
        <w:rPr>
          <w:rFonts w:ascii="Times New Roman" w:cs="Times New Roman" w:eastAsia="Times New Roman" w:hAnsi="Times New Roman"/>
          <w:sz w:val="18"/>
          <w:szCs w:val="18"/>
          <w:u w:val="single" w:color="auto"/>
          <w:color w:val="auto"/>
        </w:rPr>
        <w:t>Section 5(a)</w:t>
      </w:r>
      <w:r>
        <w:rPr>
          <w:rFonts w:ascii="Times New Roman" w:cs="Times New Roman" w:eastAsia="Times New Roman" w:hAnsi="Times New Roman"/>
          <w:sz w:val="18"/>
          <w:szCs w:val="18"/>
          <w:color w:val="auto"/>
        </w:rPr>
        <w:t>, the Agent, for the period specified in the Placement Notice, will use its commercially reasonable efforts consistent with its normal trading and sales practices and applicable state and federal laws, rules and regulations and the rules of the NASDAQ Capital Market (the “</w:t>
      </w:r>
      <w:r>
        <w:rPr>
          <w:rFonts w:ascii="Times New Roman" w:cs="Times New Roman" w:eastAsia="Times New Roman" w:hAnsi="Times New Roman"/>
          <w:sz w:val="18"/>
          <w:szCs w:val="18"/>
          <w:b w:val="1"/>
          <w:bCs w:val="1"/>
          <w:u w:val="single" w:color="auto"/>
          <w:color w:val="auto"/>
        </w:rPr>
        <w:t>Exchange</w:t>
      </w:r>
      <w:r>
        <w:rPr>
          <w:rFonts w:ascii="Times New Roman" w:cs="Times New Roman" w:eastAsia="Times New Roman" w:hAnsi="Times New Roman"/>
          <w:sz w:val="18"/>
          <w:szCs w:val="18"/>
          <w:color w:val="auto"/>
        </w:rPr>
        <w:t xml:space="preserve">”), to sell the Placement Shares up to the amount specified, and otherwise in accordance with the terms of such Placement Notice. The Agent will provide written confirmation to the Company no later than the opening of the Trading Day (as defined below) immediately following the Trading Day on which it has made sales of Placement Shares hereunder setting forth the number of Placement Shares sold on such day, the compensation payable by the Company to the Agent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with respect to such sales, and the Net Proceeds (as defined below) payable to the Company, with an itemization of the deductions made by the Agent (as set forth in </w:t>
      </w:r>
      <w:r>
        <w:rPr>
          <w:rFonts w:ascii="Times New Roman" w:cs="Times New Roman" w:eastAsia="Times New Roman" w:hAnsi="Times New Roman"/>
          <w:sz w:val="18"/>
          <w:szCs w:val="18"/>
          <w:u w:val="single" w:color="auto"/>
          <w:color w:val="auto"/>
        </w:rPr>
        <w:t>Section 5(b)</w:t>
      </w:r>
      <w:r>
        <w:rPr>
          <w:rFonts w:ascii="Times New Roman" w:cs="Times New Roman" w:eastAsia="Times New Roman" w:hAnsi="Times New Roman"/>
          <w:sz w:val="18"/>
          <w:szCs w:val="18"/>
          <w:color w:val="auto"/>
        </w:rPr>
        <w:t>) from the gross proceeds that it receives from such sales. Subject to the terms of the Placement Notice, the Agent may sell Placement Shares by any method permitted by law deemed to be an “at the market” offering as defined in Rule 415 of the Securities Act Regulations, including without limitation sales made directly on the Exchange, on any other existing trading market for the Common Stock or to or through a market maker. Subject to the terms of a Placement Notice and to the prior written consent of the Company, the Agent may also sell Placement Shares by any other method permitted by law, including, but not limited to, in privately negotiated transactions. “</w:t>
      </w:r>
      <w:r>
        <w:rPr>
          <w:rFonts w:ascii="Times New Roman" w:cs="Times New Roman" w:eastAsia="Times New Roman" w:hAnsi="Times New Roman"/>
          <w:sz w:val="18"/>
          <w:szCs w:val="18"/>
          <w:b w:val="1"/>
          <w:bCs w:val="1"/>
          <w:u w:val="single" w:color="auto"/>
          <w:color w:val="auto"/>
        </w:rPr>
        <w:t>Trading Day</w:t>
      </w:r>
      <w:r>
        <w:rPr>
          <w:rFonts w:ascii="Times New Roman" w:cs="Times New Roman" w:eastAsia="Times New Roman" w:hAnsi="Times New Roman"/>
          <w:sz w:val="18"/>
          <w:szCs w:val="18"/>
          <w:color w:val="auto"/>
        </w:rPr>
        <w:t>” means any day on which Common Stock is traded on the Exchange.</w:t>
      </w:r>
    </w:p>
    <w:p>
      <w:pPr>
        <w:spacing w:after="0" w:line="190" w:lineRule="exact"/>
        <w:rPr>
          <w:rFonts w:ascii="Times New Roman" w:cs="Times New Roman" w:eastAsia="Times New Roman" w:hAnsi="Times New Roman"/>
          <w:sz w:val="18"/>
          <w:szCs w:val="18"/>
          <w:color w:val="auto"/>
        </w:rPr>
      </w:pPr>
    </w:p>
    <w:p>
      <w:pPr>
        <w:jc w:val="both"/>
        <w:ind w:firstLine="656"/>
        <w:spacing w:after="0" w:line="254" w:lineRule="auto"/>
        <w:tabs>
          <w:tab w:leader="none" w:pos="8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Suspension of Sales</w:t>
      </w:r>
      <w:r>
        <w:rPr>
          <w:rFonts w:ascii="Times New Roman" w:cs="Times New Roman" w:eastAsia="Times New Roman" w:hAnsi="Times New Roman"/>
          <w:sz w:val="18"/>
          <w:szCs w:val="18"/>
          <w:color w:val="auto"/>
        </w:rPr>
        <w:t xml:space="preserve">. The Company or the Agent may, upon notice to the other party in writing (including by email correspondence to each of the individuals of the other party set forth on </w:t>
      </w:r>
      <w:r>
        <w:rPr>
          <w:rFonts w:ascii="Times New Roman" w:cs="Times New Roman" w:eastAsia="Times New Roman" w:hAnsi="Times New Roman"/>
          <w:sz w:val="18"/>
          <w:szCs w:val="18"/>
          <w:u w:val="single" w:color="auto"/>
          <w:color w:val="auto"/>
        </w:rPr>
        <w:t>Schedule 3</w:t>
      </w:r>
      <w:r>
        <w:rPr>
          <w:rFonts w:ascii="Times New Roman" w:cs="Times New Roman" w:eastAsia="Times New Roman" w:hAnsi="Times New Roman"/>
          <w:sz w:val="18"/>
          <w:szCs w:val="18"/>
          <w:color w:val="auto"/>
        </w:rPr>
        <w:t xml:space="preserve">, if receipt of such correspondence is actually acknowledged by any of the individuals to whom the notice is sent, other than via auto-reply) or by telephone (confirmed immediately by verifiable facsimile transmission or email correspondence to each of the individuals of the other party set forth on </w:t>
      </w:r>
      <w:r>
        <w:rPr>
          <w:rFonts w:ascii="Times New Roman" w:cs="Times New Roman" w:eastAsia="Times New Roman" w:hAnsi="Times New Roman"/>
          <w:sz w:val="18"/>
          <w:szCs w:val="18"/>
          <w:u w:val="single" w:color="auto"/>
          <w:color w:val="auto"/>
        </w:rPr>
        <w:t>Schedule 3</w:t>
      </w:r>
      <w:r>
        <w:rPr>
          <w:rFonts w:ascii="Times New Roman" w:cs="Times New Roman" w:eastAsia="Times New Roman" w:hAnsi="Times New Roman"/>
          <w:sz w:val="18"/>
          <w:szCs w:val="18"/>
          <w:color w:val="auto"/>
        </w:rPr>
        <w:t>), suspend any sale of Placement Shares (a “</w:t>
      </w:r>
      <w:r>
        <w:rPr>
          <w:rFonts w:ascii="Times New Roman" w:cs="Times New Roman" w:eastAsia="Times New Roman" w:hAnsi="Times New Roman"/>
          <w:sz w:val="18"/>
          <w:szCs w:val="18"/>
          <w:b w:val="1"/>
          <w:bCs w:val="1"/>
          <w:u w:val="single" w:color="auto"/>
          <w:color w:val="auto"/>
        </w:rPr>
        <w:t>Suspension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such Suspension shall not affect or impair any party’s obligations with respect to any Placement Shares sold hereunder prior to the receipt of such notice. While a Suspension is in effect any obligation under </w:t>
      </w:r>
      <w:r>
        <w:rPr>
          <w:rFonts w:ascii="Times New Roman" w:cs="Times New Roman" w:eastAsia="Times New Roman" w:hAnsi="Times New Roman"/>
          <w:sz w:val="18"/>
          <w:szCs w:val="18"/>
          <w:u w:val="single" w:color="auto"/>
          <w:color w:val="auto"/>
        </w:rPr>
        <w:t>Sections 7(l)</w:t>
      </w:r>
      <w:r>
        <w:rPr>
          <w:rFonts w:ascii="Times New Roman" w:cs="Times New Roman" w:eastAsia="Times New Roman" w:hAnsi="Times New Roman"/>
          <w:sz w:val="18"/>
          <w:szCs w:val="18"/>
          <w:color w:val="auto"/>
        </w:rPr>
        <w:t xml:space="preserve">, 7(m), and 7(n) with respect to the delivery of certificates, opinions, or comfort letters to the Agent, shall be waived. Each of the parties agrees that no such notice under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shall be effective against any other party unless it is made to one of the individuals named on </w:t>
      </w:r>
      <w:r>
        <w:rPr>
          <w:rFonts w:ascii="Times New Roman" w:cs="Times New Roman" w:eastAsia="Times New Roman" w:hAnsi="Times New Roman"/>
          <w:sz w:val="18"/>
          <w:szCs w:val="18"/>
          <w:u w:val="single" w:color="auto"/>
          <w:color w:val="auto"/>
        </w:rPr>
        <w:t>Schedule 3</w:t>
      </w:r>
      <w:r>
        <w:rPr>
          <w:rFonts w:ascii="Times New Roman" w:cs="Times New Roman" w:eastAsia="Times New Roman" w:hAnsi="Times New Roman"/>
          <w:sz w:val="18"/>
          <w:szCs w:val="18"/>
          <w:color w:val="auto"/>
        </w:rPr>
        <w:t xml:space="preserve"> hereto, as such Schedule may be amended from time to time by the Company with respect to the Company’s individuals named thereon, and by the Agent with respect to the Agent’s individuals named thereon.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 w:name="page8"/>
    <w:bookmarkEnd w:id="7"/>
    <w:p>
      <w:pPr>
        <w:ind w:left="840" w:hanging="184"/>
        <w:spacing w:after="0"/>
        <w:tabs>
          <w:tab w:leader="none" w:pos="8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Sale and Delivery to the Agent; Settlement</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auto"/>
        </w:rPr>
      </w:pPr>
    </w:p>
    <w:p>
      <w:pPr>
        <w:jc w:val="both"/>
        <w:ind w:firstLine="980"/>
        <w:spacing w:after="0" w:line="254" w:lineRule="auto"/>
        <w:tabs>
          <w:tab w:leader="none" w:pos="1217"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Sale of Placement Shares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On the basis of the representations and warranties herein contained and subject to the terms and conditions herein set forth, upon the Agent’s acceptance of the terms of a Placement Notice, and unless the sale of the Placement Shares described therein has been declined, suspended, or otherwise terminated in accordance with the terms of this Agreement, the Agent, for the period specified in the Placement Notice, will use its commercially reasonable efforts consistent with its normal trading and sales practices and applicable law and regulations to sell such Placement Shares up to the amount specified, and otherwise in accordance with the terms of such Placement Notice. The Company acknowledges and agrees that (i) there can be no assurance that the Agent will be successful in selling Placement Shares, (ii) the Agent will incur no liability or obligation to the Company or any other person or entity if it does not sell Placement Shares for any reason other than a failure by the Agent to use its commercially reasonable efforts consistent with its normal trading and sales practices and applicable law and regulations to sell such Placement Shares as required under this Agreement and (iii) the Agent shall be under no obligation to purchase Placement Shares on a principal basis pursuant to this Agreement, except as otherwise agreed by the Agent and the Company.</w:t>
      </w:r>
    </w:p>
    <w:p>
      <w:pPr>
        <w:spacing w:after="0" w:line="186" w:lineRule="exact"/>
        <w:rPr>
          <w:rFonts w:ascii="Times New Roman" w:cs="Times New Roman" w:eastAsia="Times New Roman" w:hAnsi="Times New Roman"/>
          <w:sz w:val="18"/>
          <w:szCs w:val="18"/>
          <w:color w:val="auto"/>
        </w:rPr>
      </w:pPr>
    </w:p>
    <w:p>
      <w:pPr>
        <w:ind w:left="1240" w:hanging="260"/>
        <w:spacing w:after="0"/>
        <w:tabs>
          <w:tab w:leader="none" w:pos="12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 of Placement Shares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Unless otherwise specified in the applicable Placement Notice, settlement for sales of Placement Shares will</w:t>
      </w:r>
    </w:p>
    <w:p>
      <w:pPr>
        <w:spacing w:after="0" w:line="2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occur on the third (3</w:t>
      </w:r>
      <w:r>
        <w:rPr>
          <w:rFonts w:ascii="Times New Roman" w:cs="Times New Roman" w:eastAsia="Times New Roman" w:hAnsi="Times New Roman"/>
          <w:sz w:val="30"/>
          <w:szCs w:val="30"/>
          <w:color w:val="auto"/>
          <w:vertAlign w:val="superscript"/>
        </w:rPr>
        <w:t>rd</w:t>
      </w:r>
      <w:r>
        <w:rPr>
          <w:rFonts w:ascii="Times New Roman" w:cs="Times New Roman" w:eastAsia="Times New Roman" w:hAnsi="Times New Roman"/>
          <w:sz w:val="18"/>
          <w:szCs w:val="18"/>
          <w:color w:val="auto"/>
        </w:rPr>
        <w:t>) Trading Day (or such earlier day as is industry practice for regular-way trading) following the date on which such sales are made (each, a “</w:t>
      </w:r>
      <w:r>
        <w:rPr>
          <w:rFonts w:ascii="Times New Roman" w:cs="Times New Roman" w:eastAsia="Times New Roman" w:hAnsi="Times New Roman"/>
          <w:sz w:val="18"/>
          <w:szCs w:val="18"/>
          <w:b w:val="1"/>
          <w:bCs w:val="1"/>
          <w:u w:val="single" w:color="auto"/>
          <w:color w:val="auto"/>
        </w:rPr>
        <w:t>Settlement Date</w:t>
      </w:r>
      <w:r>
        <w:rPr>
          <w:rFonts w:ascii="Times New Roman" w:cs="Times New Roman" w:eastAsia="Times New Roman" w:hAnsi="Times New Roman"/>
          <w:sz w:val="18"/>
          <w:szCs w:val="18"/>
          <w:color w:val="auto"/>
        </w:rPr>
        <w:t>”). The Agent shall notify the Company of each sale of Placement Shares no later than the opening of the Trading Day immediately following the Trading Day on which it has made sales of Placement Shares hereunder. The amount of proceeds to be delivered to the Company on a Settlement Date against receipt of the Placement Shares sold (the “</w:t>
      </w:r>
      <w:r>
        <w:rPr>
          <w:rFonts w:ascii="Times New Roman" w:cs="Times New Roman" w:eastAsia="Times New Roman" w:hAnsi="Times New Roman"/>
          <w:sz w:val="18"/>
          <w:szCs w:val="18"/>
          <w:b w:val="1"/>
          <w:bCs w:val="1"/>
          <w:u w:val="single" w:color="auto"/>
          <w:color w:val="auto"/>
        </w:rPr>
        <w:t>Net Proceeds</w:t>
      </w:r>
      <w:r>
        <w:rPr>
          <w:rFonts w:ascii="Times New Roman" w:cs="Times New Roman" w:eastAsia="Times New Roman" w:hAnsi="Times New Roman"/>
          <w:sz w:val="18"/>
          <w:szCs w:val="18"/>
          <w:color w:val="auto"/>
        </w:rPr>
        <w:t xml:space="preserve">”) will be equal to the aggregate sales price received by the Agent, after deduction for (i) the Agent’s commission, discount or other compensation for such sales payable by the Company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hereof, and (ii) any transaction fees imposed by any governmental or self-regulatory organization in respect of such sales.</w:t>
      </w:r>
    </w:p>
    <w:p>
      <w:pPr>
        <w:spacing w:after="0" w:line="201" w:lineRule="exact"/>
        <w:rPr>
          <w:sz w:val="20"/>
          <w:szCs w:val="20"/>
          <w:color w:val="auto"/>
        </w:rPr>
      </w:pPr>
    </w:p>
    <w:p>
      <w:pPr>
        <w:jc w:val="both"/>
        <w:ind w:firstLine="980"/>
        <w:spacing w:after="0" w:line="254" w:lineRule="auto"/>
        <w:tabs>
          <w:tab w:leader="none" w:pos="124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Placement Shares</w:t>
      </w:r>
      <w:r>
        <w:rPr>
          <w:rFonts w:ascii="Times New Roman" w:cs="Times New Roman" w:eastAsia="Times New Roman" w:hAnsi="Times New Roman"/>
          <w:sz w:val="18"/>
          <w:szCs w:val="18"/>
          <w:color w:val="auto"/>
        </w:rPr>
        <w:t xml:space="preserve">. On or before each Settlement Date, the Company will, or will cause its transfer agent to, electronically transfer the Placement Shares being sold by crediting the Agent’s or its designee’s account (provided the Agent shall have given the Company written notice of such designee at least one Trading Day prior to the Settlement Date) at The Depository Trust Company through its Deposit and Withdrawal at Custodian System or by such other means of delivery as may be mutually agreed upon by the parties hereto which in all cases shall be freely tradable, transferable, registered shares in good deliverable form. On each Settlement Date, the Agent will deliver the related Net Proceeds in same day funds to an account designated by the Company on, or prior to, the Settlement Date. The Company agrees that if the Company, or its transfer agent (if applicable), defaults in its obligation to deliver Placement Shares on a Settlement Date through no fault of the Agent, the Company agrees that in addition to and in no way limiting the rights and obligations set forth in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 xml:space="preserve"> hereto, it will (i) hold the Agent harmless against any loss, claim, damage, or expense (including reasonable and documented legal fees and expenses), as incurred, arising out of or in connection with such default by the Company or its transfer agent (if applicable) and (ii) pay to the Agent any commission, discount, or other compensation to which it would otherwise have been entitled absent such default.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8" w:name="page9"/>
    <w:bookmarkEnd w:id="8"/>
    <w:p>
      <w:pPr>
        <w:jc w:val="both"/>
        <w:ind w:firstLine="980"/>
        <w:spacing w:after="0" w:line="261" w:lineRule="auto"/>
        <w:tabs>
          <w:tab w:leader="none" w:pos="1227"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Denominations; Registration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If the Placement Shares are not delivered in book-entry form, certificates for the Placement Shares, if any, shall be in such denominations and registered in such names as the Agent may request in writing at least one full Business Day (as defined below) before the Settlement Date. The certificates for the Placement Shares, if any, will be made available by the Company for examination and packaging by the Agent in The City of New York not later than noon (New York time) on the Business Day prior to the Settlement Date.</w:t>
      </w:r>
    </w:p>
    <w:p>
      <w:pPr>
        <w:spacing w:after="0" w:line="180" w:lineRule="exact"/>
        <w:rPr>
          <w:rFonts w:ascii="Times New Roman" w:cs="Times New Roman" w:eastAsia="Times New Roman" w:hAnsi="Times New Roman"/>
          <w:sz w:val="18"/>
          <w:szCs w:val="18"/>
          <w:color w:val="auto"/>
        </w:rPr>
      </w:pPr>
    </w:p>
    <w:p>
      <w:pPr>
        <w:jc w:val="both"/>
        <w:ind w:firstLine="980"/>
        <w:spacing w:after="0" w:line="254" w:lineRule="auto"/>
        <w:tabs>
          <w:tab w:leader="none" w:pos="1217"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on Offering Size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Under no circumstances shall the Company cause or request the offer or sale of any Placement Shares if, after giving effect to the sale of such Placement Shares, the aggregate gross sales proceeds of Placement Shares sold pursuant to this Agreement would exceed the lesser of (A) together with all sales of Placement Shares under this Agreement, the Maximum Amount, (B) the amount available for offer and sale under the currently effective Registration Statement and (C) the amount authorized from time to time to be issued and sold under this Agreement by the Company’s board of directors, a duly authorized committee thereof or a duly authorized executive committee, and notified to the Agent in writing. Under no circumstances shall the Company cause or request the offer or sale of any Placement Shares pursuant to this Agreement at a price lower than the minimum price authorized from time to time by the Company’s board of directors, a duly authorized committee thereof or a duly authorized executive committee, and notified to the Agent in writing. Further, under no circumstances shall the Company cause or permit the aggregate offering amount of Placement Shares sold pursuant to this Agreement to exceed the Maximum Amount.</w:t>
      </w:r>
    </w:p>
    <w:p>
      <w:pPr>
        <w:spacing w:after="0" w:line="191" w:lineRule="exact"/>
        <w:rPr>
          <w:rFonts w:ascii="Times New Roman" w:cs="Times New Roman" w:eastAsia="Times New Roman" w:hAnsi="Times New Roman"/>
          <w:sz w:val="18"/>
          <w:szCs w:val="18"/>
          <w:color w:val="auto"/>
        </w:rPr>
      </w:pPr>
    </w:p>
    <w:p>
      <w:pPr>
        <w:ind w:firstLine="656"/>
        <w:spacing w:after="0" w:line="282" w:lineRule="auto"/>
        <w:tabs>
          <w:tab w:leader="none" w:pos="84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The Company represents and warrants to, and agrees with Agent that as of the date of this Agreement and as of each Applicable Time (as defined below), unless such representation, warranty or agreement speaks as of a different time:</w:t>
      </w:r>
    </w:p>
    <w:p>
      <w:pPr>
        <w:spacing w:after="0" w:line="161" w:lineRule="exact"/>
        <w:rPr>
          <w:rFonts w:ascii="Times New Roman" w:cs="Times New Roman" w:eastAsia="Times New Roman" w:hAnsi="Times New Roman"/>
          <w:sz w:val="18"/>
          <w:szCs w:val="18"/>
          <w:color w:val="auto"/>
        </w:rPr>
      </w:pPr>
    </w:p>
    <w:p>
      <w:pPr>
        <w:jc w:val="both"/>
        <w:ind w:firstLine="980"/>
        <w:spacing w:after="0" w:line="252" w:lineRule="auto"/>
        <w:tabs>
          <w:tab w:leader="none" w:pos="1217"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 and Prospectus</w:t>
      </w:r>
      <w:r>
        <w:rPr>
          <w:rFonts w:ascii="Times New Roman" w:cs="Times New Roman" w:eastAsia="Times New Roman" w:hAnsi="Times New Roman"/>
          <w:sz w:val="18"/>
          <w:szCs w:val="18"/>
          <w:color w:val="auto"/>
        </w:rPr>
        <w:t>. The Company and the transactions contemplated by this Agreement meet the requirements for and comply with the applicable conditions set forth in Form S-3 (including General Instruction I.A and I.B) under the Securities Act. The Registration Statement has been filed with the Commission and has been declared effective by the Commission under the Securities Act. The Prospectus Supplement will name the Agent as the agent in the section entitled “Plan of Distribution.” The Company has not received, and has no notice of, any order of the Commission preventing or suspending the use of the Registration Statement, or threatening or instituting proceedings for that purpose. The Registration Statement and the offer and sale of Placement Shares as contemplated hereby meet the requirements of Rule 415 under the Securities Act and comply in all material respects with said Rule. Any statutes, regulations, contracts or other documents that are required to be described in the Registration Statement or the Prospectus or to be filed as exhibits to the Registration Statement have been so described or filed. Copies of the Registration Statement, the Prospectus, and any such amendments or supplements and all documents incorporated by reference therein that were filed with the Commission on or prior to the date of this Agreement have been delivered, or are available through EDGAR, to Agent and its counsel. The Company has not distributed and, prior to the later to occur of each Settlement Date and completion of the distribution of the Placement Shares, will not distribute any offering material in connection with the offering or sale of the Placement Shares other than the Registration Statement and the Prospectus and any Issuer Free Writing Prospectus (as defined below) to which the Agent has consented, which consent shall not be unreasonably withheld, conditioned or delayed. The Common Stock is registered pursuant to Section 12(b) of the Exchange Act and is currently listed on the Exchange under the trading symbol “IMMY.” The Company has taken no action designed to, or reasonably likely to have the effect of, terminating the registration of the Common Stock under the Exchange Act, delisting the Common Stock from the Exchange, nor has the Company received any notification that the Commission or the Exchange is contemplating terminating such registration or listing. To the Company’s knowledge, it is in compliance with all applicable listing requirements of the Exchange.</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9" w:right="239" w:bottom="1440" w:gutter="0" w:footer="0" w:header="0"/>
        </w:sectPr>
      </w:pPr>
    </w:p>
    <w:bookmarkStart w:id="9" w:name="page10"/>
    <w:bookmarkEnd w:id="9"/>
    <w:p>
      <w:pPr>
        <w:jc w:val="both"/>
        <w:ind w:firstLine="980"/>
        <w:spacing w:after="0" w:line="254" w:lineRule="auto"/>
        <w:tabs>
          <w:tab w:leader="none" w:pos="122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Misstatement or Omission</w:t>
      </w:r>
      <w:r>
        <w:rPr>
          <w:rFonts w:ascii="Times New Roman" w:cs="Times New Roman" w:eastAsia="Times New Roman" w:hAnsi="Times New Roman"/>
          <w:sz w:val="18"/>
          <w:szCs w:val="18"/>
          <w:color w:val="auto"/>
        </w:rPr>
        <w:t>. The Registration Statement, when it became effective, did not, and will not, contain an untrue statement of a material fact or omit to state a material fact required to be stated therein or necessary to make the statements therein not misleading. The Prospectus and any amendment and supplement thereto relating to the Placement Shares, on the date thereof and at each Applicable Time (defined below), did not or will not include an untrue statement of a material fact or omit to state a material fact necessary to make the statements therein, in light of the circumstances under which they were made, not misleading. The Incorporated Documents did not, and any further Incorporated Documents will not, when filed with the Commission, contain an untrue statement of a material fact or omit to state a material fact required to be stated in such document or necessary to make the statements in such document, in light of the circumstances under which they were made, not misleading. The foregoing shall not apply to statements in, or omissions from, any such document made in reliance upon, and in conformity with, information furnished to the Company by Agent specifically for use in the preparation thereof.</w:t>
      </w:r>
    </w:p>
    <w:p>
      <w:pPr>
        <w:spacing w:after="0" w:line="189" w:lineRule="exact"/>
        <w:rPr>
          <w:rFonts w:ascii="Times New Roman" w:cs="Times New Roman" w:eastAsia="Times New Roman" w:hAnsi="Times New Roman"/>
          <w:sz w:val="18"/>
          <w:szCs w:val="18"/>
          <w:color w:val="auto"/>
        </w:rPr>
      </w:pPr>
    </w:p>
    <w:p>
      <w:pPr>
        <w:jc w:val="both"/>
        <w:ind w:firstLine="980"/>
        <w:spacing w:after="0" w:line="258" w:lineRule="auto"/>
        <w:tabs>
          <w:tab w:leader="none" w:pos="123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Conformity with Securities Act and Exchange Act</w:t>
      </w:r>
      <w:r>
        <w:rPr>
          <w:rFonts w:ascii="Times New Roman" w:cs="Times New Roman" w:eastAsia="Times New Roman" w:hAnsi="Times New Roman"/>
          <w:sz w:val="18"/>
          <w:szCs w:val="18"/>
          <w:color w:val="auto"/>
        </w:rPr>
        <w:t>. The Registration Statement, the Prospectus, any Issuer Free Writing Prospectus or any amendment or supplement thereto, and the documents incorporated by reference in the Registration Statement, the Prospectus or any amendment or supplement thereto, when such documents were or are filed with the Commission under the Securities Act or the Exchange Act or became or become effective under the Securities Act, as the case may be, conformed or will conform in all material respects with the requirements of the Securities Act and the Exchange Act, as applicable.</w:t>
      </w:r>
    </w:p>
    <w:p>
      <w:pPr>
        <w:spacing w:after="0" w:line="183" w:lineRule="exact"/>
        <w:rPr>
          <w:rFonts w:ascii="Times New Roman" w:cs="Times New Roman" w:eastAsia="Times New Roman" w:hAnsi="Times New Roman"/>
          <w:sz w:val="18"/>
          <w:szCs w:val="18"/>
          <w:color w:val="auto"/>
        </w:rPr>
      </w:pPr>
    </w:p>
    <w:p>
      <w:pPr>
        <w:jc w:val="both"/>
        <w:ind w:firstLine="980"/>
        <w:spacing w:after="0" w:line="252" w:lineRule="auto"/>
        <w:tabs>
          <w:tab w:leader="none" w:pos="125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Information</w:t>
      </w:r>
      <w:r>
        <w:rPr>
          <w:rFonts w:ascii="Times New Roman" w:cs="Times New Roman" w:eastAsia="Times New Roman" w:hAnsi="Times New Roman"/>
          <w:sz w:val="18"/>
          <w:szCs w:val="18"/>
          <w:color w:val="auto"/>
        </w:rPr>
        <w:t>. The consolidated financial statements of the Company included or incorporated by reference in the Registration Statement, the Prospectus and the Issuer Free Writing Prospectuses, if any, together with the related notes and schedules, present fairly, in all material respects, the consolidated financial position of the Company and the Subsidiaries (as defined below) as of the dates indicated and the consolidated results of operations, cash flows and changes in stockholders’ equity of the Company for the periods specified (subject to normal year-end audit adjustments for interim financial statements) and have been prepared in compliance with the requirements of the Securities Act and Exchange Act and in conformity with GAAP (as defined below) applied on a consistent basis during the periods involved; the other financial and statistical data with respect to the Company and the Subsidiaries (as defined below) contained or incorporated by reference in the Registration Statement, the Prospectus and the Issuer Free Writing Prospectuses, if any, are accurately and fairly presented and prepared in all material respects on a basis consistent with the financial statements and books and records of the Company; there are no financial statements (historical or pro forma) that are required to be included or incorporated by reference in the Registration Statement, or the Prospectus that are not included or incorporated by reference as required; the Company and the Subsidiaries (as defined below) do not have any material liabilities or obligations, direct or contingent (including any off-balance sheet obligations), not described in the Registration Statement (excluding the exhibits thereto), and the Prospectus; and all disclosures contained or incorporated by reference in the Registration Statement, the Prospectus and the Issuer Free Writing Prospectuses, if any, regarding “non-GAAP financial measures” (as such term is defined by the rules and regulations of the Commission) comply in all material respects with Regulation G of the Exchange Act and Item 10 of Regulation S-K under the Securities Act, to the extent applicable.</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0" w:name="page11"/>
    <w:bookmarkEnd w:id="10"/>
    <w:p>
      <w:pPr>
        <w:jc w:val="both"/>
        <w:ind w:firstLine="980"/>
        <w:spacing w:after="0" w:line="266" w:lineRule="auto"/>
        <w:tabs>
          <w:tab w:leader="none" w:pos="121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Conformity with EDGAR Filing</w:t>
      </w:r>
      <w:r>
        <w:rPr>
          <w:rFonts w:ascii="Times New Roman" w:cs="Times New Roman" w:eastAsia="Times New Roman" w:hAnsi="Times New Roman"/>
          <w:sz w:val="18"/>
          <w:szCs w:val="18"/>
          <w:color w:val="auto"/>
        </w:rPr>
        <w:t>. The Prospectus delivered to Agent for use in connection with the sale of the Placement Shares pursuant to this Agreement will be identical to the versions of the Prospectus created to be transmitted to the Commission for filing via EDGAR, except to the extent permitted by Regulation S-T.</w:t>
      </w:r>
    </w:p>
    <w:p>
      <w:pPr>
        <w:spacing w:after="0" w:line="176" w:lineRule="exact"/>
        <w:rPr>
          <w:rFonts w:ascii="Times New Roman" w:cs="Times New Roman" w:eastAsia="Times New Roman" w:hAnsi="Times New Roman"/>
          <w:sz w:val="18"/>
          <w:szCs w:val="18"/>
          <w:color w:val="auto"/>
        </w:rPr>
      </w:pPr>
    </w:p>
    <w:p>
      <w:pPr>
        <w:jc w:val="both"/>
        <w:ind w:firstLine="980"/>
        <w:spacing w:after="0" w:line="254" w:lineRule="auto"/>
        <w:tabs>
          <w:tab w:leader="none" w:pos="119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w:t>
      </w:r>
      <w:r>
        <w:rPr>
          <w:rFonts w:ascii="Times New Roman" w:cs="Times New Roman" w:eastAsia="Times New Roman" w:hAnsi="Times New Roman"/>
          <w:sz w:val="18"/>
          <w:szCs w:val="18"/>
          <w:color w:val="auto"/>
        </w:rPr>
        <w:t>. The Company and each of its Subsidiaries are duly organized, validly existing as a corporation and in good standing under the laws of their respective jurisdictions of organization. The Company and each of its Subsidiaries are duly licensed or qualified as a foreign corporation for transaction of business and in good standing under the laws of each other jurisdiction in which their respective ownership or lease of property or the conduct of their respective businesses requires such license or qualification, and have all corporate power and authority necessary to own or hold their respective properties and to conduct their respective businesses as described in the Registration Statement and the Prospectus, except where the failure to be so qualified or in good standing or have such power or authority would not, individually or in the aggregate, have a material adverse effect or would reasonably be expected to have a material adverse effect on or affecting the assets, business, operations, earnings, properties, condition (financial or otherwise), prospects, stockholders’ equity or results of operations of the Company and the Subsidiaries taken as a whole, or prevent or materially interfere with consummation of the transactions contemplated hereby (a “</w:t>
      </w:r>
      <w:r>
        <w:rPr>
          <w:rFonts w:ascii="Times New Roman" w:cs="Times New Roman" w:eastAsia="Times New Roman" w:hAnsi="Times New Roman"/>
          <w:sz w:val="18"/>
          <w:szCs w:val="18"/>
          <w:b w:val="1"/>
          <w:bCs w:val="1"/>
          <w:u w:val="single" w:color="auto"/>
          <w:color w:val="auto"/>
        </w:rPr>
        <w:t>Material Adverse Effect</w:t>
      </w:r>
      <w:r>
        <w:rPr>
          <w:rFonts w:ascii="Times New Roman" w:cs="Times New Roman" w:eastAsia="Times New Roman" w:hAnsi="Times New Roman"/>
          <w:sz w:val="18"/>
          <w:szCs w:val="18"/>
          <w:color w:val="auto"/>
        </w:rPr>
        <w:t>”).</w:t>
      </w:r>
    </w:p>
    <w:p>
      <w:pPr>
        <w:spacing w:after="0" w:line="185" w:lineRule="exact"/>
        <w:rPr>
          <w:rFonts w:ascii="Times New Roman" w:cs="Times New Roman" w:eastAsia="Times New Roman" w:hAnsi="Times New Roman"/>
          <w:sz w:val="18"/>
          <w:szCs w:val="18"/>
          <w:color w:val="auto"/>
        </w:rPr>
      </w:pPr>
    </w:p>
    <w:p>
      <w:pPr>
        <w:jc w:val="both"/>
        <w:ind w:firstLine="980"/>
        <w:spacing w:after="0" w:line="256" w:lineRule="auto"/>
        <w:tabs>
          <w:tab w:leader="none" w:pos="122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xml:space="preserve">. The subsidiaries set forth on </w:t>
      </w:r>
      <w:r>
        <w:rPr>
          <w:rFonts w:ascii="Times New Roman" w:cs="Times New Roman" w:eastAsia="Times New Roman" w:hAnsi="Times New Roman"/>
          <w:sz w:val="18"/>
          <w:szCs w:val="18"/>
          <w:u w:val="single" w:color="auto"/>
          <w:color w:val="auto"/>
        </w:rPr>
        <w:t>Schedule 4</w:t>
      </w:r>
      <w:r>
        <w:rPr>
          <w:rFonts w:ascii="Times New Roman" w:cs="Times New Roman" w:eastAsia="Times New Roman" w:hAnsi="Times New Roman"/>
          <w:sz w:val="18"/>
          <w:szCs w:val="18"/>
          <w:color w:val="auto"/>
        </w:rPr>
        <w:t xml:space="preserve"> (collectively, the “</w:t>
      </w:r>
      <w:r>
        <w:rPr>
          <w:rFonts w:ascii="Times New Roman" w:cs="Times New Roman" w:eastAsia="Times New Roman" w:hAnsi="Times New Roman"/>
          <w:sz w:val="18"/>
          <w:szCs w:val="18"/>
          <w:b w:val="1"/>
          <w:bCs w:val="1"/>
          <w:u w:val="single" w:color="auto"/>
          <w:color w:val="auto"/>
        </w:rPr>
        <w:t>Subsidiaries</w:t>
      </w:r>
      <w:r>
        <w:rPr>
          <w:rFonts w:ascii="Times New Roman" w:cs="Times New Roman" w:eastAsia="Times New Roman" w:hAnsi="Times New Roman"/>
          <w:sz w:val="18"/>
          <w:szCs w:val="18"/>
          <w:color w:val="auto"/>
        </w:rPr>
        <w:t>”), are the Company’s only significant subsidiaries (as such term is defined in Rule 1-02 of Regulation S-X promulgated by the Commission). Except as set forth in the Registration Statement and in the Prospectus, the Company owns, directly or indirectly, all of the equity interests of the Subsidiaries free and clear of any material lien, charge, security interest, encumbrance, right of first refusal or other restriction, and all the equity interests of the Subsidiaries are validly issued and are fully paid, nonassessable and free of preemptive and similar rights. No Subsidiary is currently prohibited, directly or indirectly, from paying any dividends to the Company, from making any other distribution on such Subsidiary’s capital stock, from repaying to the Company any loans or advances to such Subsidiary from the Company or from transferring any of such Subsidiary’s property or assets to the Company or any other Subsidiary of the Company.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1" w:name="page12"/>
    <w:bookmarkEnd w:id="11"/>
    <w:p>
      <w:pPr>
        <w:jc w:val="both"/>
        <w:ind w:left="-20" w:firstLine="980"/>
        <w:spacing w:after="0" w:line="255" w:lineRule="auto"/>
        <w:tabs>
          <w:tab w:leader="none" w:pos="120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Violation or Default</w:t>
      </w:r>
      <w:r>
        <w:rPr>
          <w:rFonts w:ascii="Times New Roman" w:cs="Times New Roman" w:eastAsia="Times New Roman" w:hAnsi="Times New Roman"/>
          <w:sz w:val="18"/>
          <w:szCs w:val="18"/>
          <w:color w:val="auto"/>
        </w:rPr>
        <w:t>. Neither the Company nor any of its Subsidiaries is (i) in violation of its charter or by-laws or similar 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are subject; or (iii) in violation of any law or statute or any judgment, order, rule or regulation of any court or arbitrator or governmental or regulatory authority, except, in the case of each of clauses (ii) and (iii) above, for any such violation or default that would not, individually or in the aggregate, have a Material Adverse Effect. To the Company’s knowledge, no other party under any material contract or other agreement to which it or any of its Subsidiaries is a party is in default in any respect thereunder where such default would have a Material Adverse Effect.</w:t>
      </w:r>
    </w:p>
    <w:p>
      <w:pPr>
        <w:spacing w:after="0" w:line="185" w:lineRule="exact"/>
        <w:rPr>
          <w:rFonts w:ascii="Times New Roman" w:cs="Times New Roman" w:eastAsia="Times New Roman" w:hAnsi="Times New Roman"/>
          <w:sz w:val="18"/>
          <w:szCs w:val="18"/>
          <w:color w:val="auto"/>
        </w:rPr>
      </w:pPr>
    </w:p>
    <w:p>
      <w:pPr>
        <w:jc w:val="both"/>
        <w:ind w:left="-20" w:firstLine="980"/>
        <w:spacing w:after="0" w:line="254" w:lineRule="auto"/>
        <w:tabs>
          <w:tab w:leader="none" w:pos="119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Adverse Change</w:t>
      </w:r>
      <w:r>
        <w:rPr>
          <w:rFonts w:ascii="Times New Roman" w:cs="Times New Roman" w:eastAsia="Times New Roman" w:hAnsi="Times New Roman"/>
          <w:sz w:val="18"/>
          <w:szCs w:val="18"/>
          <w:color w:val="auto"/>
        </w:rPr>
        <w:t>. Subsequent to the respective dates as of which information is given in the Registration Statement, the Prospectus and the Free Writing Prospectuses, if any (including any document deemed incorporated by reference therein), there has not been (i) any Material Adverse Effect or the occurrence of any development that the Company reasonably expects will result in a Material Adverse Effect, (ii) any transaction which is material to the Company and the Subsidiaries taken as a whole other than as contemplated by this Agreement, (iii) any obligation or liability, direct or contingent (including any off-balance sheet obligations), incurred by the Company or any Subsidiary, which is material to the Company and the Subsidiaries taken as a whole, (iv) any material change in the capital stock or outstanding long-term indebtedness of the Company or any of its Subsidiaries (other than as a result of the sale of the Placement Shares) or (v) any dividend or distribution of any kind declared, paid or made on the capital stock of the Company or any Subsidiary, other than in each case above in the ordinary course of business or as otherwise disclosed in the Registration Statement or Prospectus (including any document deemed incorporated by reference therein).</w:t>
      </w:r>
    </w:p>
    <w:p>
      <w:pPr>
        <w:spacing w:after="0" w:line="189" w:lineRule="exact"/>
        <w:rPr>
          <w:rFonts w:ascii="Times New Roman" w:cs="Times New Roman" w:eastAsia="Times New Roman" w:hAnsi="Times New Roman"/>
          <w:sz w:val="18"/>
          <w:szCs w:val="18"/>
          <w:color w:val="auto"/>
        </w:rPr>
      </w:pPr>
    </w:p>
    <w:p>
      <w:pPr>
        <w:jc w:val="both"/>
        <w:ind w:left="-20" w:firstLine="980"/>
        <w:spacing w:after="0" w:line="254" w:lineRule="auto"/>
        <w:tabs>
          <w:tab w:leader="none" w:pos="116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The issued and outstanding shares of capital stock of the Company have been validly issued, are fully paid and nonassessable and, other than as disclosed in the Registration Statement or the Prospectus, are not subject to any preemptive rights, rights of first refusal or similar rights. The Company has an authorized, issued and outstanding capitalization as set forth in the Registration Statement and the Prospectus as of the dates referred to therein (other than the grant of additional options under the Company’s existing stock option or equity incentive plans, or changes in the number of outstanding shares of Common Stock of the Company due to the issuance of shares upon the exercise or conversion of securities exercisable for, or convertible into, Common Stock outstanding on the date hereof) and such authorized capital stock conforms to the description thereof set forth in the Registration Statement and the Prospectus. The description of the securities of the Company in the Registration Statement and the Prospectus is complete and accurate in all material respects. Except as disclosed in or contemplated by the Registration Statement or the Prospectus, as of the date referred to therein, the Company does not have outstanding any options to purchase, or any rights or warrants to subscribe for, or any securities or obligations convertible into, or exchangeable for, or any contracts or commitments to issue or sell, any shares of capital stock or other securities.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661" w:right="239" w:bottom="1440" w:gutter="0" w:footer="0" w:header="0"/>
        </w:sectPr>
      </w:pPr>
    </w:p>
    <w:bookmarkStart w:id="12" w:name="page13"/>
    <w:bookmarkEnd w:id="12"/>
    <w:p>
      <w:pPr>
        <w:jc w:val="both"/>
        <w:ind w:firstLine="980"/>
        <w:spacing w:after="0" w:line="258" w:lineRule="auto"/>
        <w:tabs>
          <w:tab w:leader="none" w:pos="126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Enforceability</w:t>
      </w:r>
      <w:r>
        <w:rPr>
          <w:rFonts w:ascii="Times New Roman" w:cs="Times New Roman" w:eastAsia="Times New Roman" w:hAnsi="Times New Roman"/>
          <w:sz w:val="18"/>
          <w:szCs w:val="18"/>
          <w:color w:val="auto"/>
        </w:rPr>
        <w:t xml:space="preserve">. The Company has full legal right, power and authority to enter into this Agreement and perform the transactions contemplated hereby. This Agreement has been duly authorized, executed and delivered by the Company and is a legal, valid and binding agreement of the Company enforceable in accordance with its terms, except to the extent that (i) enforceability may be limited by bankruptcy, insolvency, reorganization, moratorium or similar laws affecting creditors’ rights generally and by general equitable principles and (ii) the indemnification and contribution provisions of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of this Agreement may be limited by federal and state securities laws or public policy considerations in respect thereof.</w:t>
      </w:r>
    </w:p>
    <w:p>
      <w:pPr>
        <w:spacing w:after="0" w:line="183" w:lineRule="exact"/>
        <w:rPr>
          <w:rFonts w:ascii="Times New Roman" w:cs="Times New Roman" w:eastAsia="Times New Roman" w:hAnsi="Times New Roman"/>
          <w:sz w:val="18"/>
          <w:szCs w:val="18"/>
          <w:color w:val="auto"/>
        </w:rPr>
      </w:pPr>
    </w:p>
    <w:p>
      <w:pPr>
        <w:jc w:val="both"/>
        <w:ind w:firstLine="980"/>
        <w:spacing w:after="0" w:line="258" w:lineRule="auto"/>
        <w:tabs>
          <w:tab w:leader="none" w:pos="121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of Placement Shares</w:t>
      </w:r>
      <w:r>
        <w:rPr>
          <w:rFonts w:ascii="Times New Roman" w:cs="Times New Roman" w:eastAsia="Times New Roman" w:hAnsi="Times New Roman"/>
          <w:sz w:val="18"/>
          <w:szCs w:val="18"/>
          <w:color w:val="auto"/>
        </w:rPr>
        <w:t>. The Placement Shares, when issued and delivered pursuant to the terms approved by the board of directors of the Company or a duly authorized committee thereof, or a duly authorized executive committee, against payment therefor as provided herein, will be duly and validly authorized and issued and fully paid and nonassessable, free and clear of any pledge, lien, encumbrance, security interest or other claim, including any statutory or contractual preemptive rights, resale rights, rights of first refusal or other similar rights, and will be registered pursuant to Section 12 of the Exchange Act. The Placement Shares, when issued, will conform to the description thereof set forth in or incorporated into the Prospectus.</w:t>
      </w:r>
    </w:p>
    <w:p>
      <w:pPr>
        <w:spacing w:after="0" w:line="183" w:lineRule="exact"/>
        <w:rPr>
          <w:rFonts w:ascii="Times New Roman" w:cs="Times New Roman" w:eastAsia="Times New Roman" w:hAnsi="Times New Roman"/>
          <w:sz w:val="18"/>
          <w:szCs w:val="18"/>
          <w:color w:val="auto"/>
        </w:rPr>
      </w:pPr>
    </w:p>
    <w:p>
      <w:pPr>
        <w:jc w:val="both"/>
        <w:ind w:firstLine="980"/>
        <w:spacing w:after="0" w:line="258" w:lineRule="auto"/>
        <w:tabs>
          <w:tab w:leader="none" w:pos="130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Consents Required</w:t>
      </w:r>
      <w:r>
        <w:rPr>
          <w:rFonts w:ascii="Times New Roman" w:cs="Times New Roman" w:eastAsia="Times New Roman" w:hAnsi="Times New Roman"/>
          <w:sz w:val="18"/>
          <w:szCs w:val="18"/>
          <w:color w:val="auto"/>
        </w:rPr>
        <w:t>. No consent, approval, authorization, order, registration or qualification of or with any court or arbitrator or governmental or regulatory authority is required for the execution, delivery and performance by the Company of this Agreement, the issuance and sale by the Company of the Placement Shares, except for such consents, approvals, authorizations, orders and registrations or qualifications as may be required under applicable state securities laws or by the by-laws and rules of the Financial Industry Regulatory Authority (“</w:t>
      </w:r>
      <w:r>
        <w:rPr>
          <w:rFonts w:ascii="Times New Roman" w:cs="Times New Roman" w:eastAsia="Times New Roman" w:hAnsi="Times New Roman"/>
          <w:sz w:val="18"/>
          <w:szCs w:val="18"/>
          <w:b w:val="1"/>
          <w:bCs w:val="1"/>
          <w:u w:val="single" w:color="auto"/>
          <w:color w:val="auto"/>
        </w:rPr>
        <w:t>FINRA</w:t>
      </w:r>
      <w:r>
        <w:rPr>
          <w:rFonts w:ascii="Times New Roman" w:cs="Times New Roman" w:eastAsia="Times New Roman" w:hAnsi="Times New Roman"/>
          <w:sz w:val="18"/>
          <w:szCs w:val="18"/>
          <w:color w:val="auto"/>
        </w:rPr>
        <w:t>”) or the Exchange in connection with the sale of the Placement Shares by the Agent.</w:t>
      </w:r>
    </w:p>
    <w:p>
      <w:pPr>
        <w:spacing w:after="0" w:line="183" w:lineRule="exact"/>
        <w:rPr>
          <w:rFonts w:ascii="Times New Roman" w:cs="Times New Roman" w:eastAsia="Times New Roman" w:hAnsi="Times New Roman"/>
          <w:sz w:val="18"/>
          <w:szCs w:val="18"/>
          <w:color w:val="auto"/>
        </w:rPr>
      </w:pPr>
    </w:p>
    <w:p>
      <w:pPr>
        <w:jc w:val="both"/>
        <w:ind w:firstLine="980"/>
        <w:spacing w:after="0" w:line="253" w:lineRule="auto"/>
        <w:tabs>
          <w:tab w:leader="none" w:pos="122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Preferential Rights</w:t>
      </w:r>
      <w:r>
        <w:rPr>
          <w:rFonts w:ascii="Times New Roman" w:cs="Times New Roman" w:eastAsia="Times New Roman" w:hAnsi="Times New Roman"/>
          <w:sz w:val="18"/>
          <w:szCs w:val="18"/>
          <w:color w:val="auto"/>
        </w:rPr>
        <w:t>. Except as set forth in the Registration Statement and the Prospectus, (i) no person, as such term is defined in Rule 1-02 of Regulation S-X promulgated under the Securities Act (each, a “</w:t>
      </w:r>
      <w:r>
        <w:rPr>
          <w:rFonts w:ascii="Times New Roman" w:cs="Times New Roman" w:eastAsia="Times New Roman" w:hAnsi="Times New Roman"/>
          <w:sz w:val="18"/>
          <w:szCs w:val="18"/>
          <w:b w:val="1"/>
          <w:bCs w:val="1"/>
          <w:u w:val="single" w:color="auto"/>
          <w:color w:val="auto"/>
        </w:rPr>
        <w:t>Person</w:t>
      </w:r>
      <w:r>
        <w:rPr>
          <w:rFonts w:ascii="Times New Roman" w:cs="Times New Roman" w:eastAsia="Times New Roman" w:hAnsi="Times New Roman"/>
          <w:sz w:val="18"/>
          <w:szCs w:val="18"/>
          <w:color w:val="auto"/>
        </w:rPr>
        <w:t>”), has the right, contractual or otherwise, to cause the Company to issue or sell to such Person any Common Stock or shares of any other capital stock or other securities of the Company (other than upon exercise of outstanding options or warrants to purchase Common Stock or upon the exercise of options or vesting restricted stock units or stock awards that may be granted from time to time under the Company’s stock option or equity incentive plans), (ii) no Person has any preemptive rights, resale rights, rights of first refusal, rights of co-sale, or any other rights (whether pursuant to a “poison pill” provision or otherwise) to purchase any Common Stock or shares of any other capital stock or other securities of the Company, (iii) no Person has the right to act as an underwriter or as a financial advisor to the Company in connection with the offer and sale of the Placement Shares, and (iv) no Person has the right, contractual or otherwise, to require the Company to register under the Securities Act any Common Stock or shares of any other capital stock or other securities of the Company, or to include any such shares or other securities in the Registration Statement or the offering contemplated thereby, whether as a result of the filing or effectiveness of the Registration Statement or the sale of the Placement Shares as contemplated thereby or otherwise.</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3" w:name="page14"/>
    <w:bookmarkEnd w:id="13"/>
    <w:p>
      <w:pPr>
        <w:jc w:val="both"/>
        <w:ind w:firstLine="980"/>
        <w:spacing w:after="0" w:line="257" w:lineRule="auto"/>
        <w:tabs>
          <w:tab w:leader="none" w:pos="125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Independent Public Accounting Firm</w:t>
      </w:r>
      <w:r>
        <w:rPr>
          <w:rFonts w:ascii="Times New Roman" w:cs="Times New Roman" w:eastAsia="Times New Roman" w:hAnsi="Times New Roman"/>
          <w:sz w:val="18"/>
          <w:szCs w:val="18"/>
          <w:color w:val="auto"/>
        </w:rPr>
        <w:t>. KMJ Corbin &amp; Company LLP (the “</w:t>
      </w:r>
      <w:r>
        <w:rPr>
          <w:rFonts w:ascii="Times New Roman" w:cs="Times New Roman" w:eastAsia="Times New Roman" w:hAnsi="Times New Roman"/>
          <w:sz w:val="18"/>
          <w:szCs w:val="18"/>
          <w:b w:val="1"/>
          <w:bCs w:val="1"/>
          <w:u w:val="single" w:color="auto"/>
          <w:color w:val="auto"/>
        </w:rPr>
        <w:t>Accountant</w:t>
      </w:r>
      <w:r>
        <w:rPr>
          <w:rFonts w:ascii="Times New Roman" w:cs="Times New Roman" w:eastAsia="Times New Roman" w:hAnsi="Times New Roman"/>
          <w:sz w:val="18"/>
          <w:szCs w:val="18"/>
          <w:color w:val="auto"/>
        </w:rPr>
        <w:t>”), whose report on the consolidated financial statements of the Company is filed with the Commission as part of the Company’s most recent Annual Report on Form 10-K filed with the Commission and incorporated by reference into the Registration Statement and the Prospectus, are and, during the periods covered by their report, were an independent registered public accounting firm within the meaning of the Securities Act and the Public Company Accounting Oversight Board (United States). To the Company’s knowledge, the Accountant is not in violation of the auditor independence requirements of the Sarbanes-Oxley Act of 2002 (the “</w:t>
      </w:r>
      <w:r>
        <w:rPr>
          <w:rFonts w:ascii="Times New Roman" w:cs="Times New Roman" w:eastAsia="Times New Roman" w:hAnsi="Times New Roman"/>
          <w:sz w:val="18"/>
          <w:szCs w:val="18"/>
          <w:b w:val="1"/>
          <w:bCs w:val="1"/>
          <w:u w:val="single" w:color="auto"/>
          <w:color w:val="auto"/>
        </w:rPr>
        <w:t>Sarbanes-Oxley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Act</w:t>
      </w:r>
      <w:r>
        <w:rPr>
          <w:rFonts w:ascii="Times New Roman" w:cs="Times New Roman" w:eastAsia="Times New Roman" w:hAnsi="Times New Roman"/>
          <w:sz w:val="18"/>
          <w:szCs w:val="18"/>
          <w:color w:val="auto"/>
        </w:rPr>
        <w:t>”) with respect to the Company.</w:t>
      </w:r>
    </w:p>
    <w:p>
      <w:pPr>
        <w:spacing w:after="0" w:line="186" w:lineRule="exact"/>
        <w:rPr>
          <w:rFonts w:ascii="Times New Roman" w:cs="Times New Roman" w:eastAsia="Times New Roman" w:hAnsi="Times New Roman"/>
          <w:sz w:val="18"/>
          <w:szCs w:val="18"/>
          <w:color w:val="auto"/>
        </w:rPr>
      </w:pPr>
    </w:p>
    <w:p>
      <w:pPr>
        <w:jc w:val="both"/>
        <w:ind w:firstLine="980"/>
        <w:spacing w:after="0" w:line="258" w:lineRule="auto"/>
        <w:tabs>
          <w:tab w:leader="none" w:pos="122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Enforceability of Agreements</w:t>
      </w:r>
      <w:r>
        <w:rPr>
          <w:rFonts w:ascii="Times New Roman" w:cs="Times New Roman" w:eastAsia="Times New Roman" w:hAnsi="Times New Roman"/>
          <w:sz w:val="18"/>
          <w:szCs w:val="18"/>
          <w:color w:val="auto"/>
        </w:rPr>
        <w:t>. All agreements between the Company and third parties expressly referenced in the Prospectus are legal, valid and binding obligations of the Company enforceable in accordance with their respective terms, except to the extent that (i) enforceability may be limited by bankruptcy, insolvency, reorganization, moratorium or similar laws affecting creditors’ rights generally and by general equitable principles, (ii) the indemnification provisions of certain agreements may be limited by federal or state securities laws or public policy considerations in respect thereof and (iii) any enforceability would, individually or in the aggregate, not have a Material Adverse Effect.</w:t>
      </w:r>
    </w:p>
    <w:p>
      <w:pPr>
        <w:spacing w:after="0" w:line="183" w:lineRule="exact"/>
        <w:rPr>
          <w:rFonts w:ascii="Times New Roman" w:cs="Times New Roman" w:eastAsia="Times New Roman" w:hAnsi="Times New Roman"/>
          <w:sz w:val="18"/>
          <w:szCs w:val="18"/>
          <w:color w:val="auto"/>
        </w:rPr>
      </w:pPr>
    </w:p>
    <w:p>
      <w:pPr>
        <w:jc w:val="both"/>
        <w:ind w:firstLine="980"/>
        <w:spacing w:after="0" w:line="255" w:lineRule="auto"/>
        <w:tabs>
          <w:tab w:leader="none" w:pos="124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Litigation</w:t>
      </w:r>
      <w:r>
        <w:rPr>
          <w:rFonts w:ascii="Times New Roman" w:cs="Times New Roman" w:eastAsia="Times New Roman" w:hAnsi="Times New Roman"/>
          <w:sz w:val="18"/>
          <w:szCs w:val="18"/>
          <w:color w:val="auto"/>
        </w:rPr>
        <w:t>. Except as set forth in the Registration Statement or the Prospectus, there are no pending legal, governmental or regulatory actions, suits, proceedings, audits or investigations to which the Company or a Subsidiary is a party or to which any property of the Company or any of its Subsidiaries is the subject that, individually or in the aggregate, if determined adversely to the Company or any of its Subsidiaries, would have a Material Adverse Effect and, to the Company’s knowledge, no such actions, suits, proceedings, audits or investigations are threatened or contemplated by any legal, governmental or regulatory authority or threatened by others; and (i) there are no current or pending legal, governmental or regulatory audits or investigations, actions, suits or proceedings that are required under the Securities Act to be described in the Prospectus that are not so described; and (ii) there are no contracts or other documents that are required under the Securities Act to be filed as exhibits to the Registration Statement that are not so filed.</w:t>
      </w:r>
    </w:p>
    <w:p>
      <w:pPr>
        <w:spacing w:after="0" w:line="189" w:lineRule="exact"/>
        <w:rPr>
          <w:rFonts w:ascii="Times New Roman" w:cs="Times New Roman" w:eastAsia="Times New Roman" w:hAnsi="Times New Roman"/>
          <w:sz w:val="18"/>
          <w:szCs w:val="18"/>
          <w:color w:val="auto"/>
        </w:rPr>
      </w:pPr>
    </w:p>
    <w:p>
      <w:pPr>
        <w:jc w:val="both"/>
        <w:ind w:firstLine="980"/>
        <w:spacing w:after="0" w:line="253" w:lineRule="auto"/>
        <w:tabs>
          <w:tab w:leader="none" w:pos="119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Consents and Permits</w:t>
      </w:r>
      <w:r>
        <w:rPr>
          <w:rFonts w:ascii="Times New Roman" w:cs="Times New Roman" w:eastAsia="Times New Roman" w:hAnsi="Times New Roman"/>
          <w:sz w:val="18"/>
          <w:szCs w:val="18"/>
          <w:color w:val="auto"/>
        </w:rPr>
        <w:t>. Except as disclosed in the Registration Statement and the Prospectus, the Company and its Subsidiaries have made all filings, applications and submissions required by, possesses and is operating in compliance with, all approvals, licenses, certificates, certifications, clearances, consents, grants, exemptions, marks, notifications, orders, permits and other authorizations issued by, the appropriate federal, state or foreign governmental or regulatory authorities (including, without limitation, the United States Food and Drug Administration (the “</w:t>
      </w:r>
      <w:r>
        <w:rPr>
          <w:rFonts w:ascii="Times New Roman" w:cs="Times New Roman" w:eastAsia="Times New Roman" w:hAnsi="Times New Roman"/>
          <w:sz w:val="18"/>
          <w:szCs w:val="18"/>
          <w:b w:val="1"/>
          <w:bCs w:val="1"/>
          <w:u w:val="single" w:color="auto"/>
          <w:color w:val="auto"/>
        </w:rPr>
        <w:t>FDA</w:t>
      </w:r>
      <w:r>
        <w:rPr>
          <w:rFonts w:ascii="Times New Roman" w:cs="Times New Roman" w:eastAsia="Times New Roman" w:hAnsi="Times New Roman"/>
          <w:sz w:val="18"/>
          <w:szCs w:val="18"/>
          <w:color w:val="auto"/>
        </w:rPr>
        <w:t>”) necessary for the ownership or lease of their respective properties or to conduct its businesses as described in the Registration Statement and the Prospectus (collectively, “</w:t>
      </w:r>
      <w:r>
        <w:rPr>
          <w:rFonts w:ascii="Times New Roman" w:cs="Times New Roman" w:eastAsia="Times New Roman" w:hAnsi="Times New Roman"/>
          <w:sz w:val="18"/>
          <w:szCs w:val="18"/>
          <w:b w:val="1"/>
          <w:bCs w:val="1"/>
          <w:u w:val="single" w:color="auto"/>
          <w:color w:val="auto"/>
        </w:rPr>
        <w:t>Permits</w:t>
      </w:r>
      <w:r>
        <w:rPr>
          <w:rFonts w:ascii="Times New Roman" w:cs="Times New Roman" w:eastAsia="Times New Roman" w:hAnsi="Times New Roman"/>
          <w:sz w:val="18"/>
          <w:szCs w:val="18"/>
          <w:color w:val="auto"/>
        </w:rPr>
        <w:t>”), except for such Permits the failure of which to possess, obtain or make the same would not have a Material Adverse Effect; the Company and its Subsidiaries are in compliance with the terms and conditions of all such Permits, except where the failure to be in compliance would not have a Material Adverse Effect; all of the Permits are valid and in full force and effect, except where any invalidity, individually or in the aggregate, would not be reasonably expected to have a Material Adverse Effect; and neither the Company nor any of its Subsidiaries has received any written notice relating to the limitation, revocation, cancellation, suspension, modification or non-renewal of any such Permit which, singly or in the aggregate, if the subject of an unfavorable decision, ruling or finding, would have a Material Adverse Effect, or has any reason to believe that any such license, certificate, permit or authorization will not be renewed in the ordinary course.</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14" w:name="page15"/>
    <w:bookmarkEnd w:id="14"/>
    <w:p>
      <w:pPr>
        <w:jc w:val="both"/>
        <w:ind w:firstLine="980"/>
        <w:spacing w:after="0" w:line="255" w:lineRule="auto"/>
        <w:tabs>
          <w:tab w:leader="none" w:pos="120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Filings</w:t>
      </w:r>
      <w:r>
        <w:rPr>
          <w:rFonts w:ascii="Times New Roman" w:cs="Times New Roman" w:eastAsia="Times New Roman" w:hAnsi="Times New Roman"/>
          <w:sz w:val="18"/>
          <w:szCs w:val="18"/>
          <w:color w:val="auto"/>
        </w:rPr>
        <w:t>. Except as disclosed in the Registration Statement and the Prospectus, neither the Company nor any of its Subsidiaries has failed to file with the applicable regulatory authorities (including, without limitation, the FDA, or any foreign, federal, state, provincial or local governmental or regulatory authority performing functions similar to those performed by the FDA) any required filing, declaration, listing, registration, report or submission, except for such failures that, individually or in the aggregate, would not have a Material Adverse Effect; except as disclosed in the Registration Statement and the Prospectus, all such filings, declarations, listings, registrations, reports or submissions were in compliance with applicable laws when filed and no deficiencies have been asserted by any applicable regulatory authority with respect to any such filings, declarations, listings, registrations, reports or submissions, except for any deficiencies that, individually or in the aggregate, would not have a Material Adverse Effect.</w:t>
      </w:r>
    </w:p>
    <w:p>
      <w:pPr>
        <w:spacing w:after="0" w:line="189" w:lineRule="exact"/>
        <w:rPr>
          <w:rFonts w:ascii="Times New Roman" w:cs="Times New Roman" w:eastAsia="Times New Roman" w:hAnsi="Times New Roman"/>
          <w:sz w:val="18"/>
          <w:szCs w:val="18"/>
          <w:color w:val="auto"/>
        </w:rPr>
      </w:pPr>
    </w:p>
    <w:p>
      <w:pPr>
        <w:jc w:val="both"/>
        <w:ind w:firstLine="980"/>
        <w:spacing w:after="0" w:line="268" w:lineRule="auto"/>
        <w:tabs>
          <w:tab w:leader="none" w:pos="1187"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Intellectual Property</w:t>
      </w:r>
      <w:r>
        <w:rPr>
          <w:rFonts w:ascii="Times New Roman" w:cs="Times New Roman" w:eastAsia="Times New Roman" w:hAnsi="Times New Roman"/>
          <w:sz w:val="17"/>
          <w:szCs w:val="17"/>
          <w:color w:val="auto"/>
        </w:rPr>
        <w:t>. Except as disclosed in the Registration Statement and the Prospectus, the Company and its Subsidiaries own, possess, license or have other rights to use all foreign and domestic patents, patent applications, trade and service marks, trade and service mark registrations, trade names, copyrights, licenses, inventions, trade secrets, technology, Internet domain names, know-how and other intellectual property (collectively, the “</w:t>
      </w:r>
      <w:r>
        <w:rPr>
          <w:rFonts w:ascii="Times New Roman" w:cs="Times New Roman" w:eastAsia="Times New Roman" w:hAnsi="Times New Roman"/>
          <w:sz w:val="17"/>
          <w:szCs w:val="17"/>
          <w:b w:val="1"/>
          <w:bCs w:val="1"/>
          <w:u w:val="single" w:color="auto"/>
          <w:color w:val="auto"/>
        </w:rPr>
        <w:t>Intellectual Property</w:t>
      </w:r>
      <w:r>
        <w:rPr>
          <w:rFonts w:ascii="Times New Roman" w:cs="Times New Roman" w:eastAsia="Times New Roman" w:hAnsi="Times New Roman"/>
          <w:sz w:val="17"/>
          <w:szCs w:val="17"/>
          <w:color w:val="auto"/>
        </w:rPr>
        <w:t>”), necessary for the conduct of their respective businesses as now conducted except to the extent that the failure to own, possess, license or otherwise hold adequate rights to use such Intellectual Property would not, individually or in the aggregate, have a Material Adverse Effect. Except as disclosed in the Registration Statement and the Prospectus (i) there are no rights of third parties to any such Intellectual Property owned by the Company and its Subsidiaries; (ii) to the Company’s knowledge, there is no infringement by third parties of any such Intellectual Property; (iii) there is no pending or, to the Company’s knowledge, threatened action, suit, proceeding or claim by others challenging the Company’s and its Subsidiaries’ rights in or to any such Intellectual Property, and the Company is unaware of any facts which could form a reasonable basis for any such action, suit, proceeding or claim; (iv) there is no pending or, to the Company’s knowledge, threatened action, suit, proceeding or claim by others challenging the validity or scope of any such Intellectual Property; (v) there is no pending or, to the Company’s knowledge, threatened action, suit, proceeding or claim by others that the Company and its Subsidiaries infringe or otherwise violate any patent, trademark, copyright, trade secret or other proprietary rights of others; (vi) to the Company’s knowledge, there is no third-party U.S. patent or published U.S. patent application which contains claims for which an Interference Proceeding (as defined in 35 U.S.C. §135) has been commenced against any patent or patent application described in the Prospectus as being owned by or licensed to the Company; and (vii) the Company and its Subsidiaries have complied with the terms of each agreement pursuant to which Intellectual Property has been licensed to the Company or such Subsidiary, and all such agreements are in full force and effect, except, in the case of any of clauses (i)-(vii) above, for any such infringement by third parties or any such pending or threatened suit, action, proceeding or claim as would not, individually or in the aggregate, result in a Material Adverse Effect.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5" w:name="page16"/>
    <w:bookmarkEnd w:id="15"/>
    <w:p>
      <w:pPr>
        <w:jc w:val="both"/>
        <w:ind w:firstLine="980"/>
        <w:spacing w:after="0" w:line="254" w:lineRule="auto"/>
        <w:tabs>
          <w:tab w:leader="none" w:pos="122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Market Capitalization</w:t>
      </w:r>
      <w:r>
        <w:rPr>
          <w:rFonts w:ascii="Times New Roman" w:cs="Times New Roman" w:eastAsia="Times New Roman" w:hAnsi="Times New Roman"/>
          <w:sz w:val="18"/>
          <w:szCs w:val="18"/>
          <w:color w:val="auto"/>
        </w:rPr>
        <w:t>. At the time the Registration Statement was originally declared effective, and at the time the Company’s most recent Annual Report on Form 10-K was filed with the Commission, the Company met the then applicable requirements for the use of Form S-3 under the Securities Act, including but not limited to Instruction I.B.6 of Form S-3. The aggregate market value of the outstanding voting and non-voting common equity (as defined in Securities Act Rule 405) of the Company held by persons other than affiliates of the Company (pursuant to Securities Act Rule 144, those that directly, or indirectly through one or more intermediaries, control, or are controlled by, or are under common control with, the Company) (the “</w:t>
      </w:r>
      <w:r>
        <w:rPr>
          <w:rFonts w:ascii="Times New Roman" w:cs="Times New Roman" w:eastAsia="Times New Roman" w:hAnsi="Times New Roman"/>
          <w:sz w:val="18"/>
          <w:szCs w:val="18"/>
          <w:b w:val="1"/>
          <w:bCs w:val="1"/>
          <w:u w:val="single" w:color="auto"/>
          <w:color w:val="auto"/>
        </w:rPr>
        <w:t>Non-Affiliate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Shares</w:t>
      </w:r>
      <w:r>
        <w:rPr>
          <w:rFonts w:ascii="Times New Roman" w:cs="Times New Roman" w:eastAsia="Times New Roman" w:hAnsi="Times New Roman"/>
          <w:sz w:val="18"/>
          <w:szCs w:val="18"/>
          <w:color w:val="auto"/>
        </w:rPr>
        <w:t>”), was greater than $30 million (calculated by multiplying (x) the highest price at which the common equity of the Company closed on the Exchange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within 60 days of the date of this Agreement times (y) the number of Non-Affiliate Shares). The Company is not a shell company (as defined in Rule 405 under the Securities Act) and has not been a shell company for at least 12 calendar months previously and if it has been a shell company at any time previously, has filed current Form 10 information (as defined in Instruction I.B.6 of Form S-3) with the Commission at least 12 calendar months previously reflecting its status as an entity that is not a shell company.</w:t>
      </w:r>
    </w:p>
    <w:p>
      <w:pPr>
        <w:spacing w:after="0" w:line="186" w:lineRule="exact"/>
        <w:rPr>
          <w:rFonts w:ascii="Times New Roman" w:cs="Times New Roman" w:eastAsia="Times New Roman" w:hAnsi="Times New Roman"/>
          <w:sz w:val="18"/>
          <w:szCs w:val="18"/>
          <w:color w:val="auto"/>
        </w:rPr>
      </w:pPr>
    </w:p>
    <w:p>
      <w:pPr>
        <w:jc w:val="both"/>
        <w:ind w:firstLine="980"/>
        <w:spacing w:after="0" w:line="258" w:lineRule="auto"/>
        <w:tabs>
          <w:tab w:leader="none" w:pos="124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Defaults</w:t>
      </w:r>
      <w:r>
        <w:rPr>
          <w:rFonts w:ascii="Times New Roman" w:cs="Times New Roman" w:eastAsia="Times New Roman" w:hAnsi="Times New Roman"/>
          <w:sz w:val="18"/>
          <w:szCs w:val="18"/>
          <w:color w:val="auto"/>
        </w:rPr>
        <w:t>. Neither the Company nor any of the Subsidiaries has defaulted on any installment on indebtedness for borrowed money or on any rental on one or more long-term leases, which defaults, individually or in the aggregate, would have a Material Adverse Effect. The Company has not filed a report pursuant to Section 13(a) or 15(d) of the Exchange Act since the filing of its last Annual Report on Form 10-K, indicating that it (i) has failed to pay any dividend or sinking fund installment on preferred stock or (ii) has defaulted on any installment on indebtedness for borrowed money or on any rental on one or more long-term leases, which defaults, individually or in the aggregate, would have a Material Adverse Effect.</w:t>
      </w:r>
    </w:p>
    <w:p>
      <w:pPr>
        <w:spacing w:after="0" w:line="183" w:lineRule="exact"/>
        <w:rPr>
          <w:rFonts w:ascii="Times New Roman" w:cs="Times New Roman" w:eastAsia="Times New Roman" w:hAnsi="Times New Roman"/>
          <w:sz w:val="18"/>
          <w:szCs w:val="18"/>
          <w:color w:val="auto"/>
        </w:rPr>
      </w:pPr>
    </w:p>
    <w:p>
      <w:pPr>
        <w:jc w:val="both"/>
        <w:ind w:firstLine="980"/>
        <w:spacing w:after="0" w:line="266" w:lineRule="auto"/>
        <w:tabs>
          <w:tab w:leader="none" w:pos="128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Market Activities</w:t>
      </w:r>
      <w:r>
        <w:rPr>
          <w:rFonts w:ascii="Times New Roman" w:cs="Times New Roman" w:eastAsia="Times New Roman" w:hAnsi="Times New Roman"/>
          <w:sz w:val="18"/>
          <w:szCs w:val="18"/>
          <w:color w:val="auto"/>
        </w:rPr>
        <w:t>. Neither the Company, nor any of the Subsidiaries, nor any of their respective directors, officers or controlling persons has taken, directly or indirectly, any action designed, or that has constituted or might reasonably be expected to cause or result in, under the Exchange Act or otherwise, the stabilization or manipulation of the price of any security of the Company to facilitate the sale or resale of the Placement Shares.</w:t>
      </w:r>
    </w:p>
    <w:p>
      <w:pPr>
        <w:spacing w:after="0" w:line="176" w:lineRule="exact"/>
        <w:rPr>
          <w:rFonts w:ascii="Times New Roman" w:cs="Times New Roman" w:eastAsia="Times New Roman" w:hAnsi="Times New Roman"/>
          <w:sz w:val="18"/>
          <w:szCs w:val="18"/>
          <w:color w:val="auto"/>
        </w:rPr>
      </w:pPr>
    </w:p>
    <w:p>
      <w:pPr>
        <w:jc w:val="both"/>
        <w:ind w:firstLine="980"/>
        <w:spacing w:after="0" w:line="266" w:lineRule="auto"/>
        <w:tabs>
          <w:tab w:leader="none" w:pos="125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Broker/Dealer Relationships</w:t>
      </w:r>
      <w:r>
        <w:rPr>
          <w:rFonts w:ascii="Times New Roman" w:cs="Times New Roman" w:eastAsia="Times New Roman" w:hAnsi="Times New Roman"/>
          <w:sz w:val="18"/>
          <w:szCs w:val="18"/>
          <w:color w:val="auto"/>
        </w:rPr>
        <w:t>. Neither the Company nor any of the Subsidiaries (i) is required to register as a “broker” or “dealer” in accordance with the provisions of the Exchange Act or (ii) directly or indirectly through one or more intermediaries, controls or is a “person associated with a member” or “associated person of a member” (within the meaning set forth in the FINRA Manual).</w:t>
      </w:r>
    </w:p>
    <w:p>
      <w:pPr>
        <w:spacing w:after="0" w:line="176" w:lineRule="exact"/>
        <w:rPr>
          <w:rFonts w:ascii="Times New Roman" w:cs="Times New Roman" w:eastAsia="Times New Roman" w:hAnsi="Times New Roman"/>
          <w:sz w:val="18"/>
          <w:szCs w:val="18"/>
          <w:color w:val="auto"/>
        </w:rPr>
      </w:pPr>
    </w:p>
    <w:p>
      <w:pPr>
        <w:ind w:right="20" w:firstLine="980"/>
        <w:spacing w:after="0" w:line="282" w:lineRule="auto"/>
        <w:tabs>
          <w:tab w:leader="none" w:pos="125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Reliance</w:t>
      </w:r>
      <w:r>
        <w:rPr>
          <w:rFonts w:ascii="Times New Roman" w:cs="Times New Roman" w:eastAsia="Times New Roman" w:hAnsi="Times New Roman"/>
          <w:sz w:val="18"/>
          <w:szCs w:val="18"/>
          <w:color w:val="auto"/>
        </w:rPr>
        <w:t>. The Company has not relied upon the Agent or legal counsel for the Agent for any legal, tax or accounting advice in connection with the offering and sale of the Placement Shares.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6" w:name="page17"/>
    <w:bookmarkEnd w:id="16"/>
    <w:p>
      <w:pPr>
        <w:jc w:val="both"/>
        <w:ind w:firstLine="980"/>
        <w:spacing w:after="0" w:line="256" w:lineRule="auto"/>
        <w:tabs>
          <w:tab w:leader="none" w:pos="121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The Company and each of its Subsidiaries have filed all federal, state, local and foreign tax returns which have been required to be filed and paid all taxes shown thereon through the date hereof, to the extent that such taxes have become due and are not being contested in good faith, except where the failure to so file or pay would not have a Material Adverse Effect. Except as otherwise disclosed in or contemplated by the Registration Statement or the Prospectus, no tax deficiency has been determined adversely to the Company or any of its Subsidiaries which has had, or would have, individually or in the aggregate, a Material Adverse Effect. The Company has no knowledge of any federal, state or other governmental tax deficiency, penalty or assessment which has been or might be asserted or threatened against it which would have a Material Adverse Effect.</w:t>
      </w:r>
    </w:p>
    <w:p>
      <w:pPr>
        <w:spacing w:after="0" w:line="188" w:lineRule="exact"/>
        <w:rPr>
          <w:sz w:val="20"/>
          <w:szCs w:val="20"/>
          <w:color w:val="auto"/>
        </w:rPr>
      </w:pPr>
    </w:p>
    <w:p>
      <w:pPr>
        <w:jc w:val="both"/>
        <w:ind w:firstLine="980"/>
        <w:spacing w:after="0" w:line="255" w:lineRule="auto"/>
        <w:tabs>
          <w:tab w:leader="none" w:pos="131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to Real and Personal Property</w:t>
      </w:r>
      <w:r>
        <w:rPr>
          <w:rFonts w:ascii="Times New Roman" w:cs="Times New Roman" w:eastAsia="Times New Roman" w:hAnsi="Times New Roman"/>
          <w:sz w:val="18"/>
          <w:szCs w:val="18"/>
          <w:color w:val="auto"/>
        </w:rPr>
        <w:t>. Neither the Company nor any of its Subsidiaries own any real property. Except as set forth in the Registration Statement or the Prospectus, the Company and its Subsidiaries have good and valid title to all personal property described in the Registration Statement or Prospectus as being owned by them that are material to the businesses of the Company or such Subsidiary, in each case free and clear of all liens, encumbrances and claims, except those matters that (i) do not materially interfere with the use made and proposed to be made of such property by the Company and any of its Subsidiaries or (ii) would not, individually or in the aggregate, have a Material Adverse Effect. Any real or personal property described in the Registration Statement or Prospectus as being leased by the Company and any of its Subsidiaries is held by them under valid, existing and enforceable leases, except those that (A) do not materially interfere with the use made or proposed to be made of such property by the Company or any of its Subsidiaries or (B) would not be reasonably expected, individually or in the aggregate, to have a Material Adverse Effect.</w:t>
      </w:r>
    </w:p>
    <w:p>
      <w:pPr>
        <w:spacing w:after="0" w:line="185" w:lineRule="exact"/>
        <w:rPr>
          <w:rFonts w:ascii="Times New Roman" w:cs="Times New Roman" w:eastAsia="Times New Roman" w:hAnsi="Times New Roman"/>
          <w:sz w:val="18"/>
          <w:szCs w:val="18"/>
          <w:color w:val="auto"/>
        </w:rPr>
      </w:pPr>
    </w:p>
    <w:p>
      <w:pPr>
        <w:jc w:val="both"/>
        <w:ind w:firstLine="980"/>
        <w:spacing w:after="0" w:line="255" w:lineRule="auto"/>
        <w:tabs>
          <w:tab w:leader="none" w:pos="134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Except as set forth in the Registration Statement or the Prospectus, the Company and its Subsidiaries (i) are in compliance with any and all applicable federal, state, local and foreign laws, rules, regulations, decisions and orders relating to the protection of human health and safety, the environment or hazardous or toxic substances or wastes, pollutants or contaminants (collectively, “</w:t>
      </w:r>
      <w:r>
        <w:rPr>
          <w:rFonts w:ascii="Times New Roman" w:cs="Times New Roman" w:eastAsia="Times New Roman" w:hAnsi="Times New Roman"/>
          <w:sz w:val="18"/>
          <w:szCs w:val="18"/>
          <w:b w:val="1"/>
          <w:bCs w:val="1"/>
          <w:u w:val="single" w:color="auto"/>
          <w:color w:val="auto"/>
        </w:rPr>
        <w:t>Environmental Laws</w:t>
      </w:r>
      <w:r>
        <w:rPr>
          <w:rFonts w:ascii="Times New Roman" w:cs="Times New Roman" w:eastAsia="Times New Roman" w:hAnsi="Times New Roman"/>
          <w:sz w:val="18"/>
          <w:szCs w:val="18"/>
          <w:color w:val="auto"/>
        </w:rPr>
        <w:t>”); (ii) have received and are in compliance with all permits, licenses or other approvals required of them under applicable Environmental Laws to conduct their respective businesses as described in the Registration Statement and the Prospectus; and (iii) have not received written notice of any actual or potential liability for the investigation or remediation of any disposal or release of hazardous or toxic substances or wastes, pollutants or contaminants, except, in the case of any of clauses (i), (ii) or (iii) above, for any such failure to comply or failure to receive required permits, licenses, other approvals or liability as would not, individually or in the aggregate, have a Material Adverse Effect.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7" w:name="page18"/>
    <w:bookmarkEnd w:id="17"/>
    <w:p>
      <w:pPr>
        <w:jc w:val="both"/>
        <w:ind w:firstLine="980"/>
        <w:spacing w:after="0" w:line="252" w:lineRule="auto"/>
        <w:tabs>
          <w:tab w:leader="none" w:pos="13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 Controls</w:t>
      </w:r>
      <w:r>
        <w:rPr>
          <w:rFonts w:ascii="Times New Roman" w:cs="Times New Roman" w:eastAsia="Times New Roman" w:hAnsi="Times New Roman"/>
          <w:sz w:val="18"/>
          <w:szCs w:val="18"/>
          <w:color w:val="auto"/>
        </w:rPr>
        <w:t xml:space="preserve">. The Company and each of its Subsidiaries maintain systems of internal accounting controls designed to provide reasonable assurance that (i) transactions are executed in accordance with management’s general or specific authorizations; (ii) transactions are recorded as necessary to permit preparation of financial statements in conformity with generally accepted accounting principles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Company’s internal control over financial reporting is effective and the Company is not aware of any material weaknesses in its internal control over financial reporting (other than as set forth in the Prospectus). Since the date of the latest audited financial statements of the Company included in the Prospectus, there has been no change in the Company’s internal control over financial reporting that has materially affected, or is reasonably likely to materially affect, the Company’s internal control over financial reporting (other than as set forth in the Prospectus). The Company has established disclosure controls and procedures (as defined in Exchange Act Rules 13a-15 and 15d-15) for the Company and designed such disclosure controls and procedures to provide reasonable assurance that material information relating to the Company and each of its Subsidiaries is made known to the certifying officers by others within those entities, particularly during the period in which the Company’s Annual Report on Form 10-K or Quarterly Report on Form 10-Q, as the case may be, is being prepared. The Company’s certifying officers have evaluated the effectiveness of the Company’s disclosure controls and procedures as of a date within 90 days prior to the filing date of the Form 10-K for the fiscal year most recently ended (such date,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Evaluation Date</w:t>
      </w:r>
      <w:r>
        <w:rPr>
          <w:rFonts w:ascii="Times New Roman" w:cs="Times New Roman" w:eastAsia="Times New Roman" w:hAnsi="Times New Roman"/>
          <w:sz w:val="18"/>
          <w:szCs w:val="18"/>
          <w:color w:val="auto"/>
        </w:rPr>
        <w:t>”). The Company presented in its Form 10-K for the fiscal year most recently ended the conclusions of the certifying officers about the effectiveness of the disclosure controls and procedures based on their evaluations as of the Evaluation Date and the disclosure controls and procedures are effective. Since the Evaluation Date, there have been no significant changes in the Company’s internal controls (as such term is defined in Item 307(b) of Regulation S-K under the Securities Act) or, to the Company’s knowledge, in other factors that could significantly affect the Company’s internal controls.</w:t>
      </w:r>
    </w:p>
    <w:p>
      <w:pPr>
        <w:spacing w:after="0" w:line="193" w:lineRule="exact"/>
        <w:rPr>
          <w:rFonts w:ascii="Times New Roman" w:cs="Times New Roman" w:eastAsia="Times New Roman" w:hAnsi="Times New Roman"/>
          <w:sz w:val="18"/>
          <w:szCs w:val="18"/>
          <w:color w:val="auto"/>
        </w:rPr>
      </w:pPr>
    </w:p>
    <w:p>
      <w:pPr>
        <w:jc w:val="both"/>
        <w:ind w:firstLine="980"/>
        <w:spacing w:after="0" w:line="255" w:lineRule="auto"/>
        <w:tabs>
          <w:tab w:leader="none" w:pos="134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Sarbanes-Oxley</w:t>
      </w:r>
      <w:r>
        <w:rPr>
          <w:rFonts w:ascii="Times New Roman" w:cs="Times New Roman" w:eastAsia="Times New Roman" w:hAnsi="Times New Roman"/>
          <w:sz w:val="18"/>
          <w:szCs w:val="18"/>
          <w:color w:val="auto"/>
        </w:rPr>
        <w:t>. There is and has been no failure on the part of the Company or any of the Company’s directors or officers, in their capacities as such, to comply in all material respects with any applicable provisions of the Sarbanes-Oxley Act and the rules and regulations promulgated thereunder. Each of the principal executive officer and the principal financial officer of the Company (or each former principal executive officer of the Company and each former principal financial officer of the Company as applicable) has made all certifications required by Sections 302 and 906 of the Sarbanes-Oxley Act with respect to all reports, schedules, forms, statements and other documents required to be filed by it or furnished by it to the Commission. For purposes of the preceding sentence, “principal executive officer” and “principal financial officer” shall have the meanings given to such terms in the Sarbanes-Oxley Act.</w:t>
      </w:r>
    </w:p>
    <w:p>
      <w:pPr>
        <w:spacing w:after="0" w:line="189" w:lineRule="exact"/>
        <w:rPr>
          <w:rFonts w:ascii="Times New Roman" w:cs="Times New Roman" w:eastAsia="Times New Roman" w:hAnsi="Times New Roman"/>
          <w:sz w:val="18"/>
          <w:szCs w:val="18"/>
          <w:color w:val="auto"/>
        </w:rPr>
      </w:pPr>
    </w:p>
    <w:p>
      <w:pPr>
        <w:ind w:firstLine="980"/>
        <w:spacing w:after="0" w:line="282" w:lineRule="auto"/>
        <w:tabs>
          <w:tab w:leader="none" w:pos="129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Finder’s Fees</w:t>
      </w:r>
      <w:r>
        <w:rPr>
          <w:rFonts w:ascii="Times New Roman" w:cs="Times New Roman" w:eastAsia="Times New Roman" w:hAnsi="Times New Roman"/>
          <w:sz w:val="18"/>
          <w:szCs w:val="18"/>
          <w:color w:val="auto"/>
        </w:rPr>
        <w:t>. Neither the Company nor any of the Subsidiaries has incurred any liability for any finder’s fees, brokerage commissions or similar payments in connection with the transactions herein contemplated, except as may otherwise exist with respect to Agent pursuant to this Agreement.</w:t>
      </w:r>
    </w:p>
    <w:p>
      <w:pPr>
        <w:spacing w:after="0" w:line="161" w:lineRule="exact"/>
        <w:rPr>
          <w:rFonts w:ascii="Times New Roman" w:cs="Times New Roman" w:eastAsia="Times New Roman" w:hAnsi="Times New Roman"/>
          <w:sz w:val="18"/>
          <w:szCs w:val="18"/>
          <w:color w:val="auto"/>
        </w:rPr>
      </w:pPr>
    </w:p>
    <w:p>
      <w:pPr>
        <w:ind w:firstLine="980"/>
        <w:spacing w:after="0" w:line="282" w:lineRule="auto"/>
        <w:tabs>
          <w:tab w:leader="none" w:pos="125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Labor Disputes</w:t>
      </w:r>
      <w:r>
        <w:rPr>
          <w:rFonts w:ascii="Times New Roman" w:cs="Times New Roman" w:eastAsia="Times New Roman" w:hAnsi="Times New Roman"/>
          <w:sz w:val="18"/>
          <w:szCs w:val="18"/>
          <w:color w:val="auto"/>
        </w:rPr>
        <w:t>. No labor disturbance by or dispute with employees of the Company or any of its Subsidiaries exists or, to the knowledge of the Company, is threatened which would result in a Material Adverse Effect.</w:t>
      </w:r>
    </w:p>
    <w:p>
      <w:pPr>
        <w:spacing w:after="0" w:line="161" w:lineRule="exact"/>
        <w:rPr>
          <w:rFonts w:ascii="Times New Roman" w:cs="Times New Roman" w:eastAsia="Times New Roman" w:hAnsi="Times New Roman"/>
          <w:sz w:val="18"/>
          <w:szCs w:val="18"/>
          <w:color w:val="auto"/>
        </w:rPr>
      </w:pPr>
    </w:p>
    <w:p>
      <w:pPr>
        <w:jc w:val="both"/>
        <w:ind w:firstLine="980"/>
        <w:spacing w:after="0" w:line="266" w:lineRule="auto"/>
        <w:tabs>
          <w:tab w:leader="none" w:pos="134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Neither the Company nor any of the Subsidiaries is or, after giving effect to the offering and sale of the Placement Shares, will be an “investment company” or an entity “controlled” by an “investment company,” as such terms are defined in the Investment Company Act of 1940, as amended (the “</w:t>
      </w:r>
      <w:r>
        <w:rPr>
          <w:rFonts w:ascii="Times New Roman" w:cs="Times New Roman" w:eastAsia="Times New Roman" w:hAnsi="Times New Roman"/>
          <w:sz w:val="18"/>
          <w:szCs w:val="18"/>
          <w:b w:val="1"/>
          <w:bCs w:val="1"/>
          <w:u w:val="single" w:color="auto"/>
          <w:color w:val="auto"/>
        </w:rPr>
        <w:t>Investment Company Act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8" w:name="page19"/>
    <w:bookmarkEnd w:id="18"/>
    <w:p>
      <w:pPr>
        <w:jc w:val="both"/>
        <w:ind w:firstLine="980"/>
        <w:spacing w:after="0" w:line="256" w:lineRule="auto"/>
        <w:tabs>
          <w:tab w:leader="none" w:pos="133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Operations</w:t>
      </w:r>
      <w:r>
        <w:rPr>
          <w:rFonts w:ascii="Times New Roman" w:cs="Times New Roman" w:eastAsia="Times New Roman" w:hAnsi="Times New Roman"/>
          <w:sz w:val="18"/>
          <w:szCs w:val="18"/>
          <w:color w:val="auto"/>
        </w:rPr>
        <w:t>. The operations of the Company and its Subsidiaries are and have been conducted at all times in compliance with applicable financial record keeping and reporting requirements of the Currency and Foreign Transactions Reporting Act of 1970, as amended, the money laundering statutes of all jurisdictions to which the Company or its Subsidiaries are subject, the rules and regulations thereunder and any related or similar rules, regulations or guidelines, issued, administered or enforced by any governmental agency (collectively, the “</w:t>
      </w:r>
      <w:r>
        <w:rPr>
          <w:rFonts w:ascii="Times New Roman" w:cs="Times New Roman" w:eastAsia="Times New Roman" w:hAnsi="Times New Roman"/>
          <w:sz w:val="18"/>
          <w:szCs w:val="18"/>
          <w:b w:val="1"/>
          <w:bCs w:val="1"/>
          <w:u w:val="single" w:color="auto"/>
          <w:color w:val="auto"/>
        </w:rPr>
        <w:t>Money Laundering Laws</w:t>
      </w:r>
      <w:r>
        <w:rPr>
          <w:rFonts w:ascii="Times New Roman" w:cs="Times New Roman" w:eastAsia="Times New Roman" w:hAnsi="Times New Roman"/>
          <w:sz w:val="18"/>
          <w:szCs w:val="18"/>
          <w:color w:val="auto"/>
        </w:rPr>
        <w:t>”), except as would not result in a Material Adverse Effect;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spacing w:after="0" w:line="187" w:lineRule="exact"/>
        <w:rPr>
          <w:rFonts w:ascii="Times New Roman" w:cs="Times New Roman" w:eastAsia="Times New Roman" w:hAnsi="Times New Roman"/>
          <w:sz w:val="18"/>
          <w:szCs w:val="18"/>
          <w:color w:val="auto"/>
        </w:rPr>
      </w:pPr>
    </w:p>
    <w:p>
      <w:pPr>
        <w:jc w:val="both"/>
        <w:ind w:firstLine="980"/>
        <w:spacing w:after="0" w:line="256" w:lineRule="auto"/>
        <w:tabs>
          <w:tab w:leader="none" w:pos="125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Off-Balance Sheet Arrangements</w:t>
      </w:r>
      <w:r>
        <w:rPr>
          <w:rFonts w:ascii="Times New Roman" w:cs="Times New Roman" w:eastAsia="Times New Roman" w:hAnsi="Times New Roman"/>
          <w:sz w:val="18"/>
          <w:szCs w:val="18"/>
          <w:color w:val="auto"/>
        </w:rPr>
        <w:t>. There are no transactions, arrangements and other relationships between and/or among the Company, and/or any of its affiliates and any unconsolidated entity, including, but not limited to, any structural finance, special purpose or limited purpose entity (each, an “</w:t>
      </w:r>
      <w:r>
        <w:rPr>
          <w:rFonts w:ascii="Times New Roman" w:cs="Times New Roman" w:eastAsia="Times New Roman" w:hAnsi="Times New Roman"/>
          <w:sz w:val="18"/>
          <w:szCs w:val="18"/>
          <w:b w:val="1"/>
          <w:bCs w:val="1"/>
          <w:u w:val="single" w:color="auto"/>
          <w:color w:val="auto"/>
        </w:rPr>
        <w:t>Off-Balance Sheet Transaction</w:t>
      </w:r>
      <w:r>
        <w:rPr>
          <w:rFonts w:ascii="Times New Roman" w:cs="Times New Roman" w:eastAsia="Times New Roman" w:hAnsi="Times New Roman"/>
          <w:sz w:val="18"/>
          <w:szCs w:val="18"/>
          <w:color w:val="auto"/>
        </w:rPr>
        <w:t>”) that could reasonably be expected to affect materially the Company’s liquidity or the availability of or requirements for its capital resources, including those Off-Balance Sheet Transactions described in the Commission’s Statement about Management’s Discussion and Analysis of Financial Conditions and Results of Operations (Release Nos. 33-8056; 34-45321; FR-61), required to be described in the Prospectus which have not been described as required.</w:t>
      </w:r>
    </w:p>
    <w:p>
      <w:pPr>
        <w:spacing w:after="0" w:line="187" w:lineRule="exact"/>
        <w:rPr>
          <w:rFonts w:ascii="Times New Roman" w:cs="Times New Roman" w:eastAsia="Times New Roman" w:hAnsi="Times New Roman"/>
          <w:sz w:val="18"/>
          <w:szCs w:val="18"/>
          <w:color w:val="auto"/>
        </w:rPr>
      </w:pPr>
    </w:p>
    <w:p>
      <w:pPr>
        <w:ind w:firstLine="980"/>
        <w:spacing w:after="0" w:line="282" w:lineRule="auto"/>
        <w:tabs>
          <w:tab w:leader="none" w:pos="126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Underwriter Agreements</w:t>
      </w:r>
      <w:r>
        <w:rPr>
          <w:rFonts w:ascii="Times New Roman" w:cs="Times New Roman" w:eastAsia="Times New Roman" w:hAnsi="Times New Roman"/>
          <w:sz w:val="18"/>
          <w:szCs w:val="18"/>
          <w:color w:val="auto"/>
        </w:rPr>
        <w:t>. The Company is not a party to any agreement with an agent or underwriter for any other “at-the-market” or continuous equity transaction.</w:t>
      </w:r>
    </w:p>
    <w:p>
      <w:pPr>
        <w:spacing w:after="0" w:line="161" w:lineRule="exact"/>
        <w:rPr>
          <w:rFonts w:ascii="Times New Roman" w:cs="Times New Roman" w:eastAsia="Times New Roman" w:hAnsi="Times New Roman"/>
          <w:sz w:val="18"/>
          <w:szCs w:val="18"/>
          <w:color w:val="auto"/>
        </w:rPr>
      </w:pPr>
    </w:p>
    <w:p>
      <w:pPr>
        <w:jc w:val="both"/>
        <w:ind w:firstLine="980"/>
        <w:spacing w:after="0" w:line="254" w:lineRule="auto"/>
        <w:tabs>
          <w:tab w:leader="none" w:pos="133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To the knowledge of the Company, each material employee benefit plan, within the meaning of Section 3(3) of the Employee Retirement Income Security Act of 1974, as amended (“</w:t>
      </w:r>
      <w:r>
        <w:rPr>
          <w:rFonts w:ascii="Times New Roman" w:cs="Times New Roman" w:eastAsia="Times New Roman" w:hAnsi="Times New Roman"/>
          <w:sz w:val="18"/>
          <w:szCs w:val="18"/>
          <w:b w:val="1"/>
          <w:bCs w:val="1"/>
          <w:u w:val="single" w:color="auto"/>
          <w:color w:val="auto"/>
        </w:rPr>
        <w:t>ERISA</w:t>
      </w:r>
      <w:r>
        <w:rPr>
          <w:rFonts w:ascii="Times New Roman" w:cs="Times New Roman" w:eastAsia="Times New Roman" w:hAnsi="Times New Roman"/>
          <w:sz w:val="18"/>
          <w:szCs w:val="18"/>
          <w:color w:val="auto"/>
        </w:rPr>
        <w:t>”), that is maintained, administered or contributed to by the Company or any of its affiliates for employees or former employees of the Company and any of its Subsidiaries has been maintained in material compliance with its terms and the requirements of any applicable statutes, orders, rules and regulations, including but not limited to ERISA and the Internal Revenue Code of 1986, as amended (the “</w:t>
      </w:r>
      <w:r>
        <w:rPr>
          <w:rFonts w:ascii="Times New Roman" w:cs="Times New Roman" w:eastAsia="Times New Roman" w:hAnsi="Times New Roman"/>
          <w:sz w:val="18"/>
          <w:szCs w:val="18"/>
          <w:b w:val="1"/>
          <w:bCs w:val="1"/>
          <w:u w:val="single" w:color="auto"/>
          <w:color w:val="auto"/>
        </w:rPr>
        <w:t>Code</w:t>
      </w:r>
      <w:r>
        <w:rPr>
          <w:rFonts w:ascii="Times New Roman" w:cs="Times New Roman" w:eastAsia="Times New Roman" w:hAnsi="Times New Roman"/>
          <w:sz w:val="18"/>
          <w:szCs w:val="18"/>
          <w:color w:val="auto"/>
        </w:rPr>
        <w:t>”); no prohibited transaction, within the meaning of Section 406 of ERISA or Section 4975 of the Code, has occurred which would result in a material liability to the Company with respect to any such plan excluding transactions effected pursuant to a statutory or administrative exemption; and for each such plan that is subject to the funding rules of Section 412 of the Code or Section 302 of ERISA, no “accumulated funding deficiency” as defined in Section 412 of the Code has been incurred, whether or not waived, and the fair market value of the assets of each such plan (excluding for these purposes accrued but unpaid contributions) exceeds the present value of all benefits accrued under such plan determined using reasonable actuarial assumptions.</w:t>
      </w:r>
    </w:p>
    <w:p>
      <w:pPr>
        <w:spacing w:after="0" w:line="189" w:lineRule="exact"/>
        <w:rPr>
          <w:rFonts w:ascii="Times New Roman" w:cs="Times New Roman" w:eastAsia="Times New Roman" w:hAnsi="Times New Roman"/>
          <w:sz w:val="18"/>
          <w:szCs w:val="18"/>
          <w:color w:val="auto"/>
        </w:rPr>
      </w:pPr>
    </w:p>
    <w:p>
      <w:pPr>
        <w:jc w:val="both"/>
        <w:ind w:firstLine="980"/>
        <w:spacing w:after="0" w:line="266" w:lineRule="auto"/>
        <w:tabs>
          <w:tab w:leader="none" w:pos="123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Forward-Looking Statements</w:t>
      </w:r>
      <w:r>
        <w:rPr>
          <w:rFonts w:ascii="Times New Roman" w:cs="Times New Roman" w:eastAsia="Times New Roman" w:hAnsi="Times New Roman"/>
          <w:sz w:val="18"/>
          <w:szCs w:val="18"/>
          <w:color w:val="auto"/>
        </w:rPr>
        <w:t>. No forward-looking statement (within the meaning of Section 27A of the Securities Act and Section 21E of the Exchange Act) (a “</w:t>
      </w:r>
      <w:r>
        <w:rPr>
          <w:rFonts w:ascii="Times New Roman" w:cs="Times New Roman" w:eastAsia="Times New Roman" w:hAnsi="Times New Roman"/>
          <w:sz w:val="18"/>
          <w:szCs w:val="18"/>
          <w:b w:val="1"/>
          <w:bCs w:val="1"/>
          <w:u w:val="single" w:color="auto"/>
          <w:color w:val="auto"/>
        </w:rPr>
        <w:t>Forward-Looking Statement</w:t>
      </w:r>
      <w:r>
        <w:rPr>
          <w:rFonts w:ascii="Times New Roman" w:cs="Times New Roman" w:eastAsia="Times New Roman" w:hAnsi="Times New Roman"/>
          <w:sz w:val="18"/>
          <w:szCs w:val="18"/>
          <w:color w:val="auto"/>
        </w:rPr>
        <w:t>”) contained in the Registration Statement and the Prospectus has been made or reaffirmed without a reasonable basis or has been disclosed other than in good faith.</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9" w:name="page20"/>
    <w:bookmarkEnd w:id="19"/>
    <w:p>
      <w:pPr>
        <w:jc w:val="both"/>
        <w:ind w:firstLine="980"/>
        <w:spacing w:after="0" w:line="258" w:lineRule="auto"/>
        <w:tabs>
          <w:tab w:leader="none" w:pos="144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Agent Purchases</w:t>
      </w:r>
      <w:r>
        <w:rPr>
          <w:rFonts w:ascii="Times New Roman" w:cs="Times New Roman" w:eastAsia="Times New Roman" w:hAnsi="Times New Roman"/>
          <w:sz w:val="18"/>
          <w:szCs w:val="18"/>
          <w:color w:val="auto"/>
        </w:rPr>
        <w:t xml:space="preserve">. The Company acknowledges and agrees that Agent has informed the Company that the Agent may, to the extent permitted under the Securities Act and the Exchange Act, purchase and sell Common Stock for its own account while this Agreement is in effect,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 no such purchase or sales shall take place while a Placement Notice is in effect (except to the extent the Agent may engage in sales of Placement Shares purchased or deemed purchased from the Company as a “riskless principal” or in a similar capacity) and (ii) the Company shall not be deemed to have authorized or consented to any such purchases or sales by the Agent.</w:t>
      </w:r>
    </w:p>
    <w:p>
      <w:pPr>
        <w:spacing w:after="0" w:line="183" w:lineRule="exact"/>
        <w:rPr>
          <w:rFonts w:ascii="Times New Roman" w:cs="Times New Roman" w:eastAsia="Times New Roman" w:hAnsi="Times New Roman"/>
          <w:sz w:val="18"/>
          <w:szCs w:val="18"/>
          <w:color w:val="auto"/>
        </w:rPr>
      </w:pPr>
    </w:p>
    <w:p>
      <w:pPr>
        <w:jc w:val="both"/>
        <w:ind w:firstLine="980"/>
        <w:spacing w:after="0" w:line="266" w:lineRule="auto"/>
        <w:tabs>
          <w:tab w:leader="none" w:pos="131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Margin Rules</w:t>
      </w:r>
      <w:r>
        <w:rPr>
          <w:rFonts w:ascii="Times New Roman" w:cs="Times New Roman" w:eastAsia="Times New Roman" w:hAnsi="Times New Roman"/>
          <w:sz w:val="18"/>
          <w:szCs w:val="18"/>
          <w:color w:val="auto"/>
        </w:rPr>
        <w:t>. Neither the issuance, sale and delivery of the Placement Shares nor the application of the proceeds thereof by the Company as described in the Registration Statement and the Prospectus will violate Regulation T, U or X of the Board of Governors of the Federal Reserve System or any other regulation of such Board of Governors.</w:t>
      </w:r>
    </w:p>
    <w:p>
      <w:pPr>
        <w:spacing w:after="0" w:line="176" w:lineRule="exact"/>
        <w:rPr>
          <w:rFonts w:ascii="Times New Roman" w:cs="Times New Roman" w:eastAsia="Times New Roman" w:hAnsi="Times New Roman"/>
          <w:sz w:val="18"/>
          <w:szCs w:val="18"/>
          <w:color w:val="auto"/>
        </w:rPr>
      </w:pPr>
    </w:p>
    <w:p>
      <w:pPr>
        <w:jc w:val="both"/>
        <w:ind w:firstLine="980"/>
        <w:spacing w:after="0" w:line="266" w:lineRule="auto"/>
        <w:tabs>
          <w:tab w:leader="none" w:pos="133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and each of its Subsidiaries carry, or are covered by, insurance in such amounts and covering such risks as the Company and each of its Subsidiaries reasonably believe are adequate for the conduct of their properties and as is customary for companies engaged in similar businesses in similar industries.</w:t>
      </w:r>
    </w:p>
    <w:p>
      <w:pPr>
        <w:spacing w:after="0" w:line="176" w:lineRule="exact"/>
        <w:rPr>
          <w:rFonts w:ascii="Times New Roman" w:cs="Times New Roman" w:eastAsia="Times New Roman" w:hAnsi="Times New Roman"/>
          <w:sz w:val="18"/>
          <w:szCs w:val="18"/>
          <w:color w:val="auto"/>
        </w:rPr>
      </w:pPr>
    </w:p>
    <w:p>
      <w:pPr>
        <w:jc w:val="both"/>
        <w:ind w:firstLine="980"/>
        <w:spacing w:after="0" w:line="252" w:lineRule="auto"/>
        <w:tabs>
          <w:tab w:leader="none" w:pos="131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Improper Practices</w:t>
      </w:r>
      <w:r>
        <w:rPr>
          <w:rFonts w:ascii="Times New Roman" w:cs="Times New Roman" w:eastAsia="Times New Roman" w:hAnsi="Times New Roman"/>
          <w:sz w:val="18"/>
          <w:szCs w:val="18"/>
          <w:color w:val="auto"/>
        </w:rPr>
        <w:t>. (i) Neither the Company nor, the Subsidiaries, nor to the Company’s knowledge, any of their respective executive officers has, in the past five years, made any unlawful contributions to any candidate for any political office (or failed fully to disclose any contribution in violation of law) or made any contribution or other payment to any official of, or candidate for, any federal, state, municipal, or foreign office or other person charged with similar public or quasi-public duty in violation of any law or of the character required to be disclosed in the Prospectus; (ii) no relationship, direct or indirect, exists between or among the Company or any Subsidiary or any affiliate of any of them, on the one hand, and the directors, officers and stockholders of the Company or any Subsidiary, on the other hand, that is required by the Securities Act to be described in the Registration Statement and the Prospectus that is not so described; (iii) no relationship, direct or indirect, exists between or among the Company or any Subsidiary or any affiliate of them, on the one hand, and the directors, officers, or stockholders of the Company or any Subsidiary, on the other hand, that is required by the rules of FINRA to be described in the Registration Statement and the Prospectus that is not so described; (iv) except as described in the Registration Statement and the Prospectus, there are no material outstanding loans or advances or material guarantees of indebtedness by the Company or any Subsidiary to or for the benefit of any of their respective officers or directors or any of the members of the families of any of them; and (v) the Company has not offered, or caused any placement agent to offer, Common Stock to any person with the intent to influence unlawfully (A) a customer or supplier of the Company or any Subsidiary to alter the customer’s or supplier’s level or type of business with the Company or any Subsidiary or (B) a trade journalist or publication to write or publish favorable information about the Company or any Subsidiary or any of their respective products or services, and, (vi) neither the Company nor any Subsidiary nor, to the Company’s knowledge, any employee or agent of the Company or any Subsidiary has made any payment of funds of the Company or any Subsidiary or received or retained any funds in violation of any law, rule or regulation (including, without limitation, the Foreign Corrupt Practices Act of 1977), which payment, receipt or retention of funds is of a character required to be disclosed in the Registration Statement or the Prospectus.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0" w:name="page21"/>
    <w:bookmarkEnd w:id="20"/>
    <w:p>
      <w:pPr>
        <w:ind w:firstLine="980"/>
        <w:spacing w:after="0" w:line="282" w:lineRule="auto"/>
        <w:tabs>
          <w:tab w:leader="none" w:pos="131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Status Under the Securities Act</w:t>
      </w:r>
      <w:r>
        <w:rPr>
          <w:rFonts w:ascii="Times New Roman" w:cs="Times New Roman" w:eastAsia="Times New Roman" w:hAnsi="Times New Roman"/>
          <w:sz w:val="18"/>
          <w:szCs w:val="18"/>
          <w:color w:val="auto"/>
        </w:rPr>
        <w:t>. The Company was not and is not an ineligible issuer as defined in Rule 405 under the Securities Act at the times specified in Rules 164 and 433 under the Securities Act in connection with the offering of the Placement Shares.</w:t>
      </w:r>
    </w:p>
    <w:p>
      <w:pPr>
        <w:spacing w:after="0" w:line="161" w:lineRule="exact"/>
        <w:rPr>
          <w:rFonts w:ascii="Times New Roman" w:cs="Times New Roman" w:eastAsia="Times New Roman" w:hAnsi="Times New Roman"/>
          <w:sz w:val="18"/>
          <w:szCs w:val="18"/>
          <w:color w:val="auto"/>
        </w:rPr>
      </w:pPr>
    </w:p>
    <w:p>
      <w:pPr>
        <w:jc w:val="both"/>
        <w:ind w:firstLine="980"/>
        <w:spacing w:after="0" w:line="258" w:lineRule="auto"/>
        <w:tabs>
          <w:tab w:leader="none" w:pos="125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Misstatement or Omission in an Issuer Free Writing Prospectus</w:t>
      </w:r>
      <w:r>
        <w:rPr>
          <w:rFonts w:ascii="Times New Roman" w:cs="Times New Roman" w:eastAsia="Times New Roman" w:hAnsi="Times New Roman"/>
          <w:sz w:val="18"/>
          <w:szCs w:val="18"/>
          <w:color w:val="auto"/>
        </w:rPr>
        <w:t xml:space="preserve">. Each Issuer Free Writing Prospectus, as of its issue date and as of each Applicable Time (as defined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below), did not, does not and will not include any information that conflicted, conflicts or will conflict with the information contained in the Registration Statement or the Prospectus, including any incorporated document deemed to be a part thereof that has not been superseded or modified. The foregoing sentence does not apply to statements in or omissions from any Issuer Free Writing Prospectus based upon and in conformity with written information furnished to the Company by the Agent specifically for use therein.</w:t>
      </w:r>
    </w:p>
    <w:p>
      <w:pPr>
        <w:spacing w:after="0" w:line="183" w:lineRule="exact"/>
        <w:rPr>
          <w:rFonts w:ascii="Times New Roman" w:cs="Times New Roman" w:eastAsia="Times New Roman" w:hAnsi="Times New Roman"/>
          <w:sz w:val="18"/>
          <w:szCs w:val="18"/>
          <w:color w:val="auto"/>
        </w:rPr>
      </w:pPr>
    </w:p>
    <w:p>
      <w:pPr>
        <w:jc w:val="both"/>
        <w:ind w:firstLine="980"/>
        <w:spacing w:after="0" w:line="254" w:lineRule="auto"/>
        <w:tabs>
          <w:tab w:leader="none" w:pos="127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Neither the execution of this Agreement, nor the issuance, offering or sale of the Placement Shares, nor the consummation of any of the transactions contemplated herein and therein, nor the compliance by the Company with the terms and provisions hereof and thereof will conflict with, or will result in a breach of, any of the terms and provisions of, or has constituted or will constitute a default under, or has resulted in or will result in the creation or imposition of any lien, charge or encumbrance upon any property or assets of the Company pursuant to the terms of any contract or other agreement to which the Company may be bound or to which any of the property or assets of the Company is subject, except (i) such conflicts, breaches or defaults as may have been waived and (ii) such conflicts, breaches and defaults that would not have a Material Adverse Effect; nor will such action result (x) in any violation of the provisions of the organizational or governing documents of the Company, or (y) in any violation of the provisions of any statute or any order, rule or regulation applicable to the Company or of any court or of any federal, state or other regulatory authority or other government body having jurisdiction over the Company, other than with respect to this clause (y) above only, any violation that would not have a Material Adverse Effect.</w:t>
      </w:r>
    </w:p>
    <w:p>
      <w:pPr>
        <w:spacing w:after="0" w:line="185" w:lineRule="exact"/>
        <w:rPr>
          <w:rFonts w:ascii="Times New Roman" w:cs="Times New Roman" w:eastAsia="Times New Roman" w:hAnsi="Times New Roman"/>
          <w:sz w:val="18"/>
          <w:szCs w:val="18"/>
          <w:color w:val="auto"/>
        </w:rPr>
      </w:pPr>
    </w:p>
    <w:p>
      <w:pPr>
        <w:jc w:val="both"/>
        <w:ind w:firstLine="980"/>
        <w:spacing w:after="0" w:line="268" w:lineRule="auto"/>
        <w:tabs>
          <w:tab w:leader="none" w:pos="125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(i) The Company represents that, neither the Company nor any of its Subsidiaries (collectively, the “</w:t>
      </w:r>
      <w:r>
        <w:rPr>
          <w:rFonts w:ascii="Times New Roman" w:cs="Times New Roman" w:eastAsia="Times New Roman" w:hAnsi="Times New Roman"/>
          <w:sz w:val="18"/>
          <w:szCs w:val="18"/>
          <w:b w:val="1"/>
          <w:bCs w:val="1"/>
          <w:u w:val="single" w:color="auto"/>
          <w:color w:val="auto"/>
        </w:rPr>
        <w:t>Entity</w:t>
      </w:r>
      <w:r>
        <w:rPr>
          <w:rFonts w:ascii="Times New Roman" w:cs="Times New Roman" w:eastAsia="Times New Roman" w:hAnsi="Times New Roman"/>
          <w:sz w:val="18"/>
          <w:szCs w:val="18"/>
          <w:color w:val="auto"/>
        </w:rPr>
        <w:t>”) or any director, officer, employee, agent, affiliate or representative of the Entity, is a government, individual or entity (in this paragraph (tt), “</w:t>
      </w:r>
      <w:r>
        <w:rPr>
          <w:rFonts w:ascii="Times New Roman" w:cs="Times New Roman" w:eastAsia="Times New Roman" w:hAnsi="Times New Roman"/>
          <w:sz w:val="18"/>
          <w:szCs w:val="18"/>
          <w:b w:val="1"/>
          <w:bCs w:val="1"/>
          <w:u w:val="single" w:color="auto"/>
          <w:color w:val="auto"/>
        </w:rPr>
        <w:t>Person</w:t>
      </w:r>
      <w:r>
        <w:rPr>
          <w:rFonts w:ascii="Times New Roman" w:cs="Times New Roman" w:eastAsia="Times New Roman" w:hAnsi="Times New Roman"/>
          <w:sz w:val="18"/>
          <w:szCs w:val="18"/>
          <w:color w:val="auto"/>
        </w:rPr>
        <w:t>”) that is or is owned or controlled by a Person that is:</w:t>
      </w:r>
    </w:p>
    <w:p>
      <w:pPr>
        <w:spacing w:after="0" w:line="174" w:lineRule="exact"/>
        <w:rPr>
          <w:rFonts w:ascii="Times New Roman" w:cs="Times New Roman" w:eastAsia="Times New Roman" w:hAnsi="Times New Roman"/>
          <w:sz w:val="18"/>
          <w:szCs w:val="18"/>
          <w:color w:val="auto"/>
        </w:rPr>
      </w:pPr>
    </w:p>
    <w:p>
      <w:pPr>
        <w:jc w:val="both"/>
        <w:ind w:left="1300" w:firstLine="653"/>
        <w:spacing w:after="0" w:line="266" w:lineRule="auto"/>
        <w:tabs>
          <w:tab w:leader="none" w:pos="2250"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subject of any sanctions administered or enforced by the U.S. Department of Treasury’s Office of Foreign Assets Control, the United Nations Security Council, the European Union, Her Majesty’s Treasury, or other relevant sanctions authority (collectively, “</w:t>
      </w:r>
      <w:r>
        <w:rPr>
          <w:rFonts w:ascii="Times New Roman" w:cs="Times New Roman" w:eastAsia="Times New Roman" w:hAnsi="Times New Roman"/>
          <w:sz w:val="18"/>
          <w:szCs w:val="18"/>
          <w:b w:val="1"/>
          <w:bCs w:val="1"/>
          <w:u w:val="single" w:color="auto"/>
          <w:color w:val="auto"/>
        </w:rPr>
        <w:t>Sanctions</w:t>
      </w:r>
      <w:r>
        <w:rPr>
          <w:rFonts w:ascii="Times New Roman" w:cs="Times New Roman" w:eastAsia="Times New Roman" w:hAnsi="Times New Roman"/>
          <w:sz w:val="18"/>
          <w:szCs w:val="18"/>
          <w:color w:val="auto"/>
        </w:rPr>
        <w:t>”), nor</w:t>
      </w:r>
    </w:p>
    <w:p>
      <w:pPr>
        <w:spacing w:after="0" w:line="176" w:lineRule="exact"/>
        <w:rPr>
          <w:rFonts w:ascii="Times New Roman" w:cs="Times New Roman" w:eastAsia="Times New Roman" w:hAnsi="Times New Roman"/>
          <w:sz w:val="18"/>
          <w:szCs w:val="18"/>
          <w:color w:val="auto"/>
        </w:rPr>
      </w:pPr>
    </w:p>
    <w:p>
      <w:pPr>
        <w:ind w:left="1300" w:firstLine="653"/>
        <w:spacing w:after="0" w:line="282" w:lineRule="auto"/>
        <w:tabs>
          <w:tab w:leader="none" w:pos="2281"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located, organized or resident in a country or territory that is the subject of Sanctions (including, without limitation, Burma/Myanmar, Cuba, Iran, North Korea, Sudan and Syria).</w:t>
      </w:r>
    </w:p>
    <w:p>
      <w:pPr>
        <w:spacing w:after="0" w:line="161" w:lineRule="exact"/>
        <w:rPr>
          <w:rFonts w:ascii="Times New Roman" w:cs="Times New Roman" w:eastAsia="Times New Roman" w:hAnsi="Times New Roman"/>
          <w:sz w:val="18"/>
          <w:szCs w:val="18"/>
          <w:color w:val="auto"/>
        </w:rPr>
      </w:pPr>
    </w:p>
    <w:p>
      <w:pPr>
        <w:ind w:left="660" w:firstLine="645"/>
        <w:spacing w:after="0" w:line="282" w:lineRule="auto"/>
        <w:tabs>
          <w:tab w:leader="none" w:pos="1602"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Entity represents and covenants that it will not, directly or indirectly, use the proceeds of the offering, or lend, contribute or otherwise make available such proceeds to any subsidiary, joint venture partner or other Person: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1" w:name="page22"/>
    <w:bookmarkEnd w:id="21"/>
    <w:p>
      <w:pPr>
        <w:ind w:left="1300" w:firstLine="653"/>
        <w:spacing w:after="0" w:line="282" w:lineRule="auto"/>
        <w:tabs>
          <w:tab w:leader="none" w:pos="2263"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fund or facilitate any activities or business of or with any Person or in any country or territory that, at the time of such funding or facilitation, is the subject of Sanctions; or</w:t>
      </w:r>
    </w:p>
    <w:p>
      <w:pPr>
        <w:spacing w:after="0" w:line="161" w:lineRule="exact"/>
        <w:rPr>
          <w:rFonts w:ascii="Times New Roman" w:cs="Times New Roman" w:eastAsia="Times New Roman" w:hAnsi="Times New Roman"/>
          <w:sz w:val="18"/>
          <w:szCs w:val="18"/>
          <w:color w:val="auto"/>
        </w:rPr>
      </w:pPr>
    </w:p>
    <w:p>
      <w:pPr>
        <w:ind w:left="1300" w:firstLine="653"/>
        <w:spacing w:after="0" w:line="282" w:lineRule="auto"/>
        <w:tabs>
          <w:tab w:leader="none" w:pos="2263"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manner that will result in a violation of Sanctions by any Person (including any Person participating in the offering, whether as underwriter, advisor, investor or otherwise).</w:t>
      </w:r>
    </w:p>
    <w:p>
      <w:pPr>
        <w:spacing w:after="0" w:line="161" w:lineRule="exact"/>
        <w:rPr>
          <w:rFonts w:ascii="Times New Roman" w:cs="Times New Roman" w:eastAsia="Times New Roman" w:hAnsi="Times New Roman"/>
          <w:sz w:val="18"/>
          <w:szCs w:val="18"/>
          <w:color w:val="auto"/>
        </w:rPr>
      </w:pPr>
    </w:p>
    <w:p>
      <w:pPr>
        <w:jc w:val="both"/>
        <w:ind w:firstLine="1305"/>
        <w:spacing w:after="0" w:line="266" w:lineRule="auto"/>
        <w:tabs>
          <w:tab w:leader="none" w:pos="1613"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Entity represents and covenants that, except as detailed in the Registration Statement and the Prospectus, for the past 5 years, it has not engaged in, is not now engaging in, and will not engage in, any dealings or transactions with any Person, or in any country or territory, that at the time of the dealing or transaction is or was the subject of Sanctions.</w:t>
      </w:r>
    </w:p>
    <w:p>
      <w:pPr>
        <w:spacing w:after="0" w:line="176" w:lineRule="exact"/>
        <w:rPr>
          <w:rFonts w:ascii="Times New Roman" w:cs="Times New Roman" w:eastAsia="Times New Roman" w:hAnsi="Times New Roman"/>
          <w:sz w:val="18"/>
          <w:szCs w:val="18"/>
          <w:color w:val="auto"/>
        </w:rPr>
      </w:pPr>
    </w:p>
    <w:p>
      <w:pPr>
        <w:jc w:val="both"/>
        <w:ind w:firstLine="980"/>
        <w:spacing w:after="0" w:line="266" w:lineRule="auto"/>
        <w:tabs>
          <w:tab w:leader="none" w:pos="131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Transfer Taxes</w:t>
      </w:r>
      <w:r>
        <w:rPr>
          <w:rFonts w:ascii="Times New Roman" w:cs="Times New Roman" w:eastAsia="Times New Roman" w:hAnsi="Times New Roman"/>
          <w:sz w:val="18"/>
          <w:szCs w:val="18"/>
          <w:color w:val="auto"/>
        </w:rPr>
        <w:t>. On each Settlement Date, all stock transfer or other taxes (other than income taxes) which are required to be paid in connection with the sale and transfer of the Placement Shares to be sold hereunder will be, or will have been, fully paid or provided for by the Company and all laws imposing such taxes will be or will have been fully complied with.</w:t>
      </w:r>
    </w:p>
    <w:p>
      <w:pPr>
        <w:spacing w:after="0" w:line="176" w:lineRule="exact"/>
        <w:rPr>
          <w:rFonts w:ascii="Times New Roman" w:cs="Times New Roman" w:eastAsia="Times New Roman" w:hAnsi="Times New Roman"/>
          <w:sz w:val="18"/>
          <w:szCs w:val="18"/>
          <w:color w:val="auto"/>
        </w:rPr>
      </w:pPr>
    </w:p>
    <w:p>
      <w:pPr>
        <w:jc w:val="both"/>
        <w:ind w:firstLine="980"/>
        <w:spacing w:after="0" w:line="252" w:lineRule="auto"/>
        <w:tabs>
          <w:tab w:leader="none" w:pos="131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Except as set forth in the Registration Statement or the Prospectus, each of the Company and its Subsidiaries: (A) is and at all times has been in compliance with all statutes, rules, or regulations applicable to the ownership, testing, development, manufacture, packaging, processing, use, distribution, marketing, labeling, promotion, sale, offer for sale, storage, import, export or disposal of any product manufactured or distributed by the Company or its Subsidiaries (“</w:t>
      </w:r>
      <w:r>
        <w:rPr>
          <w:rFonts w:ascii="Times New Roman" w:cs="Times New Roman" w:eastAsia="Times New Roman" w:hAnsi="Times New Roman"/>
          <w:sz w:val="18"/>
          <w:szCs w:val="18"/>
          <w:b w:val="1"/>
          <w:bCs w:val="1"/>
          <w:u w:val="single" w:color="auto"/>
          <w:color w:val="auto"/>
        </w:rPr>
        <w:t>Applicable Laws</w:t>
      </w:r>
      <w:r>
        <w:rPr>
          <w:rFonts w:ascii="Times New Roman" w:cs="Times New Roman" w:eastAsia="Times New Roman" w:hAnsi="Times New Roman"/>
          <w:sz w:val="18"/>
          <w:szCs w:val="18"/>
          <w:color w:val="auto"/>
        </w:rPr>
        <w:t>”), except as could not, individually or in the aggregate, reasonably be expected to result in a Material Adverse Effect; (B) has not received any FDA Form 483, notice of adverse finding, warning letter, untitled letter or other correspondence or notice from the FDA or any other governmental authority alleging or asserting noncompliance with any Applicable Laws or any licenses, certificates, approvals, clearances, authorizations, permits and supplements or amendments thereto required by any such Applicable Laws (“</w:t>
      </w:r>
      <w:r>
        <w:rPr>
          <w:rFonts w:ascii="Times New Roman" w:cs="Times New Roman" w:eastAsia="Times New Roman" w:hAnsi="Times New Roman"/>
          <w:sz w:val="18"/>
          <w:szCs w:val="18"/>
          <w:b w:val="1"/>
          <w:bCs w:val="1"/>
          <w:u w:val="single" w:color="auto"/>
          <w:color w:val="auto"/>
        </w:rPr>
        <w:t>Authorizations</w:t>
      </w:r>
      <w:r>
        <w:rPr>
          <w:rFonts w:ascii="Times New Roman" w:cs="Times New Roman" w:eastAsia="Times New Roman" w:hAnsi="Times New Roman"/>
          <w:sz w:val="18"/>
          <w:szCs w:val="18"/>
          <w:color w:val="auto"/>
        </w:rPr>
        <w:t>”), which after the Company’s remedial activity, would have a Material Adverse Effect; (C) possesses all material Authorizations and such Authorizations are valid and in full force and effect and are not in material violation of any term of any such Authorizations; (D) has not received notice of any claim, action, suit, proceeding, hearing, enforcement, investigation, arbitration or other action from any governmental authority or third party alleging that any product operation or activity is in violation of any Applicable Laws or Authorizations and has no knowledge that any such governmental authority or third party is considering any such claim, litigation, arbitration, action, suit, investigation or proceeding; (E) has not received notice that any governmental authority has taken, is taking or intends to take action to limit, suspend, modify or revoke any Authorizations and has no knowledge that any such governmental authority is considering such action; (F) has filed, obtained, maintained or submitted all material reports, documents, forms, notices, applications, records, claims, submissions and supplements or amendments as required by any Applicable Laws or Authorizations and that all such reports, documents, forms, notices, applications, records, claims, submissions and supplements or amendments were complete and correct on the date filed (or were corrected or supplemented by a subsequent submission); and (G) has not, either voluntarily or involuntarily, initiated, conducted, or issued or caused to be initiated, conducted or issued, any recall, market withdrawal or replacement, safety alert, post sale warning, “dear healthcare provider” letter, or other notice or action relating to the alleged lack of safety or efficacy of any product or any alleged product defect or violation and, to the Company’s knowledge, no third party has initiated, conducted or intends to initiate any such notice or action.</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2" w:name="page23"/>
    <w:bookmarkEnd w:id="22"/>
    <w:p>
      <w:pPr>
        <w:ind w:firstLine="648"/>
        <w:spacing w:after="0" w:line="282" w:lineRule="auto"/>
        <w:rPr>
          <w:sz w:val="20"/>
          <w:szCs w:val="20"/>
          <w:color w:val="auto"/>
        </w:rPr>
      </w:pPr>
      <w:r>
        <w:rPr>
          <w:rFonts w:ascii="Times New Roman" w:cs="Times New Roman" w:eastAsia="Times New Roman" w:hAnsi="Times New Roman"/>
          <w:sz w:val="18"/>
          <w:szCs w:val="18"/>
          <w:color w:val="auto"/>
        </w:rPr>
        <w:t>Any certificate signed by an officer of the Company and delivered to the Agent or to counsel for the Agent pursuant to or in connection with this Agreement shall be deemed to be a representation and warranty by the Company, as applicable, to the Agent as to the matters set forth therein.</w:t>
      </w:r>
    </w:p>
    <w:p>
      <w:pPr>
        <w:spacing w:after="0" w:line="162" w:lineRule="exact"/>
        <w:rPr>
          <w:sz w:val="20"/>
          <w:szCs w:val="20"/>
          <w:color w:val="auto"/>
        </w:rPr>
      </w:pPr>
    </w:p>
    <w:p>
      <w:pPr>
        <w:ind w:left="840" w:hanging="184"/>
        <w:spacing w:after="0"/>
        <w:tabs>
          <w:tab w:leader="none" w:pos="8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Covenants of the Company</w:t>
      </w:r>
      <w:r>
        <w:rPr>
          <w:rFonts w:ascii="Times New Roman" w:cs="Times New Roman" w:eastAsia="Times New Roman" w:hAnsi="Times New Roman"/>
          <w:sz w:val="18"/>
          <w:szCs w:val="18"/>
          <w:color w:val="auto"/>
        </w:rPr>
        <w:t>. The Company covenants and agrees with Agent that:</w:t>
      </w:r>
    </w:p>
    <w:p>
      <w:pPr>
        <w:spacing w:after="0" w:line="225" w:lineRule="exact"/>
        <w:rPr>
          <w:rFonts w:ascii="Times New Roman" w:cs="Times New Roman" w:eastAsia="Times New Roman" w:hAnsi="Times New Roman"/>
          <w:sz w:val="18"/>
          <w:szCs w:val="18"/>
          <w:color w:val="auto"/>
        </w:rPr>
      </w:pPr>
    </w:p>
    <w:p>
      <w:pPr>
        <w:jc w:val="both"/>
        <w:ind w:firstLine="980"/>
        <w:spacing w:after="0" w:line="251" w:lineRule="auto"/>
        <w:tabs>
          <w:tab w:leader="none" w:pos="124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 Amendments</w:t>
      </w:r>
      <w:r>
        <w:rPr>
          <w:rFonts w:ascii="Times New Roman" w:cs="Times New Roman" w:eastAsia="Times New Roman" w:hAnsi="Times New Roman"/>
          <w:sz w:val="18"/>
          <w:szCs w:val="18"/>
          <w:color w:val="auto"/>
        </w:rPr>
        <w:t>. After the date of this Agreement and during any period in which a Prospectus relating to any Placement Shares is required to be delivered by Agent under the Securities Act (including in circumstances where such requirement may be satisfied pursuant to Rule 172 under the Securities Act), (i) the Company will notify the Agent promptly of the time when any subsequent amendment to the Registration Statement, other than documents incorporated by reference, has been filed with the Commission and/or has become effective or any subsequent supplement to the Prospectus has been filed and of any request by the Commission for any amendment or supplement to the Registration Statement or Prospectus or for additional information, (ii) the Company will prepare and file with the Commission, promptly upon the Agent’s request, any amendments or supplements to the Registration Statement or Prospectus that, in such Agent’s reasonable opinion, may be necessary or advisable in connection with the distribution of the Placement Shares by the Agent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failure of the Agent to make such request shall not relieve the Company of any obligation or liability hereunder, or affect the Agent’s right to rely on the representations and warranties made by the Company in this Agreement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the only remedy the Agent shall have with respect to the failure to make such filing shall be to cease making sales under this Agreement until such amendment or supplement is filed); (iii) the Company will not file any amendment or supplement to the Registration Statement or Prospectus relating to the Placement Shares or a security convertible into the Placement Shares unless a copy thereof has been submitted to Agent within a reasonable period of time before the filing and the Agent has not reasonably objected in writing thereto within two (2) Business Days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failure of the Agent to make such objection shall not relieve the Company of any obligation or liability hereunder, or affect the Agent’s right to rely on the representations and warranties made by the Company in this Agreement and the Company has no obligation to provide the Agent any advance copy of such filing or to provide the Agent any opportunity to object to such filing if such filing does not name the Agent and does not relate to the transactions contemplated by this Agreement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the only remedy Agent shall have with respect to the failure by the Company to obtain such consent shall be to cease making sales under this Agreement) and the Company will furnish to the Agent at the time of filing thereof a copy of any document that upon filing is deemed to be incorporated by reference into the Registration Statement or Prospectus, except for those documents available via EDGAR; and (iv) the Company will cause each amendment or supplement to the Prospectus to be filed with the Commission as required pursuant to the applicable paragraph of Rule 424(b) of the Securities Act or, in the case of any document to be incorporated therein by reference, to be filed with the Commission as required pursuant to the Exchange Act, within the time period prescribed (the determination to file or not file any amendment or supplement with the Commission under this </w:t>
      </w:r>
      <w:r>
        <w:rPr>
          <w:rFonts w:ascii="Times New Roman" w:cs="Times New Roman" w:eastAsia="Times New Roman" w:hAnsi="Times New Roman"/>
          <w:sz w:val="18"/>
          <w:szCs w:val="18"/>
          <w:u w:val="single" w:color="auto"/>
          <w:color w:val="auto"/>
        </w:rPr>
        <w:t>Section 7(a)</w:t>
      </w:r>
      <w:r>
        <w:rPr>
          <w:rFonts w:ascii="Times New Roman" w:cs="Times New Roman" w:eastAsia="Times New Roman" w:hAnsi="Times New Roman"/>
          <w:sz w:val="18"/>
          <w:szCs w:val="18"/>
          <w:color w:val="auto"/>
        </w:rPr>
        <w:t>, based on the Company’s reasonable opinion or reasonable objections, shall be made exclusively by the Company).</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3" w:name="page24"/>
    <w:bookmarkEnd w:id="23"/>
    <w:p>
      <w:pPr>
        <w:jc w:val="both"/>
        <w:ind w:firstLine="980"/>
        <w:spacing w:after="0" w:line="255" w:lineRule="auto"/>
        <w:tabs>
          <w:tab w:leader="none" w:pos="122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Commission Stop Orders</w:t>
      </w:r>
      <w:r>
        <w:rPr>
          <w:rFonts w:ascii="Times New Roman" w:cs="Times New Roman" w:eastAsia="Times New Roman" w:hAnsi="Times New Roman"/>
          <w:sz w:val="18"/>
          <w:szCs w:val="18"/>
          <w:color w:val="auto"/>
        </w:rPr>
        <w:t>. The Company will advise the Agent, promptly after it receives notice or obtains knowledge thereof, of the issuance or threatened issuance by the Commission of any stop order suspending the effectiveness of the Registration Statement, of the suspension of the qualification of the Placement Shares for offering or sale in any jurisdiction, or of the initiation or threatening of any proceeding for any such purpose; and it will promptly use its commercially reasonable efforts to prevent the issuance of any stop order or to obtain its withdrawal if such a stop order should be issued. The Company will advise the Agent promptly after it receives any request by the Commission for any amendments to the Registration Statement or any amendment or supplements to the Prospectus or any Issuer Free Writing Prospectus or for additional information related to the offering of the Placement Shares or for additional information related to the Registration Statement, the Prospectus or any Issuer Free Writing Prospectus.</w:t>
      </w:r>
    </w:p>
    <w:p>
      <w:pPr>
        <w:spacing w:after="0" w:line="189" w:lineRule="exact"/>
        <w:rPr>
          <w:rFonts w:ascii="Times New Roman" w:cs="Times New Roman" w:eastAsia="Times New Roman" w:hAnsi="Times New Roman"/>
          <w:sz w:val="18"/>
          <w:szCs w:val="18"/>
          <w:color w:val="auto"/>
        </w:rPr>
      </w:pPr>
    </w:p>
    <w:p>
      <w:pPr>
        <w:jc w:val="both"/>
        <w:ind w:firstLine="980"/>
        <w:spacing w:after="0" w:line="253" w:lineRule="auto"/>
        <w:tabs>
          <w:tab w:leader="none" w:pos="123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Prospectus; Subsequent Changes</w:t>
      </w:r>
      <w:r>
        <w:rPr>
          <w:rFonts w:ascii="Times New Roman" w:cs="Times New Roman" w:eastAsia="Times New Roman" w:hAnsi="Times New Roman"/>
          <w:sz w:val="18"/>
          <w:szCs w:val="18"/>
          <w:color w:val="auto"/>
        </w:rPr>
        <w:t>. During any period in which a Prospectus relating to the Placement Shares is required to be delivered by the Agent under the Securities Act with respect to the offer and sale of the Placement Shares, (including in circumstances where such requirement may be satisfied pursuant to Rule 172 under the Securities Act), the Company will comply with all requirements imposed upon it by the Securities Act, as from time to time in force, and to file on or before their respective due dates all reports and any definitive proxy or information statements required to be filed by the Company with the Commission pursuant to Sections 13(a), 13(c), 14, 15(d) or any other provision of or under the Exchange Act. If the Company has omitted any information from the Registration Statement pursuant to Rule 430B under the Securities Act, it will use its best efforts to comply with the provisions of and make all requisite filings with the Commission pursuant to said Rule 430B and to notify the Agent promptly of all such filings. If during such period any event occurs as a result of which the Prospectus as then amended or supplemented would include an untrue statement of a material fact or omit to state a material fact necessary to make the statements therein, in the light of the circumstances then existing, not misleading, or if during such period it is necessary to amend or supplement the Registration Statement or Prospectus to comply with the Securities Act, the Company will promptly notify Agent to suspend the offering of Placement Shares during such period and the Company will promptly amend or supplement the Registration Statement or Prospectus (at the expense of the Company) so as to correct such statement or omission or effect such compliance provided, however, that the Company may delay any such amendment or supplement if, in the reasonable judgment of the Company, it is in the best interest of the Company to do so.</w:t>
      </w:r>
    </w:p>
    <w:p>
      <w:pPr>
        <w:spacing w:after="0" w:line="188" w:lineRule="exact"/>
        <w:rPr>
          <w:rFonts w:ascii="Times New Roman" w:cs="Times New Roman" w:eastAsia="Times New Roman" w:hAnsi="Times New Roman"/>
          <w:sz w:val="18"/>
          <w:szCs w:val="18"/>
          <w:color w:val="auto"/>
        </w:rPr>
      </w:pPr>
    </w:p>
    <w:p>
      <w:pPr>
        <w:ind w:firstLine="980"/>
        <w:spacing w:after="0" w:line="282" w:lineRule="auto"/>
        <w:tabs>
          <w:tab w:leader="none" w:pos="124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 of Placement Shares</w:t>
      </w:r>
      <w:r>
        <w:rPr>
          <w:rFonts w:ascii="Times New Roman" w:cs="Times New Roman" w:eastAsia="Times New Roman" w:hAnsi="Times New Roman"/>
          <w:sz w:val="18"/>
          <w:szCs w:val="18"/>
          <w:color w:val="auto"/>
        </w:rPr>
        <w:t>. Prior to the date of the first Placement Notice, the Company will use its reasonable best efforts to cause the Placement Shares to be listed on the Exchange.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4" w:name="page25"/>
    <w:bookmarkEnd w:id="24"/>
    <w:p>
      <w:pPr>
        <w:jc w:val="both"/>
        <w:ind w:firstLine="980"/>
        <w:spacing w:after="0" w:line="253" w:lineRule="auto"/>
        <w:tabs>
          <w:tab w:leader="none" w:pos="121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Registration Statement and Prospectus</w:t>
      </w:r>
      <w:r>
        <w:rPr>
          <w:rFonts w:ascii="Times New Roman" w:cs="Times New Roman" w:eastAsia="Times New Roman" w:hAnsi="Times New Roman"/>
          <w:sz w:val="18"/>
          <w:szCs w:val="18"/>
          <w:color w:val="auto"/>
        </w:rPr>
        <w:t xml:space="preserve">. The Company will furnish to the Agent and its counsel (at the expense of the Company) copies of the Registration Statement, the Prospectus (including all documents incorporated by reference therein) and all amendments and supplements to the Registration Statement or Prospectus that are filed with the Commission during any period in which a Prospectus relating to the Placement Shares is required to be delivered under the Securities Act (including all documents filed with the Commission during such period that are deemed to be incorporated by reference therein), in each case as soon as reasonably practicable and in such quantities as the Agent may from time to time reasonably request and, at the Agent’s request, will also furnish copies of the Prospectus to each exchange or market on which sales of the Placement Shares may be made;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shall not be required to furnish any document (other than the Prospectus) to the Agent to the extent such document is available on</w:t>
      </w:r>
    </w:p>
    <w:p>
      <w:pPr>
        <w:spacing w:after="0" w:line="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EDGAR.</w:t>
      </w:r>
    </w:p>
    <w:p>
      <w:pPr>
        <w:spacing w:after="0" w:line="206" w:lineRule="exact"/>
        <w:rPr>
          <w:rFonts w:ascii="Times New Roman" w:cs="Times New Roman" w:eastAsia="Times New Roman" w:hAnsi="Times New Roman"/>
          <w:sz w:val="18"/>
          <w:szCs w:val="18"/>
          <w:color w:val="auto"/>
        </w:rPr>
      </w:pPr>
    </w:p>
    <w:p>
      <w:pPr>
        <w:jc w:val="both"/>
        <w:ind w:firstLine="980"/>
        <w:spacing w:after="0" w:line="266" w:lineRule="auto"/>
        <w:tabs>
          <w:tab w:leader="none" w:pos="119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Earnings Statement</w:t>
      </w:r>
      <w:r>
        <w:rPr>
          <w:rFonts w:ascii="Times New Roman" w:cs="Times New Roman" w:eastAsia="Times New Roman" w:hAnsi="Times New Roman"/>
          <w:sz w:val="18"/>
          <w:szCs w:val="18"/>
          <w:color w:val="auto"/>
        </w:rPr>
        <w:t>. The Company will make generally available to its security holders as soon as practicable, but in any event not later than 15 months after the end of the Company’s current fiscal quarter, an earnings statement covering a 12-month period that satisfies the provisions of Section 11(a) and Rule 158 of the Securities Act.</w:t>
      </w:r>
    </w:p>
    <w:p>
      <w:pPr>
        <w:spacing w:after="0" w:line="176" w:lineRule="exact"/>
        <w:rPr>
          <w:rFonts w:ascii="Times New Roman" w:cs="Times New Roman" w:eastAsia="Times New Roman" w:hAnsi="Times New Roman"/>
          <w:sz w:val="18"/>
          <w:szCs w:val="18"/>
          <w:color w:val="auto"/>
        </w:rPr>
      </w:pPr>
    </w:p>
    <w:p>
      <w:pPr>
        <w:ind w:left="1240" w:hanging="260"/>
        <w:spacing w:after="0"/>
        <w:tabs>
          <w:tab w:leader="none" w:pos="12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Company will use the Net Proceeds as described in the Prospectus in the section entitled “Use of Proceeds.”</w:t>
      </w:r>
    </w:p>
    <w:p>
      <w:pPr>
        <w:spacing w:after="0" w:line="225" w:lineRule="exact"/>
        <w:rPr>
          <w:rFonts w:ascii="Times New Roman" w:cs="Times New Roman" w:eastAsia="Times New Roman" w:hAnsi="Times New Roman"/>
          <w:sz w:val="18"/>
          <w:szCs w:val="18"/>
          <w:color w:val="auto"/>
        </w:rPr>
      </w:pPr>
    </w:p>
    <w:p>
      <w:pPr>
        <w:jc w:val="both"/>
        <w:ind w:firstLine="980"/>
        <w:spacing w:after="0" w:line="252" w:lineRule="auto"/>
        <w:tabs>
          <w:tab w:leader="none" w:pos="122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Other Sales</w:t>
      </w:r>
      <w:r>
        <w:rPr>
          <w:rFonts w:ascii="Times New Roman" w:cs="Times New Roman" w:eastAsia="Times New Roman" w:hAnsi="Times New Roman"/>
          <w:sz w:val="18"/>
          <w:szCs w:val="18"/>
          <w:color w:val="auto"/>
        </w:rPr>
        <w:t xml:space="preserve">. Without the prior written consent of Agent, the Company will not, directly or indirectly, offer to sell, sell, contract to sell, grant any option to sell or otherwise dispose of any Common Stock (other than the Placement Shares offered pursuant to this Agreement) or securities convertible into or exchangeable for Common Stock, warrants or any rights to purchase or acquire, Common Stock during the period beginning on the fifth (5th) Trading Day immediately prior to the date on which any Placement Notice is delivered to Agent hereunder and ending on the fifth (5th) Trading Day immediately following the final Settlement Date with respect to Placement Shares sold pursuant to such Placement Notice (or, if the Placement Notice has been terminated or suspended prior to the sale of all Placement Shares covered by a Placement Notice, the date of such suspension or termination); and will not directly or indirectly in any other “at-the-market” or continuous equity transaction offer to sell, sell, contract to sell, grant any option to sell or otherwise dispose of any Common Stock (other than the Placement Shares offered pursuant to this Agreement) or securities convertible into or exchangeable for Common Stock, warrants or any rights to purchase or acquire, Common Stock prior to the later of the termination of this Agreement and the sixtieth (60th) day immediately following the final Settlement Date with respect to Placement Shares sold pursuant to such Placement Notice;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restrictions will not be required in connection with the Company’s issuance or sale of (i) Common Stock, options to purchase Common Stock or any other stock-based award or Common Stock issuable upon the exercise of options or any other stock-based award, pursuant to any employee or director stock option or benefits plan, stock ownership plan or dividend reinvestment plan (but not Common Stock subject to a waiver to exceed plan limits in its dividend reinvestment plan) of the Company whether now in effect or hereafter implemented, (ii) Common Stock issuable upon conversion of securities or the exercise of warrants, options or other rights in effect or outstanding, and disclosed in filings by the Company available on EDGAR or otherwise in writing to the Agent and (iii) Common Stock or securities convertible into or exchangeable for shares of Common Stock as consideration for mergers, acquisitions, other business combinations licensing agreements or strategic alliances or offered or sold in privately negotiated transactions with vendors, customers, licensors or licensees occurring after the date of this Agreement which are not issued for capital raising purposes.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5" w:name="page26"/>
    <w:bookmarkEnd w:id="25"/>
    <w:p>
      <w:pPr>
        <w:jc w:val="both"/>
        <w:ind w:firstLine="980"/>
        <w:spacing w:after="0" w:line="266" w:lineRule="auto"/>
        <w:tabs>
          <w:tab w:leader="none" w:pos="1187"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Circumstances</w:t>
      </w:r>
      <w:r>
        <w:rPr>
          <w:rFonts w:ascii="Times New Roman" w:cs="Times New Roman" w:eastAsia="Times New Roman" w:hAnsi="Times New Roman"/>
          <w:sz w:val="18"/>
          <w:szCs w:val="18"/>
          <w:color w:val="auto"/>
        </w:rPr>
        <w:t>. The Company will, at any time during the pendency of a Placement Notice advise the Agent promptly after it shall have received notice or obtained knowledge thereof, of any information or fact that would alter or affect in any material respect any opinion, certificate, letter or other document required to be provided to the Agent pursuant to this Agreement.</w:t>
      </w:r>
    </w:p>
    <w:p>
      <w:pPr>
        <w:spacing w:after="0" w:line="176" w:lineRule="exact"/>
        <w:rPr>
          <w:rFonts w:ascii="Times New Roman" w:cs="Times New Roman" w:eastAsia="Times New Roman" w:hAnsi="Times New Roman"/>
          <w:sz w:val="18"/>
          <w:szCs w:val="18"/>
          <w:color w:val="auto"/>
        </w:rPr>
      </w:pPr>
    </w:p>
    <w:p>
      <w:pPr>
        <w:jc w:val="both"/>
        <w:ind w:firstLine="980"/>
        <w:spacing w:after="0" w:line="266" w:lineRule="auto"/>
        <w:tabs>
          <w:tab w:leader="none" w:pos="1228"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Due Diligence Cooperation</w:t>
      </w:r>
      <w:r>
        <w:rPr>
          <w:rFonts w:ascii="Times New Roman" w:cs="Times New Roman" w:eastAsia="Times New Roman" w:hAnsi="Times New Roman"/>
          <w:sz w:val="18"/>
          <w:szCs w:val="18"/>
          <w:color w:val="auto"/>
        </w:rPr>
        <w:t>. The Company will cooperate with any reasonable due diligence review conducted by the Agent or its representatives in connection with the transactions contemplated hereby, including, without limitation, providing information and making available documents and senior corporate officers, during regular business hours and at the Company’s principal offices, as the Agent may reasonably request.</w:t>
      </w:r>
    </w:p>
    <w:p>
      <w:pPr>
        <w:spacing w:after="0" w:line="176" w:lineRule="exact"/>
        <w:rPr>
          <w:rFonts w:ascii="Times New Roman" w:cs="Times New Roman" w:eastAsia="Times New Roman" w:hAnsi="Times New Roman"/>
          <w:sz w:val="18"/>
          <w:szCs w:val="18"/>
          <w:color w:val="auto"/>
        </w:rPr>
      </w:pPr>
    </w:p>
    <w:p>
      <w:pPr>
        <w:jc w:val="both"/>
        <w:ind w:firstLine="980"/>
        <w:spacing w:after="0" w:line="255" w:lineRule="auto"/>
        <w:tabs>
          <w:tab w:leader="none" w:pos="1227"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Required Filings Relating to Placement of Placement Shares</w:t>
      </w:r>
      <w:r>
        <w:rPr>
          <w:rFonts w:ascii="Times New Roman" w:cs="Times New Roman" w:eastAsia="Times New Roman" w:hAnsi="Times New Roman"/>
          <w:sz w:val="18"/>
          <w:szCs w:val="18"/>
          <w:color w:val="auto"/>
        </w:rPr>
        <w:t>. The Company agrees that on such dates as the Securities Act shall require the filing of a prospectus supplement with respect to the sale of Placement Shares hereunder, the Company will (i) file a prospectus supplement with the Commission under the applicable paragraph of Rule 424(b) under the Securities Act (each and every filing date under Rule 424(b), a “</w:t>
      </w:r>
      <w:r>
        <w:rPr>
          <w:rFonts w:ascii="Times New Roman" w:cs="Times New Roman" w:eastAsia="Times New Roman" w:hAnsi="Times New Roman"/>
          <w:sz w:val="18"/>
          <w:szCs w:val="18"/>
          <w:b w:val="1"/>
          <w:bCs w:val="1"/>
          <w:u w:val="single" w:color="auto"/>
          <w:color w:val="auto"/>
        </w:rPr>
        <w:t>Filing Date</w:t>
      </w:r>
      <w:r>
        <w:rPr>
          <w:rFonts w:ascii="Times New Roman" w:cs="Times New Roman" w:eastAsia="Times New Roman" w:hAnsi="Times New Roman"/>
          <w:sz w:val="18"/>
          <w:szCs w:val="18"/>
          <w:color w:val="auto"/>
        </w:rPr>
        <w:t>”), which prospectus supplement will set forth, within the relevant period, the amount of Placement Shares sold through the Agent, the Net Proceeds to the Company and the compensation payable by the Company to the Agent with respect to such Placement Shares, and (ii) deliver such number of copies of each such prospectus supplement to each exchange or market on which such sales were effected as may be required by the rules or regulations of such exchange or market.</w:t>
      </w:r>
    </w:p>
    <w:p>
      <w:pPr>
        <w:spacing w:after="0" w:line="189" w:lineRule="exact"/>
        <w:rPr>
          <w:rFonts w:ascii="Times New Roman" w:cs="Times New Roman" w:eastAsia="Times New Roman" w:hAnsi="Times New Roman"/>
          <w:sz w:val="18"/>
          <w:szCs w:val="18"/>
          <w:color w:val="auto"/>
        </w:rPr>
      </w:pPr>
    </w:p>
    <w:p>
      <w:pPr>
        <w:ind w:left="1200" w:hanging="220"/>
        <w:spacing w:after="0"/>
        <w:tabs>
          <w:tab w:leader="none" w:pos="12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 Dates; Certificate</w:t>
      </w:r>
      <w:r>
        <w:rPr>
          <w:rFonts w:ascii="Times New Roman" w:cs="Times New Roman" w:eastAsia="Times New Roman" w:hAnsi="Times New Roman"/>
          <w:sz w:val="18"/>
          <w:szCs w:val="18"/>
          <w:color w:val="auto"/>
        </w:rPr>
        <w:t>. (1) Prior to the date of the first Placement Notice and (2) each time the Company:</w:t>
      </w:r>
    </w:p>
    <w:p>
      <w:pPr>
        <w:spacing w:after="0" w:line="225" w:lineRule="exact"/>
        <w:rPr>
          <w:rFonts w:ascii="Times New Roman" w:cs="Times New Roman" w:eastAsia="Times New Roman" w:hAnsi="Times New Roman"/>
          <w:sz w:val="18"/>
          <w:szCs w:val="18"/>
          <w:color w:val="auto"/>
        </w:rPr>
      </w:pPr>
    </w:p>
    <w:p>
      <w:pPr>
        <w:jc w:val="both"/>
        <w:ind w:left="660" w:hanging="4"/>
        <w:spacing w:after="0" w:line="261" w:lineRule="auto"/>
        <w:tabs>
          <w:tab w:leader="none" w:pos="8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files the Prospectus relating to the Placement Shares or amends or supplements (other than a prospectus supplement relating solely to an offering of securities other than the Placement Shares) the Registration Statement or the Prospectus relating to the Placement Shares by means of a post-effective amendment, sticker, or supplement but not by means of incorporation of documents by reference into the Registration Statement or the Prospectus relating to the Placement Shares;</w:t>
      </w:r>
    </w:p>
    <w:p>
      <w:pPr>
        <w:spacing w:after="0" w:line="180" w:lineRule="exact"/>
        <w:rPr>
          <w:rFonts w:ascii="Times New Roman" w:cs="Times New Roman" w:eastAsia="Times New Roman" w:hAnsi="Times New Roman"/>
          <w:sz w:val="18"/>
          <w:szCs w:val="18"/>
          <w:color w:val="auto"/>
        </w:rPr>
      </w:pPr>
    </w:p>
    <w:p>
      <w:pPr>
        <w:ind w:left="660" w:hanging="4"/>
        <w:spacing w:after="0" w:line="282" w:lineRule="auto"/>
        <w:tabs>
          <w:tab w:leader="none" w:pos="95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files an annual report on Form 10-K under the Exchange Act (including any Form 10-K/A containing amended financial information or a material amendment to the previously filed Form 10-K);</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files its quarterly reports on Form 10-Q under the Exchange Act; or</w:t>
      </w:r>
    </w:p>
    <w:p>
      <w:pPr>
        <w:spacing w:after="0" w:line="225" w:lineRule="exact"/>
        <w:rPr>
          <w:rFonts w:ascii="Times New Roman" w:cs="Times New Roman" w:eastAsia="Times New Roman" w:hAnsi="Times New Roman"/>
          <w:sz w:val="18"/>
          <w:szCs w:val="18"/>
          <w:color w:val="auto"/>
        </w:rPr>
      </w:pPr>
    </w:p>
    <w:p>
      <w:pPr>
        <w:jc w:val="both"/>
        <w:ind w:left="660" w:hanging="4"/>
        <w:spacing w:after="0" w:line="261" w:lineRule="auto"/>
        <w:tabs>
          <w:tab w:leader="none" w:pos="97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files a current report on Form 8-K containing amended financial information (other than information “furnished” pursuant to Items 2.02 or 7.01 of Form 8-K or to provide disclosure pursuant to Item 8.01 of Form 8-K relating to the reclassification of certain properties as discontinued operations in accordance with Statement of Financial Accounting Standards No. 144) under the Exchange Act (each date of filing of one or more of the documents referred to in clauses (i) through (iv) shall be a “</w:t>
      </w:r>
      <w:r>
        <w:rPr>
          <w:rFonts w:ascii="Times New Roman" w:cs="Times New Roman" w:eastAsia="Times New Roman" w:hAnsi="Times New Roman"/>
          <w:sz w:val="18"/>
          <w:szCs w:val="18"/>
          <w:b w:val="1"/>
          <w:bCs w:val="1"/>
          <w:u w:val="single" w:color="auto"/>
          <w:color w:val="auto"/>
        </w:rPr>
        <w:t>Representation Date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6" w:name="page27"/>
    <w:bookmarkEnd w:id="26"/>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Company shall furnish the Agent (but in the case of clause (iv) above only if the Agent reasonably determines that the information contained in such Form 8-K is material) with a certificate dated the Representation Date, in the form and substance satisfactory to the Agent and its counsel, substantially similar to the form previously provided to the Agent and its counsel, modified, as necessary, to relate to the Registration Statement and the Prospectus as amended or supplemented. The requirement to provide a certificate under this </w:t>
      </w:r>
      <w:r>
        <w:rPr>
          <w:rFonts w:ascii="Times New Roman" w:cs="Times New Roman" w:eastAsia="Times New Roman" w:hAnsi="Times New Roman"/>
          <w:sz w:val="18"/>
          <w:szCs w:val="18"/>
          <w:u w:val="single" w:color="auto"/>
          <w:color w:val="auto"/>
        </w:rPr>
        <w:t>Section 7(l)</w:t>
      </w:r>
      <w:r>
        <w:rPr>
          <w:rFonts w:ascii="Times New Roman" w:cs="Times New Roman" w:eastAsia="Times New Roman" w:hAnsi="Times New Roman"/>
          <w:sz w:val="18"/>
          <w:szCs w:val="18"/>
          <w:color w:val="auto"/>
        </w:rPr>
        <w:t xml:space="preserve"> shall be waived for any Representation Date occurring at a time a Suspension is in effect, which waiver shall continue until the earlier to occur of the date the Company delivers instructions for the sale of Placement Shares hereunder (which for such calendar quarter shall be considered a Representation Date) and the next occurring Representation Date. Notwithstanding the foregoing, if the Company subsequently decides to sell Placement Shares following a Representation Date when a Suspension was in effect and did not provide the Agent with a certificate under this </w:t>
      </w:r>
      <w:r>
        <w:rPr>
          <w:rFonts w:ascii="Times New Roman" w:cs="Times New Roman" w:eastAsia="Times New Roman" w:hAnsi="Times New Roman"/>
          <w:sz w:val="18"/>
          <w:szCs w:val="18"/>
          <w:u w:val="single" w:color="auto"/>
          <w:color w:val="auto"/>
        </w:rPr>
        <w:t>Section 7(l)</w:t>
      </w:r>
      <w:r>
        <w:rPr>
          <w:rFonts w:ascii="Times New Roman" w:cs="Times New Roman" w:eastAsia="Times New Roman" w:hAnsi="Times New Roman"/>
          <w:sz w:val="18"/>
          <w:szCs w:val="18"/>
          <w:color w:val="auto"/>
        </w:rPr>
        <w:t xml:space="preserve">, then before the Company delivers the instructions for the sale of Placement Shares or the Agent sells any Placement Shares pursuant to such instructions, the Company shall provide the Agent with a certificate in conformity with this </w:t>
      </w:r>
      <w:r>
        <w:rPr>
          <w:rFonts w:ascii="Times New Roman" w:cs="Times New Roman" w:eastAsia="Times New Roman" w:hAnsi="Times New Roman"/>
          <w:sz w:val="18"/>
          <w:szCs w:val="18"/>
          <w:u w:val="single" w:color="auto"/>
          <w:color w:val="auto"/>
        </w:rPr>
        <w:t>Section 7(l)</w:t>
      </w:r>
      <w:r>
        <w:rPr>
          <w:rFonts w:ascii="Times New Roman" w:cs="Times New Roman" w:eastAsia="Times New Roman" w:hAnsi="Times New Roman"/>
          <w:sz w:val="18"/>
          <w:szCs w:val="18"/>
          <w:color w:val="auto"/>
        </w:rPr>
        <w:t xml:space="preserve"> dated as of the date that the instructions for the sale of Placement Shares are issued.</w:t>
      </w:r>
    </w:p>
    <w:p>
      <w:pPr>
        <w:spacing w:after="0" w:line="186" w:lineRule="exact"/>
        <w:rPr>
          <w:sz w:val="20"/>
          <w:szCs w:val="20"/>
          <w:color w:val="auto"/>
        </w:rPr>
      </w:pPr>
    </w:p>
    <w:p>
      <w:pPr>
        <w:jc w:val="both"/>
        <w:ind w:firstLine="980"/>
        <w:spacing w:after="0" w:line="254" w:lineRule="auto"/>
        <w:tabs>
          <w:tab w:leader="none" w:pos="129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Opinion</w:t>
      </w:r>
      <w:r>
        <w:rPr>
          <w:rFonts w:ascii="Times New Roman" w:cs="Times New Roman" w:eastAsia="Times New Roman" w:hAnsi="Times New Roman"/>
          <w:sz w:val="18"/>
          <w:szCs w:val="18"/>
          <w:color w:val="auto"/>
        </w:rPr>
        <w:t xml:space="preserve">. (1) Prior to the date of the first Placement Notice and (2) within five (5) Trading Days of each Representation Date with respect to which the Company is obligated to deliver a certificate pursuant to </w:t>
      </w:r>
      <w:r>
        <w:rPr>
          <w:rFonts w:ascii="Times New Roman" w:cs="Times New Roman" w:eastAsia="Times New Roman" w:hAnsi="Times New Roman"/>
          <w:sz w:val="18"/>
          <w:szCs w:val="18"/>
          <w:u w:val="single" w:color="auto"/>
          <w:color w:val="auto"/>
        </w:rPr>
        <w:t>Section 7(l)</w:t>
      </w:r>
      <w:r>
        <w:rPr>
          <w:rFonts w:ascii="Times New Roman" w:cs="Times New Roman" w:eastAsia="Times New Roman" w:hAnsi="Times New Roman"/>
          <w:sz w:val="18"/>
          <w:szCs w:val="18"/>
          <w:color w:val="auto"/>
        </w:rPr>
        <w:t xml:space="preserve"> for which no waiver is applicable and excluding the date of this Agreement, the Company shall cause to be furnished to the Agent a written opinion of Morrison &amp; Foerster LLP (“</w:t>
      </w:r>
      <w:r>
        <w:rPr>
          <w:rFonts w:ascii="Times New Roman" w:cs="Times New Roman" w:eastAsia="Times New Roman" w:hAnsi="Times New Roman"/>
          <w:sz w:val="18"/>
          <w:szCs w:val="18"/>
          <w:b w:val="1"/>
          <w:bCs w:val="1"/>
          <w:u w:val="single" w:color="auto"/>
          <w:color w:val="auto"/>
        </w:rPr>
        <w:t>Company Counsel</w:t>
      </w:r>
      <w:r>
        <w:rPr>
          <w:rFonts w:ascii="Times New Roman" w:cs="Times New Roman" w:eastAsia="Times New Roman" w:hAnsi="Times New Roman"/>
          <w:sz w:val="18"/>
          <w:szCs w:val="18"/>
          <w:color w:val="auto"/>
        </w:rPr>
        <w:t xml:space="preserve">”), or other counsel satisfactory to the Agent, in form and substance satisfactory to Agent and its counsel, substantially similar to the form previously provided to the Agent and its counsel, modified, as necessary, to relate to the Registration Statement and the Prospectus as then amended or supplemented;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the Company shall be required to furnish to Agent no more than one opinion hereunder per calendar quarter;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in lieu of such opinions for subsequent periodic filings under the Exchange Act, counsel may furnish the Agent with a letter (a “</w:t>
      </w:r>
      <w:r>
        <w:rPr>
          <w:rFonts w:ascii="Times New Roman" w:cs="Times New Roman" w:eastAsia="Times New Roman" w:hAnsi="Times New Roman"/>
          <w:sz w:val="18"/>
          <w:szCs w:val="18"/>
          <w:b w:val="1"/>
          <w:bCs w:val="1"/>
          <w:u w:val="single" w:color="auto"/>
          <w:color w:val="auto"/>
        </w:rPr>
        <w:t>Reliance Letter</w:t>
      </w:r>
      <w:r>
        <w:rPr>
          <w:rFonts w:ascii="Times New Roman" w:cs="Times New Roman" w:eastAsia="Times New Roman" w:hAnsi="Times New Roman"/>
          <w:sz w:val="18"/>
          <w:szCs w:val="18"/>
          <w:color w:val="auto"/>
        </w:rPr>
        <w:t xml:space="preserve">”) to the effect that the Agent may rely on a prior opinion delivered under this </w:t>
      </w:r>
      <w:r>
        <w:rPr>
          <w:rFonts w:ascii="Times New Roman" w:cs="Times New Roman" w:eastAsia="Times New Roman" w:hAnsi="Times New Roman"/>
          <w:sz w:val="18"/>
          <w:szCs w:val="18"/>
          <w:u w:val="single" w:color="auto"/>
          <w:color w:val="auto"/>
        </w:rPr>
        <w:t>Section 7(m)</w:t>
      </w:r>
      <w:r>
        <w:rPr>
          <w:rFonts w:ascii="Times New Roman" w:cs="Times New Roman" w:eastAsia="Times New Roman" w:hAnsi="Times New Roman"/>
          <w:sz w:val="18"/>
          <w:szCs w:val="18"/>
          <w:color w:val="auto"/>
        </w:rPr>
        <w:t xml:space="preserve"> to the same extent as if it were dated the date of such letter (except that statements in such prior opinion shall be deemed to relate to the Registration Statement and the Prospectus as amended or supplemented as of the date of the Reliance Letter).</w:t>
      </w:r>
    </w:p>
    <w:p>
      <w:pPr>
        <w:spacing w:after="0" w:line="189" w:lineRule="exact"/>
        <w:rPr>
          <w:rFonts w:ascii="Times New Roman" w:cs="Times New Roman" w:eastAsia="Times New Roman" w:hAnsi="Times New Roman"/>
          <w:sz w:val="18"/>
          <w:szCs w:val="18"/>
          <w:color w:val="auto"/>
        </w:rPr>
      </w:pPr>
    </w:p>
    <w:p>
      <w:pPr>
        <w:jc w:val="both"/>
        <w:ind w:firstLine="980"/>
        <w:spacing w:after="0" w:line="253" w:lineRule="auto"/>
        <w:tabs>
          <w:tab w:leader="none" w:pos="124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Comfort Letter</w:t>
      </w:r>
      <w:r>
        <w:rPr>
          <w:rFonts w:ascii="Times New Roman" w:cs="Times New Roman" w:eastAsia="Times New Roman" w:hAnsi="Times New Roman"/>
          <w:sz w:val="18"/>
          <w:szCs w:val="18"/>
          <w:color w:val="auto"/>
        </w:rPr>
        <w:t xml:space="preserve">. (1) Prior to the date of the first Placement Notice and (2) within five (5) Trading Days of each Representation Date with respect to which the Company is obligated to deliver a certificate pursuant to </w:t>
      </w:r>
      <w:r>
        <w:rPr>
          <w:rFonts w:ascii="Times New Roman" w:cs="Times New Roman" w:eastAsia="Times New Roman" w:hAnsi="Times New Roman"/>
          <w:sz w:val="18"/>
          <w:szCs w:val="18"/>
          <w:u w:val="single" w:color="auto"/>
          <w:color w:val="auto"/>
        </w:rPr>
        <w:t>Section 7(l)</w:t>
      </w:r>
      <w:r>
        <w:rPr>
          <w:rFonts w:ascii="Times New Roman" w:cs="Times New Roman" w:eastAsia="Times New Roman" w:hAnsi="Times New Roman"/>
          <w:sz w:val="18"/>
          <w:szCs w:val="18"/>
          <w:color w:val="auto"/>
        </w:rPr>
        <w:t xml:space="preserve"> for which no waiver is applicable and excluding the date of this Agreement, the Company shall cause its independent registered public accounting firm to furnish the Agent letters (the “</w:t>
      </w:r>
      <w:r>
        <w:rPr>
          <w:rFonts w:ascii="Times New Roman" w:cs="Times New Roman" w:eastAsia="Times New Roman" w:hAnsi="Times New Roman"/>
          <w:sz w:val="18"/>
          <w:szCs w:val="18"/>
          <w:b w:val="1"/>
          <w:bCs w:val="1"/>
          <w:u w:val="single" w:color="auto"/>
          <w:color w:val="auto"/>
        </w:rPr>
        <w:t>Comfort Letters</w:t>
      </w:r>
      <w:r>
        <w:rPr>
          <w:rFonts w:ascii="Times New Roman" w:cs="Times New Roman" w:eastAsia="Times New Roman" w:hAnsi="Times New Roman"/>
          <w:sz w:val="18"/>
          <w:szCs w:val="18"/>
          <w:color w:val="auto"/>
        </w:rPr>
        <w:t xml:space="preserve">”), dated the date the Comfort Letter is delivered, which shall meet the requirements set forth in this </w:t>
      </w:r>
      <w:r>
        <w:rPr>
          <w:rFonts w:ascii="Times New Roman" w:cs="Times New Roman" w:eastAsia="Times New Roman" w:hAnsi="Times New Roman"/>
          <w:sz w:val="18"/>
          <w:szCs w:val="18"/>
          <w:u w:val="single" w:color="auto"/>
          <w:color w:val="auto"/>
        </w:rPr>
        <w:t>Section 7(n)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if requested by the Agent, the Company shall cause a Comfort Letter to be furnished to the Agent within ten (10) Trading Days of the date of occurrence of any material transaction or event requiring the filing of a Current Report on Form 8-K containing material financial information, including the restatement of the Company’s financial statements. The Comfort Letter from the Company’s independent registered public accounting firm shall be in a form and substance reasonably satisfactory to the Agent, (i) confirming that they are an independent registered public accounting firm within the meaning of the Securities Act and the PCAOB, (ii) stating, as of such date, the conclusions and findings of such firm with respect to the financial information and other matters ordinarily covered by accountants’ “comfort letters” to underwriters in connection with registered public offerings (the first such letter, the “</w:t>
      </w:r>
      <w:r>
        <w:rPr>
          <w:rFonts w:ascii="Times New Roman" w:cs="Times New Roman" w:eastAsia="Times New Roman" w:hAnsi="Times New Roman"/>
          <w:sz w:val="18"/>
          <w:szCs w:val="18"/>
          <w:b w:val="1"/>
          <w:bCs w:val="1"/>
          <w:u w:val="single" w:color="auto"/>
          <w:color w:val="auto"/>
        </w:rPr>
        <w:t>Initial Comfort Letter</w:t>
      </w:r>
      <w:r>
        <w:rPr>
          <w:rFonts w:ascii="Times New Roman" w:cs="Times New Roman" w:eastAsia="Times New Roman" w:hAnsi="Times New Roman"/>
          <w:sz w:val="18"/>
          <w:szCs w:val="18"/>
          <w:color w:val="auto"/>
        </w:rPr>
        <w:t>”) and (iii) updating the Initial Comfort Letter with any information that would have been included in the Initial Comfort Letter had it been given on such date and modified as necessary to relate to the Registration Statement and the Prospectus, as amended and supplemented to the date of such letter.</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7" w:name="page28"/>
    <w:bookmarkEnd w:id="27"/>
    <w:p>
      <w:pPr>
        <w:jc w:val="both"/>
        <w:ind w:firstLine="980"/>
        <w:spacing w:after="0" w:line="261" w:lineRule="auto"/>
        <w:tabs>
          <w:tab w:leader="none" w:pos="122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Market Activities</w:t>
      </w:r>
      <w:r>
        <w:rPr>
          <w:rFonts w:ascii="Times New Roman" w:cs="Times New Roman" w:eastAsia="Times New Roman" w:hAnsi="Times New Roman"/>
          <w:sz w:val="18"/>
          <w:szCs w:val="18"/>
          <w:color w:val="auto"/>
        </w:rPr>
        <w:t>. The Company will not, directly or indirectly, (i) take any action designed to cause or result in, or that constitutes or might reasonably be expected to constitute, the stabilization or manipulation of the price of any security of the Company to facilitate the sale or resale of Common Stock or (ii) sell, bid for, or purchase Common Stock in violation of Regulation M, or pay anyone any compensation for soliciting purchases of the Placement Shares other than the Agent.</w:t>
      </w:r>
    </w:p>
    <w:p>
      <w:pPr>
        <w:spacing w:after="0" w:line="180" w:lineRule="exact"/>
        <w:rPr>
          <w:rFonts w:ascii="Times New Roman" w:cs="Times New Roman" w:eastAsia="Times New Roman" w:hAnsi="Times New Roman"/>
          <w:sz w:val="18"/>
          <w:szCs w:val="18"/>
          <w:color w:val="auto"/>
        </w:rPr>
      </w:pPr>
    </w:p>
    <w:p>
      <w:pPr>
        <w:jc w:val="both"/>
        <w:ind w:firstLine="980"/>
        <w:spacing w:after="0" w:line="266" w:lineRule="auto"/>
        <w:tabs>
          <w:tab w:leader="none" w:pos="124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The Company will conduct its affairs in such a manner so as to reasonably ensure that neither it nor any of its Subsidiaries will be or become, at any time prior to the termination of this Agreement, required to register as an “investment company,” as such term is defined in the Investment Company Act.</w:t>
      </w:r>
    </w:p>
    <w:p>
      <w:pPr>
        <w:spacing w:after="0" w:line="176" w:lineRule="exact"/>
        <w:rPr>
          <w:rFonts w:ascii="Times New Roman" w:cs="Times New Roman" w:eastAsia="Times New Roman" w:hAnsi="Times New Roman"/>
          <w:sz w:val="18"/>
          <w:szCs w:val="18"/>
          <w:color w:val="auto"/>
        </w:rPr>
      </w:pPr>
    </w:p>
    <w:p>
      <w:pPr>
        <w:jc w:val="both"/>
        <w:ind w:firstLine="980"/>
        <w:spacing w:after="0" w:line="261" w:lineRule="auto"/>
        <w:tabs>
          <w:tab w:leader="none" w:pos="122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Offer to Sell</w:t>
      </w:r>
      <w:r>
        <w:rPr>
          <w:rFonts w:ascii="Times New Roman" w:cs="Times New Roman" w:eastAsia="Times New Roman" w:hAnsi="Times New Roman"/>
          <w:sz w:val="18"/>
          <w:szCs w:val="18"/>
          <w:color w:val="auto"/>
        </w:rPr>
        <w:t>. Other than an Issuer Free Writing Prospectus approved in advance by the Company and the Agent in its capacity as agent hereunder, neither the Agent nor the Company (including its agents and representatives, other than the Agent in its capacity as such) will make, use, prepare, authorize, approve or refer to any written communication (as defined in Rule 405 under the Securities Act), required to be filed with the Commission, that constitutes an offer to sell or solicitation of an offer to buy Placement Shares hereunder.</w:t>
      </w:r>
    </w:p>
    <w:p>
      <w:pPr>
        <w:spacing w:after="0" w:line="178" w:lineRule="exact"/>
        <w:rPr>
          <w:rFonts w:ascii="Times New Roman" w:cs="Times New Roman" w:eastAsia="Times New Roman" w:hAnsi="Times New Roman"/>
          <w:sz w:val="18"/>
          <w:szCs w:val="18"/>
          <w:color w:val="auto"/>
        </w:rPr>
      </w:pPr>
    </w:p>
    <w:p>
      <w:pPr>
        <w:jc w:val="both"/>
        <w:ind w:firstLine="980"/>
        <w:spacing w:after="0" w:line="254" w:lineRule="auto"/>
        <w:tabs>
          <w:tab w:leader="none" w:pos="119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Blue Sky and Other Qualifications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will use its commercially reasonable efforts, in cooperation with the Agent, to qualify the Placement Shares for offering and sale, or to obtain an exemption for the Placement Shares to be offered and sold, under the applicable securities laws of such states and other jurisdictions (domestic or foreign) as the Agent may designate and to maintain such qualifications and exemptions in effect for so long as required for the distribution of the Placement Shares (but in no event for less than one year from the date of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 In each jurisdiction in which the Placement Shares have been so qualified or exempt, the Company will file such statements and reports as may be required by the laws of such jurisdiction to continue such qualification or exemption, as the case may be, in effect for so long as required for the distribution of the Placement Shares (but in no event for less than one year from the date of this Agreement).</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8" w:name="page29"/>
    <w:bookmarkEnd w:id="28"/>
    <w:p>
      <w:pPr>
        <w:jc w:val="both"/>
        <w:ind w:firstLine="980"/>
        <w:spacing w:after="0" w:line="252" w:lineRule="auto"/>
        <w:tabs>
          <w:tab w:leader="none" w:pos="123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The Company and the Subsidiaries will maintain and keep accurate books and records reflecting their assets and maintain internal accounting controls in a manner designed to provide reasonable assurance regarding the reliability of financial reporting and the preparation of financial statements for external purposes in accordance with generally accepted accounting principles and including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the preparation of the Company’s consolidated financial statements in accordance with generally accepted accounting principles, (iii) that receipts and expenditures of the Company are being made only in accordance with management’s and the Company’s directors’ authorization, and (iv) provide reasonable assurance regarding prevention or timely detection of unauthorized acquisition, use or disposition of the Company’s assets that could have a material effect on its financial statements. The Company and the Subsidiaries will maintain such controls and other procedures, including, without limitation, those required by Sections 302 and 906 of the Sarbanes-Oxley Act, and the applicable regulations thereunder that are designed to ensure that information required to be disclosed by the Company in the reports that it files or submits under the Exchange Act is recorded, processed, summarized and reported, within the time periods specified in the Commission’s rules and forms, including, without limitation, controls and procedures designed to ensure that information required to be disclosed by the Company in the reports that it files or submits under the Exchange Act is accumulated and communicated to the Company’s management, including its principal executive officer and principal financial officer, or persons performing similar functions, as appropriate to allow timely decisions regarding required disclosure and to ensure that material information relating to the Company or the Subsidiaries is made known to them by others within those entities, particularly during the period in which such periodic reports are being prepared.</w:t>
      </w:r>
    </w:p>
    <w:p>
      <w:pPr>
        <w:spacing w:after="0" w:line="196" w:lineRule="exact"/>
        <w:rPr>
          <w:rFonts w:ascii="Times New Roman" w:cs="Times New Roman" w:eastAsia="Times New Roman" w:hAnsi="Times New Roman"/>
          <w:sz w:val="18"/>
          <w:szCs w:val="18"/>
          <w:color w:val="auto"/>
        </w:rPr>
      </w:pPr>
    </w:p>
    <w:p>
      <w:pPr>
        <w:jc w:val="both"/>
        <w:ind w:firstLine="980"/>
        <w:spacing w:after="0" w:line="255" w:lineRule="auto"/>
        <w:tabs>
          <w:tab w:leader="none" w:pos="1187"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Secretary’s Certificate; Further Documentation</w:t>
      </w:r>
      <w:r>
        <w:rPr>
          <w:rFonts w:ascii="Times New Roman" w:cs="Times New Roman" w:eastAsia="Times New Roman" w:hAnsi="Times New Roman"/>
          <w:sz w:val="18"/>
          <w:szCs w:val="18"/>
          <w:color w:val="auto"/>
        </w:rPr>
        <w:t>. On or prior to the date of the first Placement Notice, the Company shall deliver to the Agent a certificate of the Secretary of the Company and attested to by an executive officer of the Company, dated as of such date, certifying as to (i) the Certificate of Incorporation of the Company, (ii) the By-laws of the Company, (iii) the resolutions of the Board of Directors of the Company or a duly authorized committee of the Board of Directors authorizing the execution, delivery and performance of this Agreement and the issuance of the Placement Shares and (iv) the incumbency of the officers duly authorized to execute this Agreement and the other documents contemplated by this Agreement. Within five (5) Trading Days of each Representation Date, the Company shall have furnished to the Agent such further information, certificates and documents as the Agent may reasonably request.</w:t>
      </w:r>
    </w:p>
    <w:p>
      <w:pPr>
        <w:spacing w:after="0" w:line="189" w:lineRule="exact"/>
        <w:rPr>
          <w:rFonts w:ascii="Times New Roman" w:cs="Times New Roman" w:eastAsia="Times New Roman" w:hAnsi="Times New Roman"/>
          <w:sz w:val="18"/>
          <w:szCs w:val="18"/>
          <w:color w:val="auto"/>
        </w:rPr>
      </w:pPr>
    </w:p>
    <w:p>
      <w:pPr>
        <w:jc w:val="both"/>
        <w:ind w:firstLine="656"/>
        <w:spacing w:after="0" w:line="252" w:lineRule="auto"/>
        <w:tabs>
          <w:tab w:leader="none" w:pos="82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Expenses</w:t>
      </w:r>
      <w:r>
        <w:rPr>
          <w:rFonts w:ascii="Times New Roman" w:cs="Times New Roman" w:eastAsia="Times New Roman" w:hAnsi="Times New Roman"/>
          <w:sz w:val="18"/>
          <w:szCs w:val="18"/>
          <w:color w:val="auto"/>
        </w:rPr>
        <w:t xml:space="preserve">. The Company will pay all expenses incident to the performance of its obligations under this Agreement, including (i) the preparation and filing of the Registration Statement, including any fees required by the Commission, and the printing or electronic delivery of the Prospectus as originally filed and of each amendment and supplement thereto, in such number as the Agent shall deem necessary, (ii) the printing and delivery to the Agent of this Agreement and such other documents as may be required in connection with the offering, purchase, sale, issuance or delivery of the Placement Shares, (iii) the preparation, issuance and delivery of the certificates, if any, for the Placement Shares to the Agent, including any stock or other transfer taxes and any capital duties, stamp duties or other duties or taxes payable upon the sale, issuance or delivery of the Placement Shares to the Agent, (iv) the fees and disbursements of the counsel, accountants and other advisors to the Company, (v) the reasonable and documented fees and expenses of Agent including but not limited to the fees and expenses of the counsel to the Agent, payable upon the execution of this Agreement, in an amount not to exceed $50,000, (vi) the qualification or exemption of the Placement Shares under state securities laws in accordance with the provisions of </w:t>
      </w:r>
      <w:r>
        <w:rPr>
          <w:rFonts w:ascii="Times New Roman" w:cs="Times New Roman" w:eastAsia="Times New Roman" w:hAnsi="Times New Roman"/>
          <w:sz w:val="18"/>
          <w:szCs w:val="18"/>
          <w:u w:val="single" w:color="auto"/>
          <w:color w:val="auto"/>
        </w:rPr>
        <w:t>Section 7(r)</w:t>
      </w:r>
      <w:r>
        <w:rPr>
          <w:rFonts w:ascii="Times New Roman" w:cs="Times New Roman" w:eastAsia="Times New Roman" w:hAnsi="Times New Roman"/>
          <w:sz w:val="18"/>
          <w:szCs w:val="18"/>
          <w:color w:val="auto"/>
        </w:rPr>
        <w:t xml:space="preserve"> hereof, including filing fees, but excluding fees of the Agent’s counsel, (vii) the printing and delivery to the Agent of copies of any Permitted Issuer Free Writing Prospectus and the Prospectus and any amendments or supplements thereto in such number as the Agent shall deem reasonably necessary, (viii) the preparation, printing and delivery to the Agent of copies of the blue sky survey, (ix) the fees and expenses of the transfer agent and registrar for the Common Stock, (x) the filing and other fees incident to any review by FINRA of the terms of the sale of the Placement Shares including the fees of the Agent’s counsel (subject to the cap, set forth in clause (v) above), and (xi) the fees and expenses incurred in connection with the listing of the Placement Shares on the Exchange.</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9" w:name="page30"/>
    <w:bookmarkEnd w:id="29"/>
    <w:p>
      <w:pPr>
        <w:jc w:val="both"/>
        <w:ind w:firstLine="656"/>
        <w:spacing w:after="0" w:line="256" w:lineRule="auto"/>
        <w:tabs>
          <w:tab w:leader="none" w:pos="82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Covenants of Agent</w:t>
      </w:r>
      <w:r>
        <w:rPr>
          <w:rFonts w:ascii="Times New Roman" w:cs="Times New Roman" w:eastAsia="Times New Roman" w:hAnsi="Times New Roman"/>
          <w:sz w:val="18"/>
          <w:szCs w:val="18"/>
          <w:color w:val="auto"/>
        </w:rPr>
        <w:t>. Agent represents and warrants that it is duly registered as a broker-dealer under FINRA, the Exchange Act and the applicable statutes and regulations of each state in which the Placement Shares will be offered and sold, except such states in which Agent is exempt from registration or such registration is not otherwise required. Agent shall continue, for the term of this Agreement, to be duly registered as a broker-dealer under FINRA, the Exchange Act and the applicable statutes and regulations of each state in which the Placement Shares will be offered and sold, except such states in which Agent is exempt from registration or such registration is not otherwise required, during the term of this Agreement. Agent will comply in all material respects with the applicable law and regulations in connection with the Placement Shares, including, but not limited to, Regulation M.</w:t>
      </w:r>
    </w:p>
    <w:p>
      <w:pPr>
        <w:spacing w:after="0" w:line="187" w:lineRule="exact"/>
        <w:rPr>
          <w:rFonts w:ascii="Times New Roman" w:cs="Times New Roman" w:eastAsia="Times New Roman" w:hAnsi="Times New Roman"/>
          <w:sz w:val="18"/>
          <w:szCs w:val="18"/>
          <w:color w:val="auto"/>
        </w:rPr>
      </w:pPr>
    </w:p>
    <w:p>
      <w:pPr>
        <w:jc w:val="both"/>
        <w:ind w:firstLine="656"/>
        <w:spacing w:after="0" w:line="261" w:lineRule="auto"/>
        <w:tabs>
          <w:tab w:leader="none" w:pos="91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to Agent’s Obligations</w:t>
      </w:r>
      <w:r>
        <w:rPr>
          <w:rFonts w:ascii="Times New Roman" w:cs="Times New Roman" w:eastAsia="Times New Roman" w:hAnsi="Times New Roman"/>
          <w:sz w:val="18"/>
          <w:szCs w:val="18"/>
          <w:color w:val="auto"/>
        </w:rPr>
        <w:t>. The obligations of the Agent hereunder with respect to a Placement will be subject to the continuing accuracy and completeness of the representations and warranties made by the Company herein, to the due performance by the Company in all material respects of its obligations hereunder, to the completion by the Agent of a due diligence review satisfactory to it in its reasonable judgment, and to the continuing satisfaction (or waiver by the Agent in its sole discretion) of the following additional conditions:</w:t>
      </w:r>
    </w:p>
    <w:p>
      <w:pPr>
        <w:spacing w:after="0" w:line="180" w:lineRule="exact"/>
        <w:rPr>
          <w:rFonts w:ascii="Times New Roman" w:cs="Times New Roman" w:eastAsia="Times New Roman" w:hAnsi="Times New Roman"/>
          <w:sz w:val="18"/>
          <w:szCs w:val="18"/>
          <w:color w:val="auto"/>
        </w:rPr>
      </w:pPr>
    </w:p>
    <w:p>
      <w:pPr>
        <w:ind w:right="20" w:firstLine="980"/>
        <w:spacing w:after="0" w:line="282" w:lineRule="auto"/>
        <w:tabs>
          <w:tab w:leader="none" w:pos="123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 Effective</w:t>
      </w:r>
      <w:r>
        <w:rPr>
          <w:rFonts w:ascii="Times New Roman" w:cs="Times New Roman" w:eastAsia="Times New Roman" w:hAnsi="Times New Roman"/>
          <w:sz w:val="18"/>
          <w:szCs w:val="18"/>
          <w:color w:val="auto"/>
        </w:rPr>
        <w:t>. The Registration Statement shall have become effective and shall be available for the (i) resale of all Placement Shares issued to the Agent and not yet sold by the Agent and (ii) sale of all Placement Shares contemplated to be issued by any Placement Notice.</w:t>
      </w:r>
    </w:p>
    <w:p>
      <w:pPr>
        <w:spacing w:after="0" w:line="161" w:lineRule="exact"/>
        <w:rPr>
          <w:rFonts w:ascii="Times New Roman" w:cs="Times New Roman" w:eastAsia="Times New Roman" w:hAnsi="Times New Roman"/>
          <w:sz w:val="18"/>
          <w:szCs w:val="18"/>
          <w:color w:val="auto"/>
        </w:rPr>
      </w:pPr>
    </w:p>
    <w:p>
      <w:pPr>
        <w:jc w:val="both"/>
        <w:ind w:firstLine="980"/>
        <w:spacing w:after="0" w:line="253" w:lineRule="auto"/>
        <w:tabs>
          <w:tab w:leader="none" w:pos="1241"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Notices</w:t>
      </w:r>
      <w:r>
        <w:rPr>
          <w:rFonts w:ascii="Times New Roman" w:cs="Times New Roman" w:eastAsia="Times New Roman" w:hAnsi="Times New Roman"/>
          <w:sz w:val="18"/>
          <w:szCs w:val="18"/>
          <w:color w:val="auto"/>
        </w:rPr>
        <w:t>. None of the following events shall have occurred and be continuing: (i) receipt by the Company of any request for additional information from the Commission or any other federal or state Governmental Authority during the period of effectiveness of the Registration Statement, the response to which would require any post-effective amendments or supplements to the Registration Statement or the Prospectus; (ii) the issuance by the Commission or any other federal or state Governmental Authority of any stop order suspending the effectiveness of the Registration Statement or the initiation of any proceedings for that purpose; (iii) receipt by the Company of any notification with respect to the suspension of the qualification or exemption from qualification of any of the Placement Shares for sale in any jurisdiction or the initiation or threatening of any proceeding for such purpose; or (iv) the occurrence of any event that makes any material statement made in the Registration Statement or the Prospectus or any material document incorporated or deemed to be incorporated therein by reference untrue in any material respect or that requires the making of any changes in the Registration Statement, the Prospectus or documents so that, in the case of the Registration Statement, it will not contain any materially untrue statement of a material fact or omit to state any material fact required to be stated therein or necessary to make the statements therein not misleading and, that in the case of the Prospectus, it will not contain any materially untrue statement of a material fact or omit to state any material fact required to be stated therein or necessary to make the statements therein, in the light of the circumstances under which they were made, not misleading.</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0" w:name="page31"/>
    <w:bookmarkEnd w:id="30"/>
    <w:p>
      <w:pPr>
        <w:jc w:val="both"/>
        <w:ind w:firstLine="980"/>
        <w:spacing w:after="0" w:line="266" w:lineRule="auto"/>
        <w:tabs>
          <w:tab w:leader="none" w:pos="123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Misstatement or Material Omission</w:t>
      </w:r>
      <w:r>
        <w:rPr>
          <w:rFonts w:ascii="Times New Roman" w:cs="Times New Roman" w:eastAsia="Times New Roman" w:hAnsi="Times New Roman"/>
          <w:sz w:val="18"/>
          <w:szCs w:val="18"/>
          <w:color w:val="auto"/>
        </w:rPr>
        <w:t>. Agent shall not have advised the Company that the Registration Statement or Prospectus, or any amendment or supplement thereto, contains an untrue statement of fact that in the Agent’s reasonable opinion is material, or omits to state a fact that in the Agent’s reasonable opinion is material and is required to be stated therein or is necessary to make the statements therein not misleading.</w:t>
      </w:r>
    </w:p>
    <w:p>
      <w:pPr>
        <w:spacing w:after="0" w:line="176" w:lineRule="exact"/>
        <w:rPr>
          <w:rFonts w:ascii="Times New Roman" w:cs="Times New Roman" w:eastAsia="Times New Roman" w:hAnsi="Times New Roman"/>
          <w:sz w:val="18"/>
          <w:szCs w:val="18"/>
          <w:color w:val="auto"/>
        </w:rPr>
      </w:pPr>
    </w:p>
    <w:p>
      <w:pPr>
        <w:jc w:val="both"/>
        <w:ind w:firstLine="980"/>
        <w:spacing w:after="0" w:line="255" w:lineRule="auto"/>
        <w:tabs>
          <w:tab w:leader="none" w:pos="122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Changes</w:t>
      </w:r>
      <w:r>
        <w:rPr>
          <w:rFonts w:ascii="Times New Roman" w:cs="Times New Roman" w:eastAsia="Times New Roman" w:hAnsi="Times New Roman"/>
          <w:sz w:val="18"/>
          <w:szCs w:val="18"/>
          <w:color w:val="auto"/>
        </w:rPr>
        <w:t>. Except as contemplated in the Prospectus, or disclosed in the Company’s reports filed with the Commission, there shall not have been any material adverse change in the authorized capital stock of the Company or any Material Adverse Effect or any development that would reasonably be expected to cause a Material Adverse Effect, or a downgrading in or withdrawal of the rating assigned to any of the Company’s securities (other than asset backed securities) by any rating organization or a public announcement by any rating organization that it has under surveillance or review its rating of any of the Company’s securities (other than asset backed securities), the effect of which, in the case of any such action by a rating organization described above, in the reasonable judgment of the Agent (without relieving the Company of any obligation or liability it may otherwise have), is so material as to make it impracticable or inadvisable to proceed with the offering of the Placement Shares on the terms and in the manner contemplated in the Prospectus.</w:t>
      </w:r>
    </w:p>
    <w:p>
      <w:pPr>
        <w:spacing w:after="0" w:line="185" w:lineRule="exact"/>
        <w:rPr>
          <w:rFonts w:ascii="Times New Roman" w:cs="Times New Roman" w:eastAsia="Times New Roman" w:hAnsi="Times New Roman"/>
          <w:sz w:val="18"/>
          <w:szCs w:val="18"/>
          <w:color w:val="auto"/>
        </w:rPr>
      </w:pPr>
    </w:p>
    <w:p>
      <w:pPr>
        <w:ind w:firstLine="980"/>
        <w:spacing w:after="0" w:line="282" w:lineRule="auto"/>
        <w:tabs>
          <w:tab w:leader="none" w:pos="123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Opinion</w:t>
      </w:r>
      <w:r>
        <w:rPr>
          <w:rFonts w:ascii="Times New Roman" w:cs="Times New Roman" w:eastAsia="Times New Roman" w:hAnsi="Times New Roman"/>
          <w:sz w:val="18"/>
          <w:szCs w:val="18"/>
          <w:color w:val="auto"/>
        </w:rPr>
        <w:t xml:space="preserve">. The Agent shall have received the opinion of Company Counsel required to be delivered pursuant to </w:t>
      </w:r>
      <w:r>
        <w:rPr>
          <w:rFonts w:ascii="Times New Roman" w:cs="Times New Roman" w:eastAsia="Times New Roman" w:hAnsi="Times New Roman"/>
          <w:sz w:val="18"/>
          <w:szCs w:val="18"/>
          <w:u w:val="single" w:color="auto"/>
          <w:color w:val="auto"/>
        </w:rPr>
        <w:t>Section 7(m)</w:t>
      </w:r>
      <w:r>
        <w:rPr>
          <w:rFonts w:ascii="Times New Roman" w:cs="Times New Roman" w:eastAsia="Times New Roman" w:hAnsi="Times New Roman"/>
          <w:sz w:val="18"/>
          <w:szCs w:val="18"/>
          <w:color w:val="auto"/>
        </w:rPr>
        <w:t xml:space="preserve"> on or before the date on which such delivery of such opinion is required pursuant to </w:t>
      </w:r>
      <w:r>
        <w:rPr>
          <w:rFonts w:ascii="Times New Roman" w:cs="Times New Roman" w:eastAsia="Times New Roman" w:hAnsi="Times New Roman"/>
          <w:sz w:val="18"/>
          <w:szCs w:val="18"/>
          <w:u w:val="single" w:color="auto"/>
          <w:color w:val="auto"/>
        </w:rPr>
        <w:t>Section 7(m)</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right="20" w:firstLine="980"/>
        <w:spacing w:after="0" w:line="282" w:lineRule="auto"/>
        <w:tabs>
          <w:tab w:leader="none" w:pos="119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Comfort Letter</w:t>
      </w:r>
      <w:r>
        <w:rPr>
          <w:rFonts w:ascii="Times New Roman" w:cs="Times New Roman" w:eastAsia="Times New Roman" w:hAnsi="Times New Roman"/>
          <w:sz w:val="18"/>
          <w:szCs w:val="18"/>
          <w:color w:val="auto"/>
        </w:rPr>
        <w:t xml:space="preserve">. The Agent shall have received the Comfort Letter required to be delivered pursuant to </w:t>
      </w:r>
      <w:r>
        <w:rPr>
          <w:rFonts w:ascii="Times New Roman" w:cs="Times New Roman" w:eastAsia="Times New Roman" w:hAnsi="Times New Roman"/>
          <w:sz w:val="18"/>
          <w:szCs w:val="18"/>
          <w:u w:val="single" w:color="auto"/>
          <w:color w:val="auto"/>
        </w:rPr>
        <w:t>Section 7(n)</w:t>
      </w:r>
      <w:r>
        <w:rPr>
          <w:rFonts w:ascii="Times New Roman" w:cs="Times New Roman" w:eastAsia="Times New Roman" w:hAnsi="Times New Roman"/>
          <w:sz w:val="18"/>
          <w:szCs w:val="18"/>
          <w:color w:val="auto"/>
        </w:rPr>
        <w:t xml:space="preserve"> on or before the date on which such delivery of such Comfort Letter is required pursuant to </w:t>
      </w:r>
      <w:r>
        <w:rPr>
          <w:rFonts w:ascii="Times New Roman" w:cs="Times New Roman" w:eastAsia="Times New Roman" w:hAnsi="Times New Roman"/>
          <w:sz w:val="18"/>
          <w:szCs w:val="18"/>
          <w:u w:val="single" w:color="auto"/>
          <w:color w:val="auto"/>
        </w:rPr>
        <w:t>Section 7(n)</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firstLine="980"/>
        <w:spacing w:after="0" w:line="282" w:lineRule="auto"/>
        <w:tabs>
          <w:tab w:leader="none" w:pos="124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 Certificate</w:t>
      </w:r>
      <w:r>
        <w:rPr>
          <w:rFonts w:ascii="Times New Roman" w:cs="Times New Roman" w:eastAsia="Times New Roman" w:hAnsi="Times New Roman"/>
          <w:sz w:val="18"/>
          <w:szCs w:val="18"/>
          <w:color w:val="auto"/>
        </w:rPr>
        <w:t xml:space="preserve">. The Agent shall have received the certificate required to be delivered pursuant to </w:t>
      </w:r>
      <w:r>
        <w:rPr>
          <w:rFonts w:ascii="Times New Roman" w:cs="Times New Roman" w:eastAsia="Times New Roman" w:hAnsi="Times New Roman"/>
          <w:sz w:val="18"/>
          <w:szCs w:val="18"/>
          <w:u w:val="single" w:color="auto"/>
          <w:color w:val="auto"/>
        </w:rPr>
        <w:t>Section 7(l)</w:t>
      </w:r>
      <w:r>
        <w:rPr>
          <w:rFonts w:ascii="Times New Roman" w:cs="Times New Roman" w:eastAsia="Times New Roman" w:hAnsi="Times New Roman"/>
          <w:sz w:val="18"/>
          <w:szCs w:val="18"/>
          <w:color w:val="auto"/>
        </w:rPr>
        <w:t xml:space="preserve"> on or before the date on which delivery of such certificate is required pursuant to </w:t>
      </w:r>
      <w:r>
        <w:rPr>
          <w:rFonts w:ascii="Times New Roman" w:cs="Times New Roman" w:eastAsia="Times New Roman" w:hAnsi="Times New Roman"/>
          <w:sz w:val="18"/>
          <w:szCs w:val="18"/>
          <w:u w:val="single" w:color="auto"/>
          <w:color w:val="auto"/>
        </w:rPr>
        <w:t>Section 7(l)</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right="20" w:firstLine="980"/>
        <w:spacing w:after="0" w:line="282" w:lineRule="auto"/>
        <w:tabs>
          <w:tab w:leader="none" w:pos="122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Suspension</w:t>
      </w:r>
      <w:r>
        <w:rPr>
          <w:rFonts w:ascii="Times New Roman" w:cs="Times New Roman" w:eastAsia="Times New Roman" w:hAnsi="Times New Roman"/>
          <w:sz w:val="18"/>
          <w:szCs w:val="18"/>
          <w:color w:val="auto"/>
        </w:rPr>
        <w:t>. Trading in the Common Stock shall not have been suspended on the Exchange and the Common Stock shall not have been delisted from the Exchange.</w:t>
      </w:r>
    </w:p>
    <w:p>
      <w:pPr>
        <w:spacing w:after="0" w:line="161" w:lineRule="exact"/>
        <w:rPr>
          <w:rFonts w:ascii="Times New Roman" w:cs="Times New Roman" w:eastAsia="Times New Roman" w:hAnsi="Times New Roman"/>
          <w:sz w:val="18"/>
          <w:szCs w:val="18"/>
          <w:color w:val="auto"/>
        </w:rPr>
      </w:pPr>
    </w:p>
    <w:p>
      <w:pPr>
        <w:jc w:val="both"/>
        <w:ind w:firstLine="980"/>
        <w:spacing w:after="0" w:line="266" w:lineRule="auto"/>
        <w:tabs>
          <w:tab w:leader="none" w:pos="120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Materials</w:t>
      </w:r>
      <w:r>
        <w:rPr>
          <w:rFonts w:ascii="Times New Roman" w:cs="Times New Roman" w:eastAsia="Times New Roman" w:hAnsi="Times New Roman"/>
          <w:sz w:val="18"/>
          <w:szCs w:val="18"/>
          <w:color w:val="auto"/>
        </w:rPr>
        <w:t xml:space="preserve">. On each date on which the Company is required to deliver a certificate pursuant to </w:t>
      </w:r>
      <w:r>
        <w:rPr>
          <w:rFonts w:ascii="Times New Roman" w:cs="Times New Roman" w:eastAsia="Times New Roman" w:hAnsi="Times New Roman"/>
          <w:sz w:val="18"/>
          <w:szCs w:val="18"/>
          <w:u w:val="single" w:color="auto"/>
          <w:color w:val="auto"/>
        </w:rPr>
        <w:t>Section 7(l)</w:t>
      </w:r>
      <w:r>
        <w:rPr>
          <w:rFonts w:ascii="Times New Roman" w:cs="Times New Roman" w:eastAsia="Times New Roman" w:hAnsi="Times New Roman"/>
          <w:sz w:val="18"/>
          <w:szCs w:val="18"/>
          <w:color w:val="auto"/>
        </w:rPr>
        <w:t>, the Company shall have furnished to the Agent such appropriate further information, certificates, letters and other documents as the Agent may reasonably request. All such certificates, letters and other documents will be in compliance with the provisions hereof.</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1" w:name="page32"/>
    <w:bookmarkEnd w:id="31"/>
    <w:p>
      <w:pPr>
        <w:jc w:val="both"/>
        <w:ind w:firstLine="980"/>
        <w:spacing w:after="0" w:line="266" w:lineRule="auto"/>
        <w:tabs>
          <w:tab w:leader="none" w:pos="1187"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Act Filings Made</w:t>
      </w:r>
      <w:r>
        <w:rPr>
          <w:rFonts w:ascii="Times New Roman" w:cs="Times New Roman" w:eastAsia="Times New Roman" w:hAnsi="Times New Roman"/>
          <w:sz w:val="18"/>
          <w:szCs w:val="18"/>
          <w:color w:val="auto"/>
        </w:rPr>
        <w:t>. All filings with the Commission with respect to the Placement Shares required by Rule 424 under the Securities Act to have been filed prior to the issuance of any Placement Notice hereunder shall have been made within the applicable time period prescribed for such filing by Rule 424.</w:t>
      </w:r>
    </w:p>
    <w:p>
      <w:pPr>
        <w:spacing w:after="0" w:line="176" w:lineRule="exact"/>
        <w:rPr>
          <w:rFonts w:ascii="Times New Roman" w:cs="Times New Roman" w:eastAsia="Times New Roman" w:hAnsi="Times New Roman"/>
          <w:sz w:val="18"/>
          <w:szCs w:val="18"/>
          <w:color w:val="auto"/>
        </w:rPr>
      </w:pPr>
    </w:p>
    <w:p>
      <w:pPr>
        <w:jc w:val="both"/>
        <w:ind w:firstLine="980"/>
        <w:spacing w:after="0" w:line="266" w:lineRule="auto"/>
        <w:tabs>
          <w:tab w:leader="none" w:pos="125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Approval for Listing</w:t>
      </w:r>
      <w:r>
        <w:rPr>
          <w:rFonts w:ascii="Times New Roman" w:cs="Times New Roman" w:eastAsia="Times New Roman" w:hAnsi="Times New Roman"/>
          <w:sz w:val="18"/>
          <w:szCs w:val="18"/>
          <w:color w:val="auto"/>
        </w:rPr>
        <w:t>. The Placement Shares shall either have been (i) approved for listing on the Exchange, subject only to notice of issuance, or (ii) the Company shall have filed an application for listing of the Placement Shares on the Exchange at, or prior to, the issuance of any Placement Notice and the Exchange shall have reviewed such application and not provided any objections thereto.</w:t>
      </w:r>
    </w:p>
    <w:p>
      <w:pPr>
        <w:spacing w:after="0" w:line="176" w:lineRule="exact"/>
        <w:rPr>
          <w:rFonts w:ascii="Times New Roman" w:cs="Times New Roman" w:eastAsia="Times New Roman" w:hAnsi="Times New Roman"/>
          <w:sz w:val="18"/>
          <w:szCs w:val="18"/>
          <w:color w:val="auto"/>
        </w:rPr>
      </w:pPr>
    </w:p>
    <w:p>
      <w:pPr>
        <w:ind w:right="20" w:firstLine="980"/>
        <w:spacing w:after="0" w:line="282" w:lineRule="auto"/>
        <w:tabs>
          <w:tab w:leader="none" w:pos="1201"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FINRA</w:t>
      </w:r>
      <w:r>
        <w:rPr>
          <w:rFonts w:ascii="Times New Roman" w:cs="Times New Roman" w:eastAsia="Times New Roman" w:hAnsi="Times New Roman"/>
          <w:sz w:val="18"/>
          <w:szCs w:val="18"/>
          <w:color w:val="auto"/>
        </w:rPr>
        <w:t>. If applicable, FINRA shall have raised no objection to the terms of this offering and the amount of compensation allowable or payable to the Agent as described in the Prospectus.</w:t>
      </w:r>
    </w:p>
    <w:p>
      <w:pPr>
        <w:spacing w:after="0" w:line="161" w:lineRule="exact"/>
        <w:rPr>
          <w:rFonts w:ascii="Times New Roman" w:cs="Times New Roman" w:eastAsia="Times New Roman" w:hAnsi="Times New Roman"/>
          <w:sz w:val="18"/>
          <w:szCs w:val="18"/>
          <w:color w:val="auto"/>
        </w:rPr>
      </w:pPr>
    </w:p>
    <w:p>
      <w:pPr>
        <w:ind w:left="1320" w:hanging="340"/>
        <w:spacing w:after="0"/>
        <w:tabs>
          <w:tab w:leader="none" w:pos="132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Termination Event</w:t>
      </w:r>
      <w:r>
        <w:rPr>
          <w:rFonts w:ascii="Times New Roman" w:cs="Times New Roman" w:eastAsia="Times New Roman" w:hAnsi="Times New Roman"/>
          <w:sz w:val="18"/>
          <w:szCs w:val="18"/>
          <w:color w:val="auto"/>
        </w:rPr>
        <w:t>. There shall not have occurred any event that would permit the Agent to terminate this Agreement pursuant to</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13(a)</w:t>
      </w: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and Contribution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right="20" w:firstLine="980"/>
        <w:spacing w:after="0" w:line="266" w:lineRule="auto"/>
        <w:tabs>
          <w:tab w:leader="none" w:pos="124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Indemnification</w:t>
      </w:r>
      <w:r>
        <w:rPr>
          <w:rFonts w:ascii="Times New Roman" w:cs="Times New Roman" w:eastAsia="Times New Roman" w:hAnsi="Times New Roman"/>
          <w:sz w:val="18"/>
          <w:szCs w:val="18"/>
          <w:color w:val="auto"/>
        </w:rPr>
        <w:t>. The Company agrees to indemnify and hold harmless the Agent, its affiliates and their respective partners, members, directors, officers, employees and agents and each person, if any, who controls the Agent or any affiliate within the meaning of Section 15 of the Securities Act or Section 20 of the Exchange Act as follows:</w:t>
      </w:r>
    </w:p>
    <w:p>
      <w:pPr>
        <w:spacing w:after="0" w:line="176" w:lineRule="exact"/>
        <w:rPr>
          <w:rFonts w:ascii="Times New Roman" w:cs="Times New Roman" w:eastAsia="Times New Roman" w:hAnsi="Times New Roman"/>
          <w:sz w:val="18"/>
          <w:szCs w:val="18"/>
          <w:color w:val="auto"/>
        </w:rPr>
      </w:pPr>
    </w:p>
    <w:p>
      <w:pPr>
        <w:jc w:val="both"/>
        <w:ind w:firstLine="1305"/>
        <w:spacing w:after="0" w:line="256" w:lineRule="auto"/>
        <w:tabs>
          <w:tab w:leader="none" w:pos="1520"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and all loss, liability, claim, damage and expense whatsoever, as incurred, joint or several, arising out of or based upon any untrue statement or alleged untrue statement of a material fact contained in the Registration Statement (or any amendment thereto), or the omission or alleged omission therefrom of a material fact required to be stated therein or necessary to make the statements therein not misleading, or arising out of any untrue statement or alleged untrue statement of a material fact included in any related Issuer Free Writing Prospectus or the Prospectus (or any amendment or supplement thereto), or the omission or alleged omission therefrom of a material fact necessary in order to make the statements therein, in the light of the circumstances under which they were made, not misleading;</w:t>
      </w:r>
    </w:p>
    <w:p>
      <w:pPr>
        <w:spacing w:after="0" w:line="187" w:lineRule="exact"/>
        <w:rPr>
          <w:rFonts w:ascii="Times New Roman" w:cs="Times New Roman" w:eastAsia="Times New Roman" w:hAnsi="Times New Roman"/>
          <w:sz w:val="18"/>
          <w:szCs w:val="18"/>
          <w:color w:val="auto"/>
        </w:rPr>
      </w:pPr>
    </w:p>
    <w:p>
      <w:pPr>
        <w:jc w:val="both"/>
        <w:ind w:firstLine="1305"/>
        <w:spacing w:after="0" w:line="261" w:lineRule="auto"/>
        <w:tabs>
          <w:tab w:leader="none" w:pos="1578"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against any and all loss, liability, claim, damage and expense whatsoever, as incurred, joint or several, to the extent of the aggregate amount paid in settlement of any litigation, or any investigation or proceeding by any governmental agency or body, commenced or threatened, or of any claim whatsoever based upon any such untrue statement or omission, or any such alleged untrue statement or omission;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(subject to </w:t>
      </w:r>
      <w:r>
        <w:rPr>
          <w:rFonts w:ascii="Times New Roman" w:cs="Times New Roman" w:eastAsia="Times New Roman" w:hAnsi="Times New Roman"/>
          <w:sz w:val="18"/>
          <w:szCs w:val="18"/>
          <w:u w:val="single" w:color="auto"/>
          <w:color w:val="auto"/>
        </w:rPr>
        <w:t>Section 11(d)</w:t>
      </w:r>
      <w:r>
        <w:rPr>
          <w:rFonts w:ascii="Times New Roman" w:cs="Times New Roman" w:eastAsia="Times New Roman" w:hAnsi="Times New Roman"/>
          <w:sz w:val="18"/>
          <w:szCs w:val="18"/>
          <w:color w:val="auto"/>
        </w:rPr>
        <w:t xml:space="preserve"> below) any such settlement is effected with the written consent of the Company, which consent shall not unreasonably be delayed or withheld; and</w:t>
      </w:r>
    </w:p>
    <w:p>
      <w:pPr>
        <w:spacing w:after="0" w:line="180" w:lineRule="exact"/>
        <w:rPr>
          <w:rFonts w:ascii="Times New Roman" w:cs="Times New Roman" w:eastAsia="Times New Roman" w:hAnsi="Times New Roman"/>
          <w:sz w:val="18"/>
          <w:szCs w:val="18"/>
          <w:color w:val="auto"/>
        </w:rPr>
      </w:pPr>
    </w:p>
    <w:p>
      <w:pPr>
        <w:jc w:val="both"/>
        <w:ind w:firstLine="1305"/>
        <w:spacing w:after="0" w:line="261" w:lineRule="auto"/>
        <w:tabs>
          <w:tab w:leader="none" w:pos="1654"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and all expense whatsoever, as incurred (including the fees and disbursements of counsel), reasonably incurred in investigating, preparing or defending against any litigation, or any investigation or proceeding by any governmental agency or body, commenced or threatened, or any claim whatsoever based upon any such untrue statement or omission, or any such alleged untrue statement or omission (whether or not a party), to the extent that any such expense is not paid under (i) or (ii) above,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2" w:name="page33"/>
    <w:bookmarkEnd w:id="32"/>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this indemnity agreement shall not apply to any loss, liability, claim, damage or expense to the extent arising out of any untrue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 or omission or alleged untrue statement or omission made solely in reliance upon and in conformity with the Agent Information (as defined below).</w:t>
      </w:r>
    </w:p>
    <w:p>
      <w:pPr>
        <w:spacing w:after="0" w:line="160" w:lineRule="exact"/>
        <w:rPr>
          <w:sz w:val="20"/>
          <w:szCs w:val="20"/>
          <w:color w:val="auto"/>
        </w:rPr>
      </w:pPr>
    </w:p>
    <w:p>
      <w:pPr>
        <w:jc w:val="both"/>
        <w:ind w:firstLine="980"/>
        <w:spacing w:after="0" w:line="254" w:lineRule="auto"/>
        <w:tabs>
          <w:tab w:leader="none" w:pos="1227"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Agent Indemnification</w:t>
      </w:r>
      <w:r>
        <w:rPr>
          <w:rFonts w:ascii="Times New Roman" w:cs="Times New Roman" w:eastAsia="Times New Roman" w:hAnsi="Times New Roman"/>
          <w:sz w:val="18"/>
          <w:szCs w:val="18"/>
          <w:color w:val="auto"/>
        </w:rPr>
        <w:t xml:space="preserve">. Agent agrees to indemnify and hold harmless the Company and its directors and each officer of the Company who signed the Registration Statement, and each person, if any, who controls the Company within the meaning of Section 15 of the Securities Act or Section 20 of the Exchange Act against any and all loss, liability, claim, damage and expense described in the indemnity contained in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 as incurred, but only with respect to untrue statements or omissions, or alleged untrue statements or omissions, made in the Registration Statement (or any amendments thereto), the Prospectus (or any amendment or supplement thereto) or any Issuer Free Writing Prospectus (or any amendment or supplement thereto) in reliance upon and in conformity with information relating to the Agent and furnished to the Company in writing by the Agent expressly for use therein. The Company hereby acknowledges that the only information that the Agent has furnished to the Company expressly for use in the Registration Statement, the Prospectus or any Issuer Free Writing Prospectus (or any amendment or supplement thereto) are the statements set forth in the seventh and eighth paragraphs under the caption “Plan of Distribution” in the Prospectus (the “</w:t>
      </w:r>
      <w:r>
        <w:rPr>
          <w:rFonts w:ascii="Times New Roman" w:cs="Times New Roman" w:eastAsia="Times New Roman" w:hAnsi="Times New Roman"/>
          <w:sz w:val="18"/>
          <w:szCs w:val="18"/>
          <w:b w:val="1"/>
          <w:bCs w:val="1"/>
          <w:u w:val="single" w:color="auto"/>
          <w:color w:val="auto"/>
        </w:rPr>
        <w:t>Agent Information</w:t>
      </w:r>
      <w:r>
        <w:rPr>
          <w:rFonts w:ascii="Times New Roman" w:cs="Times New Roman" w:eastAsia="Times New Roman" w:hAnsi="Times New Roman"/>
          <w:sz w:val="18"/>
          <w:szCs w:val="18"/>
          <w:color w:val="auto"/>
        </w:rPr>
        <w:t>”).</w:t>
      </w:r>
    </w:p>
    <w:p>
      <w:pPr>
        <w:spacing w:after="0" w:line="189" w:lineRule="exact"/>
        <w:rPr>
          <w:rFonts w:ascii="Times New Roman" w:cs="Times New Roman" w:eastAsia="Times New Roman" w:hAnsi="Times New Roman"/>
          <w:sz w:val="18"/>
          <w:szCs w:val="18"/>
          <w:color w:val="auto"/>
        </w:rPr>
      </w:pPr>
    </w:p>
    <w:p>
      <w:pPr>
        <w:jc w:val="both"/>
        <w:ind w:firstLine="980"/>
        <w:spacing w:after="0" w:line="251" w:lineRule="auto"/>
        <w:tabs>
          <w:tab w:leader="none" w:pos="124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w:t>
      </w:r>
      <w:r>
        <w:rPr>
          <w:rFonts w:ascii="Times New Roman" w:cs="Times New Roman" w:eastAsia="Times New Roman" w:hAnsi="Times New Roman"/>
          <w:sz w:val="18"/>
          <w:szCs w:val="18"/>
          <w:color w:val="auto"/>
        </w:rPr>
        <w:t xml:space="preserve">. Any party that proposes to assert the right to be indemnified under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will, promptly after receipt of notice of commencement of any action against such party in respect of which a claim is to be made against an indemnifying party or parties under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notify each such indemnifying party of the commencement of such action, enclosing a copy of all papers served, but the omission so to notify such indemnifying party will not relieve the indemnifying party from (i) any liability that it might have to any indemnified party otherwise than under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w:t>
      </w:r>
      <w:r>
        <w:rPr>
          <w:rFonts w:ascii="Times New Roman" w:cs="Times New Roman" w:eastAsia="Times New Roman" w:hAnsi="Times New Roman"/>
          <w:sz w:val="18"/>
          <w:szCs w:val="18"/>
          <w:color w:val="auto"/>
        </w:rPr>
        <w:t xml:space="preserve"> and (ii) any liability that it may have to any indemnified party under the foregoing provision of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unless, and only to the extent that, such omission results in the forfeiture of substantive rights or defenses by the indemnifying party. If any such action is brought against any indemnified party and it notifies the indemnifying party of its commencement, the indemnifying party will be entitled to participate in and, to the extent that it elects by delivering written notice to the indemnified party promptly after receiving notice of the commencement of the action from the indemnified party, jointly with any other indemnifying party similarly notified, to assume the defense of the action, with counsel reasonably satisfactory to the indemnified party, and after notice from the indemnifying party to the indemnified party of its election to assume the defense, the indemnifying party will not be liable to the indemnified party for any legal or other expenses except as provided below and except for the reasonable costs of investigation subsequently incurred by the indemnified party in connection with the defense. The indemnified party will have the right to employ its own counsel in any such action, but the fees, expenses and other charges of such counsel will be at the expense of such indemnified party unless (1) the employment of counsel by the indemnified party has been authorized in writing by the indemnifying party, (2) the indemnified party has reasonably concluded (based on advice of counsel) that there may be legal defenses available to it or other indemnified parties that are different from or in addition to those available to the indemnifying party, (3) a conflict or potential conflict exists (based on advice of counsel to the indemnified party) between the indemnified party and the indemnifying party (in which case the indemnifying party will not have the right to direct the defense of such action on behalf of the indemnified party) or (4) the indemnifying party has not in fact employed counsel to assume the defense of such action or counsel reasonably satisfactory to the indemnified party, in each case, within a reasonable time after receiving notice of the commencement of the action; in each of which cases the reasonable fees, disbursements and other charges of counsel will be at the expense of the indemnifying party or parties. It is understood that the indemnifying party or parties shall not, in connection with any proceeding or related proceedings in the same jurisdiction, be liable for the reasonable fees, disbursements and other charges of more than one separate firm (plus local counsel) admitted to practice in such jurisdiction at any one time for all such indemnified party or parties. All such fees, disbursements and other charges will be reimbursed by the indemnifying party promptly as they are incurred and after the indemnifying party receives a written notice relating to the fees, disbursements and other charges in reasonable detail. An indemnifying party will not, in any event, be liable for any settlement of any action or claim effected without its written consent if such consent is required by this </w:t>
      </w:r>
      <w:r>
        <w:rPr>
          <w:rFonts w:ascii="Times New Roman" w:cs="Times New Roman" w:eastAsia="Times New Roman" w:hAnsi="Times New Roman"/>
          <w:sz w:val="18"/>
          <w:szCs w:val="18"/>
          <w:u w:val="single" w:color="auto"/>
          <w:color w:val="auto"/>
        </w:rPr>
        <w:t>Section 11(c)</w:t>
      </w:r>
      <w:r>
        <w:rPr>
          <w:rFonts w:ascii="Times New Roman" w:cs="Times New Roman" w:eastAsia="Times New Roman" w:hAnsi="Times New Roman"/>
          <w:sz w:val="18"/>
          <w:szCs w:val="18"/>
          <w:color w:val="auto"/>
        </w:rPr>
        <w:t xml:space="preserve">. No indemnifying party shall, without the prior written consent of each indemnified party, settle or compromise or consent to the entry of any judgment in any pending or threatened claim, action or proceeding relating to the matters contemplated by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(whether or not any indemnified party is a party thereto), unless such settlement, compromise or consent (1) includes an unconditional release of each indemnified party, in form and substance reasonably satisfactory to such indemnified party, from all liability arising out of such litigation, investigation, proceeding or claim and (2) does not include a statement as to or an admission of fault, culpability or a failure to act by or on behalf of any indemnified party.</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9" w:right="239" w:bottom="1440" w:gutter="0" w:footer="0" w:header="0"/>
        </w:sectPr>
      </w:pPr>
    </w:p>
    <w:bookmarkStart w:id="33" w:name="page34"/>
    <w:bookmarkEnd w:id="33"/>
    <w:p>
      <w:pPr>
        <w:jc w:val="both"/>
        <w:ind w:firstLine="980"/>
        <w:spacing w:after="0" w:line="257" w:lineRule="auto"/>
        <w:tabs>
          <w:tab w:leader="none" w:pos="124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 Without Consent if Failure to Reimburse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If an indemnified party shall have requested an indemnifying party to reimburse the indemnified party for reasonable fees and expenses of counsel, such indemnifying party agrees that it shall be liable for any settlement of the nature contemplated by </w:t>
      </w:r>
      <w:r>
        <w:rPr>
          <w:rFonts w:ascii="Times New Roman" w:cs="Times New Roman" w:eastAsia="Times New Roman" w:hAnsi="Times New Roman"/>
          <w:sz w:val="18"/>
          <w:szCs w:val="18"/>
          <w:u w:val="single" w:color="auto"/>
          <w:color w:val="auto"/>
        </w:rPr>
        <w:t>Section 11(a)(ii)</w:t>
      </w:r>
      <w:r>
        <w:rPr>
          <w:rFonts w:ascii="Times New Roman" w:cs="Times New Roman" w:eastAsia="Times New Roman" w:hAnsi="Times New Roman"/>
          <w:sz w:val="18"/>
          <w:szCs w:val="18"/>
          <w:color w:val="auto"/>
        </w:rPr>
        <w:t xml:space="preserve"> effected without its written consent if (1) such settlement is entered into more than 60 days after receipt by such indemnifying party of the aforesaid request, (2) such indemnifying party shall have received notice of the terms of such settlement at least 45 days prior to such settlement being entered into and (3) such indemnifying party shall not have reimbursed such indemnified party in accordance with such request prior to the date of such settlement.</w:t>
      </w:r>
    </w:p>
    <w:p>
      <w:pPr>
        <w:spacing w:after="0" w:line="184" w:lineRule="exact"/>
        <w:rPr>
          <w:rFonts w:ascii="Times New Roman" w:cs="Times New Roman" w:eastAsia="Times New Roman" w:hAnsi="Times New Roman"/>
          <w:sz w:val="18"/>
          <w:szCs w:val="18"/>
          <w:color w:val="auto"/>
        </w:rPr>
      </w:pPr>
    </w:p>
    <w:p>
      <w:pPr>
        <w:jc w:val="both"/>
        <w:ind w:firstLine="980"/>
        <w:spacing w:after="0" w:line="251" w:lineRule="auto"/>
        <w:tabs>
          <w:tab w:leader="none" w:pos="124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xml:space="preserve">. In order to provide for just and equitable contribution in circumstances in which the indemnification provided for in the foregoing paragraphs of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is applicable in accordance with its terms but for any reason is held to be unavailable from the Company or the Agent, the Company and the Agent will contribute to the total losses, claims, liabilities, expenses and damages (including any investigative, legal and other expenses reasonably incurred in connection with, and any amount paid in settlement of, any action, suit or proceeding or any claim asserted, but after deducting any contribution received by the Company from persons other than the Agent, such as persons who control the Company within the meaning of the Securities Act, officers of the Company who signed the Registration Statement and directors of the Company, who also may be liable for contribution) to which the Company and the Agent may be subject in such proportion as shall be appropriate to reflect the relative benefits received by the Company on the one hand and the Agent on the other hand. The relative benefits received by the Company on the one hand and the Agent on the other hand shall be deemed to be in the same proportion as the total net proceeds from the sale of the Placement Shares (before deducting expenses) received by the Company bear to the total compensation received by the Agent (before deducting expenses) from the sale of Placement Shares on behalf of the Company. If, but only if, the allocation provided by the foregoing sentence is not permitted by applicable law, the allocation of contribution shall be made in such proportion as is appropriate to reflect not only the relative benefits referred to in the foregoing sentence but also the relative fault of the Company, on the one hand, and the Agent, on the other hand, with respect to the statements or omission that resulted in such loss, claim, liability, expense or damage, or action in respect thereof, as well as any other relevant equitable considerations with respect to such offering. Such relative fault shall be determined by reference to, among other things, whether the untrue or alleged untrue statement of a material fact or omission or alleged omission to state a material fact relates to information supplied by the Company or the Agent, the intent of the parties and their relative knowledge, access to information and opportunity to correct or prevent such statement or omission. The Company and the Agent agree that it would not be just and equitable if contributions pursuant to this </w:t>
      </w:r>
      <w:r>
        <w:rPr>
          <w:rFonts w:ascii="Times New Roman" w:cs="Times New Roman" w:eastAsia="Times New Roman" w:hAnsi="Times New Roman"/>
          <w:sz w:val="18"/>
          <w:szCs w:val="18"/>
          <w:u w:val="single" w:color="auto"/>
          <w:color w:val="auto"/>
        </w:rPr>
        <w:t>Section 11(e)</w:t>
      </w:r>
      <w:r>
        <w:rPr>
          <w:rFonts w:ascii="Times New Roman" w:cs="Times New Roman" w:eastAsia="Times New Roman" w:hAnsi="Times New Roman"/>
          <w:sz w:val="18"/>
          <w:szCs w:val="18"/>
          <w:color w:val="auto"/>
        </w:rPr>
        <w:t xml:space="preserve"> were to be determined by pro rata allocation or by any other method of allocation that does not take into account the equitable considerations referred to herein. The amount paid or payable by an indemnified party as a result of the loss, claim, liability, expense, or damage, or action in respect thereof, referred to above in this </w:t>
      </w:r>
      <w:r>
        <w:rPr>
          <w:rFonts w:ascii="Times New Roman" w:cs="Times New Roman" w:eastAsia="Times New Roman" w:hAnsi="Times New Roman"/>
          <w:sz w:val="18"/>
          <w:szCs w:val="18"/>
          <w:u w:val="single" w:color="auto"/>
          <w:color w:val="auto"/>
        </w:rPr>
        <w:t>Section 10(e)</w:t>
      </w:r>
      <w:r>
        <w:rPr>
          <w:rFonts w:ascii="Times New Roman" w:cs="Times New Roman" w:eastAsia="Times New Roman" w:hAnsi="Times New Roman"/>
          <w:sz w:val="18"/>
          <w:szCs w:val="18"/>
          <w:color w:val="auto"/>
        </w:rPr>
        <w:t xml:space="preserve"> shall be deemed to include, for the purpose of this </w:t>
      </w:r>
      <w:r>
        <w:rPr>
          <w:rFonts w:ascii="Times New Roman" w:cs="Times New Roman" w:eastAsia="Times New Roman" w:hAnsi="Times New Roman"/>
          <w:sz w:val="18"/>
          <w:szCs w:val="18"/>
          <w:u w:val="single" w:color="auto"/>
          <w:color w:val="auto"/>
        </w:rPr>
        <w:t>Section 11(e)</w:t>
      </w:r>
      <w:r>
        <w:rPr>
          <w:rFonts w:ascii="Times New Roman" w:cs="Times New Roman" w:eastAsia="Times New Roman" w:hAnsi="Times New Roman"/>
          <w:sz w:val="18"/>
          <w:szCs w:val="18"/>
          <w:color w:val="auto"/>
        </w:rPr>
        <w:t xml:space="preserve">, any legal or other expenses reasonably incurred by such indemnified party in connection with investigating or defending any such action or claim to the extent consistent with </w:t>
      </w:r>
      <w:r>
        <w:rPr>
          <w:rFonts w:ascii="Times New Roman" w:cs="Times New Roman" w:eastAsia="Times New Roman" w:hAnsi="Times New Roman"/>
          <w:sz w:val="18"/>
          <w:szCs w:val="18"/>
          <w:u w:val="single" w:color="auto"/>
          <w:color w:val="auto"/>
        </w:rPr>
        <w:t>Section 11(c)</w:t>
      </w:r>
      <w:r>
        <w:rPr>
          <w:rFonts w:ascii="Times New Roman" w:cs="Times New Roman" w:eastAsia="Times New Roman" w:hAnsi="Times New Roman"/>
          <w:sz w:val="18"/>
          <w:szCs w:val="18"/>
          <w:color w:val="auto"/>
        </w:rPr>
        <w:t xml:space="preserve"> hereof. Notwithstanding the foregoing provisions of this </w:t>
      </w:r>
      <w:r>
        <w:rPr>
          <w:rFonts w:ascii="Times New Roman" w:cs="Times New Roman" w:eastAsia="Times New Roman" w:hAnsi="Times New Roman"/>
          <w:sz w:val="18"/>
          <w:szCs w:val="18"/>
          <w:u w:val="single" w:color="auto"/>
          <w:color w:val="auto"/>
        </w:rPr>
        <w:t>Section 11(e)</w:t>
      </w:r>
      <w:r>
        <w:rPr>
          <w:rFonts w:ascii="Times New Roman" w:cs="Times New Roman" w:eastAsia="Times New Roman" w:hAnsi="Times New Roman"/>
          <w:sz w:val="18"/>
          <w:szCs w:val="18"/>
          <w:color w:val="auto"/>
        </w:rPr>
        <w:t xml:space="preserve">, the Agent shall not be required to contribute any amount in excess of the commissions received by it under this Agreement and no person found guilty of fraudulent misrepresentation (within the meaning of </w:t>
      </w:r>
      <w:r>
        <w:rPr>
          <w:rFonts w:ascii="Times New Roman" w:cs="Times New Roman" w:eastAsia="Times New Roman" w:hAnsi="Times New Roman"/>
          <w:sz w:val="18"/>
          <w:szCs w:val="18"/>
          <w:u w:val="single" w:color="auto"/>
          <w:color w:val="auto"/>
        </w:rPr>
        <w:t>Section 11(f)</w:t>
      </w:r>
      <w:r>
        <w:rPr>
          <w:rFonts w:ascii="Times New Roman" w:cs="Times New Roman" w:eastAsia="Times New Roman" w:hAnsi="Times New Roman"/>
          <w:sz w:val="18"/>
          <w:szCs w:val="18"/>
          <w:color w:val="auto"/>
        </w:rPr>
        <w:t xml:space="preserve"> of the Securities Act) will be entitled to contribution from any person who was not guilty of such fraudulent misrepresentation. For purposes of this </w:t>
      </w:r>
      <w:r>
        <w:rPr>
          <w:rFonts w:ascii="Times New Roman" w:cs="Times New Roman" w:eastAsia="Times New Roman" w:hAnsi="Times New Roman"/>
          <w:sz w:val="18"/>
          <w:szCs w:val="18"/>
          <w:u w:val="single" w:color="auto"/>
          <w:color w:val="auto"/>
        </w:rPr>
        <w:t>Section 11(e)</w:t>
      </w:r>
      <w:r>
        <w:rPr>
          <w:rFonts w:ascii="Times New Roman" w:cs="Times New Roman" w:eastAsia="Times New Roman" w:hAnsi="Times New Roman"/>
          <w:sz w:val="18"/>
          <w:szCs w:val="18"/>
          <w:color w:val="auto"/>
        </w:rPr>
        <w:t xml:space="preserve">, any person who controls a party to this Agreement within the meaning of the Securities Act, and any officers, directors, partners, employees or agents of the Agent, will have the same rights to contribution as that party, and each director of the Company and each officer of the Company who signed the Registration Statement will have the same rights to contribution as the Company, subject in each case to the provisions hereof. Any party entitled to contribution, promptly after receipt of notice of commencement of any action against such party in respect of which a claim for contribution may be made under this </w:t>
      </w:r>
      <w:r>
        <w:rPr>
          <w:rFonts w:ascii="Times New Roman" w:cs="Times New Roman" w:eastAsia="Times New Roman" w:hAnsi="Times New Roman"/>
          <w:sz w:val="18"/>
          <w:szCs w:val="18"/>
          <w:u w:val="single" w:color="auto"/>
          <w:color w:val="auto"/>
        </w:rPr>
        <w:t>Section 11(e)</w:t>
      </w:r>
      <w:r>
        <w:rPr>
          <w:rFonts w:ascii="Times New Roman" w:cs="Times New Roman" w:eastAsia="Times New Roman" w:hAnsi="Times New Roman"/>
          <w:sz w:val="18"/>
          <w:szCs w:val="18"/>
          <w:color w:val="auto"/>
        </w:rPr>
        <w:t xml:space="preserve">, will notify any such party or parties from whom contribution may be sought, but the omission to so notify will not relieve that party or parties from whom contribution may be sought from any other obligation it or they may have under this </w:t>
      </w:r>
      <w:r>
        <w:rPr>
          <w:rFonts w:ascii="Times New Roman" w:cs="Times New Roman" w:eastAsia="Times New Roman" w:hAnsi="Times New Roman"/>
          <w:sz w:val="18"/>
          <w:szCs w:val="18"/>
          <w:u w:val="single" w:color="auto"/>
          <w:color w:val="auto"/>
        </w:rPr>
        <w:t>Section 11(e)</w:t>
      </w:r>
      <w:r>
        <w:rPr>
          <w:rFonts w:ascii="Times New Roman" w:cs="Times New Roman" w:eastAsia="Times New Roman" w:hAnsi="Times New Roman"/>
          <w:sz w:val="18"/>
          <w:szCs w:val="18"/>
          <w:color w:val="auto"/>
        </w:rPr>
        <w:t xml:space="preserve"> except to the extent that the failure to so notify such other party materially prejudiced the substantive rights or defenses of the party from whom contribution is sought. Except for a settlement entered into pursuant to the last sentence of </w:t>
      </w:r>
      <w:r>
        <w:rPr>
          <w:rFonts w:ascii="Times New Roman" w:cs="Times New Roman" w:eastAsia="Times New Roman" w:hAnsi="Times New Roman"/>
          <w:sz w:val="18"/>
          <w:szCs w:val="18"/>
          <w:u w:val="single" w:color="auto"/>
          <w:color w:val="auto"/>
        </w:rPr>
        <w:t>Section 11(c)</w:t>
      </w:r>
      <w:r>
        <w:rPr>
          <w:rFonts w:ascii="Times New Roman" w:cs="Times New Roman" w:eastAsia="Times New Roman" w:hAnsi="Times New Roman"/>
          <w:sz w:val="18"/>
          <w:szCs w:val="18"/>
          <w:color w:val="auto"/>
        </w:rPr>
        <w:t xml:space="preserve"> hereof, no party will be liable for contribution with respect to any action or claim settled without its written consent if such consent is required pursuant to </w:t>
      </w:r>
      <w:r>
        <w:rPr>
          <w:rFonts w:ascii="Times New Roman" w:cs="Times New Roman" w:eastAsia="Times New Roman" w:hAnsi="Times New Roman"/>
          <w:sz w:val="18"/>
          <w:szCs w:val="18"/>
          <w:u w:val="single" w:color="auto"/>
          <w:color w:val="auto"/>
        </w:rPr>
        <w:t>Section 11(c)</w:t>
      </w:r>
      <w:r>
        <w:rPr>
          <w:rFonts w:ascii="Times New Roman" w:cs="Times New Roman" w:eastAsia="Times New Roman" w:hAnsi="Times New Roman"/>
          <w:sz w:val="18"/>
          <w:szCs w:val="18"/>
          <w:color w:val="auto"/>
        </w:rPr>
        <w:t xml:space="preserve"> hereof.</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9" w:right="239" w:bottom="1440" w:gutter="0" w:footer="0" w:header="0"/>
        </w:sectPr>
      </w:pPr>
    </w:p>
    <w:bookmarkStart w:id="34" w:name="page35"/>
    <w:bookmarkEnd w:id="34"/>
    <w:p>
      <w:pPr>
        <w:jc w:val="both"/>
        <w:ind w:firstLine="656"/>
        <w:spacing w:after="0" w:line="261" w:lineRule="auto"/>
        <w:tabs>
          <w:tab w:leader="none" w:pos="91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Agreements to Survive Delivery</w:t>
      </w:r>
      <w:r>
        <w:rPr>
          <w:rFonts w:ascii="Times New Roman" w:cs="Times New Roman" w:eastAsia="Times New Roman" w:hAnsi="Times New Roman"/>
          <w:sz w:val="18"/>
          <w:szCs w:val="18"/>
          <w:color w:val="auto"/>
        </w:rPr>
        <w:t xml:space="preserve">. The indemnity and contribution agreements contained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of this Agreement and all representations and warranties of the Company herein or in certificates delivered pursuant hereto shall survive, as of their respective dates, regardless of (i) any investigation made by or on behalf of the Agent, any controlling persons, or the Company (or any of their respective officers, directors or controlling persons), (ii) delivery and acceptance of the Placement Shares and payment therefor or (iii) any termination of this Agreement.</w:t>
      </w:r>
    </w:p>
    <w:p>
      <w:pPr>
        <w:spacing w:after="0" w:line="180"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980"/>
        <w:spacing w:after="0" w:line="252" w:lineRule="auto"/>
        <w:tabs>
          <w:tab w:leader="none" w:pos="1221"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Agent may terminate this Agreement, by notice to the Company, as hereinafter specified at any time (1) if there has been, since the time of execution of this Agreement or since the date as of which information is given in the Prospectus, any change, or any development or event involving a prospective change, in the condition, financial or otherwise, or in the business, properties, earnings, results of operations or prospects of the Company and its Subsidiaries considered as one enterprise, whether or not arising in the ordinary course of business, which individually or in the aggregate, in the sole judgment of the Agent is material and adverse and makes it impractical or inadvisable to market the Placement Shares or to enforce contracts for the sale of the Placement Shares, (2) if there has occurred any material adverse change in the financial markets in the United States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judgment of the Agent, impracticable or inadvisable to market the Placement Shares or to enforce contracts for the sale of the Placement Shares, (3) if trading in the Common Stock has been suspended or limited by the Commission or the Exchange, or if trading generally on the Exchange has been suspended or limited, or minimum prices for trading have been fixed on the Exchange, (4) if any suspension of trading of any securities of the Company on any exchange or in the over-the-counter market shall have occurred and be continuing, (5) if a major disruption of securities settlements or clearance services in the United States shall have occurred and be continuing, or (6) if a banking moratorium has been declared by either U.S. Federal or New York authorities. Any such termination shall be without liability of any party to any other party except that the provisions of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(Payment of Expenses),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(Indemnification and Contribution),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(Representations and Agreements to Survive Delivery),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xml:space="preserve"> (Governing Law and Time; Waiver of Jury Trial) and </w:t>
      </w:r>
      <w:r>
        <w:rPr>
          <w:rFonts w:ascii="Times New Roman" w:cs="Times New Roman" w:eastAsia="Times New Roman" w:hAnsi="Times New Roman"/>
          <w:sz w:val="18"/>
          <w:szCs w:val="18"/>
          <w:u w:val="single" w:color="auto"/>
          <w:color w:val="auto"/>
        </w:rPr>
        <w:t>Section 19</w:t>
      </w:r>
      <w:r>
        <w:rPr>
          <w:rFonts w:ascii="Times New Roman" w:cs="Times New Roman" w:eastAsia="Times New Roman" w:hAnsi="Times New Roman"/>
          <w:sz w:val="18"/>
          <w:szCs w:val="18"/>
          <w:color w:val="auto"/>
        </w:rPr>
        <w:t xml:space="preserve"> (Consent to Jurisdiction) hereof shall remain in full force and effect notwithstanding such termination. If the Agent elects to terminate this Agreement as provided in this </w:t>
      </w:r>
      <w:r>
        <w:rPr>
          <w:rFonts w:ascii="Times New Roman" w:cs="Times New Roman" w:eastAsia="Times New Roman" w:hAnsi="Times New Roman"/>
          <w:sz w:val="18"/>
          <w:szCs w:val="18"/>
          <w:u w:val="single" w:color="auto"/>
          <w:color w:val="auto"/>
        </w:rPr>
        <w:t>Section 13(a)</w:t>
      </w:r>
      <w:r>
        <w:rPr>
          <w:rFonts w:ascii="Times New Roman" w:cs="Times New Roman" w:eastAsia="Times New Roman" w:hAnsi="Times New Roman"/>
          <w:sz w:val="18"/>
          <w:szCs w:val="18"/>
          <w:color w:val="auto"/>
        </w:rPr>
        <w:t xml:space="preserve">, the Agent shall provide the required notice as specified in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(Notices).</w:t>
      </w:r>
    </w:p>
    <w:p>
      <w:pPr>
        <w:spacing w:after="0" w:line="194" w:lineRule="exact"/>
        <w:rPr>
          <w:rFonts w:ascii="Times New Roman" w:cs="Times New Roman" w:eastAsia="Times New Roman" w:hAnsi="Times New Roman"/>
          <w:sz w:val="18"/>
          <w:szCs w:val="18"/>
          <w:color w:val="auto"/>
        </w:rPr>
      </w:pPr>
    </w:p>
    <w:p>
      <w:pPr>
        <w:jc w:val="both"/>
        <w:ind w:firstLine="980"/>
        <w:spacing w:after="0" w:line="266" w:lineRule="auto"/>
        <w:tabs>
          <w:tab w:leader="none" w:pos="123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the right, by giving ten (10) days notice as hereinafter specified to terminate this Agreement in its sole discretion at any time after the date of this Agreement. Any such termination shall be without liability of any party to any other party except that the provisions of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19</w:t>
      </w:r>
      <w:r>
        <w:rPr>
          <w:rFonts w:ascii="Times New Roman" w:cs="Times New Roman" w:eastAsia="Times New Roman" w:hAnsi="Times New Roman"/>
          <w:sz w:val="18"/>
          <w:szCs w:val="18"/>
          <w:color w:val="auto"/>
        </w:rPr>
        <w:t xml:space="preserve"> hereof shall remain in full force and effect notwithstanding such termination.</w:t>
      </w:r>
    </w:p>
    <w:p>
      <w:pPr>
        <w:spacing w:after="0" w:line="176" w:lineRule="exact"/>
        <w:rPr>
          <w:rFonts w:ascii="Times New Roman" w:cs="Times New Roman" w:eastAsia="Times New Roman" w:hAnsi="Times New Roman"/>
          <w:sz w:val="18"/>
          <w:szCs w:val="18"/>
          <w:color w:val="auto"/>
        </w:rPr>
      </w:pPr>
    </w:p>
    <w:p>
      <w:pPr>
        <w:jc w:val="both"/>
        <w:ind w:firstLine="980"/>
        <w:spacing w:after="0" w:line="266" w:lineRule="auto"/>
        <w:tabs>
          <w:tab w:leader="none" w:pos="1218"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Agent shall have the right, by giving ten (10) days notice as hereinafter specified to terminate this Agreement in its sole discretion at any time after the date of this Agreement. Any such termination shall be without liability of any party to any other party except that the provisions of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19</w:t>
      </w:r>
      <w:r>
        <w:rPr>
          <w:rFonts w:ascii="Times New Roman" w:cs="Times New Roman" w:eastAsia="Times New Roman" w:hAnsi="Times New Roman"/>
          <w:sz w:val="18"/>
          <w:szCs w:val="18"/>
          <w:color w:val="auto"/>
        </w:rPr>
        <w:t xml:space="preserve"> hereof shall remain in full force and effect notwithstanding such termination.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5" w:name="page36"/>
    <w:bookmarkEnd w:id="35"/>
    <w:p>
      <w:pPr>
        <w:jc w:val="both"/>
        <w:ind w:right="20" w:firstLine="980"/>
        <w:spacing w:after="0" w:line="266" w:lineRule="auto"/>
        <w:tabs>
          <w:tab w:leader="none" w:pos="123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shall remain in full force and effect unless terminated pursuant to </w:t>
      </w:r>
      <w:r>
        <w:rPr>
          <w:rFonts w:ascii="Times New Roman" w:cs="Times New Roman" w:eastAsia="Times New Roman" w:hAnsi="Times New Roman"/>
          <w:sz w:val="18"/>
          <w:szCs w:val="18"/>
          <w:u w:val="single" w:color="auto"/>
          <w:color w:val="auto"/>
        </w:rPr>
        <w:t>Sections 13(a)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above or otherwise by mutual agreement of the parties;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any such termination by mutual agreement shall in all cases be deemed to provide that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19</w:t>
      </w:r>
      <w:r>
        <w:rPr>
          <w:rFonts w:ascii="Times New Roman" w:cs="Times New Roman" w:eastAsia="Times New Roman" w:hAnsi="Times New Roman"/>
          <w:sz w:val="18"/>
          <w:szCs w:val="18"/>
          <w:color w:val="auto"/>
        </w:rPr>
        <w:t xml:space="preserve"> shall remain in full force and effect.</w:t>
      </w:r>
    </w:p>
    <w:p>
      <w:pPr>
        <w:spacing w:after="0" w:line="174" w:lineRule="exact"/>
        <w:rPr>
          <w:rFonts w:ascii="Times New Roman" w:cs="Times New Roman" w:eastAsia="Times New Roman" w:hAnsi="Times New Roman"/>
          <w:sz w:val="18"/>
          <w:szCs w:val="18"/>
          <w:color w:val="auto"/>
        </w:rPr>
      </w:pPr>
    </w:p>
    <w:p>
      <w:pPr>
        <w:jc w:val="both"/>
        <w:ind w:firstLine="980"/>
        <w:spacing w:after="0" w:line="261" w:lineRule="auto"/>
        <w:tabs>
          <w:tab w:leader="none" w:pos="124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termination of this Agreement shall be effective on the date specified in such notice of termination;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termination shall not be effective until the close of business on the date of receipt of such notice by the Agent or the Company, as the case may be. If such termination shall occur prior to the Settlement Date for any sale of Placement Shares, such Placement Shares shall settle in accordance with the provisions of this Agreement.</w:t>
      </w:r>
    </w:p>
    <w:p>
      <w:pPr>
        <w:spacing w:after="0" w:line="182" w:lineRule="exact"/>
        <w:rPr>
          <w:sz w:val="20"/>
          <w:szCs w:val="20"/>
          <w:color w:val="auto"/>
        </w:rPr>
      </w:pPr>
    </w:p>
    <w:p>
      <w:pPr>
        <w:ind w:firstLine="656"/>
        <w:spacing w:after="0" w:line="282" w:lineRule="auto"/>
        <w:tabs>
          <w:tab w:leader="none" w:pos="93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or other communications required or permitted to be given by any party to any other party pursuant to the terms of this Agreement shall be in writing, unless otherwise specified, and if sent to the Agent, shall be delivered to:</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Cantor Fitzgerald &amp; Co.</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499 Park Avenue</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9" w:lineRule="exact"/>
        <w:rPr>
          <w:sz w:val="20"/>
          <w:szCs w:val="20"/>
          <w:color w:val="auto"/>
        </w:rPr>
      </w:pPr>
    </w:p>
    <w:p>
      <w:pPr>
        <w:ind w:left="980"/>
        <w:spacing w:after="0"/>
        <w:tabs>
          <w:tab w:leader="none" w:pos="1980" w:val="left"/>
        </w:tabs>
        <w:rPr>
          <w:sz w:val="20"/>
          <w:szCs w:val="20"/>
          <w:color w:val="auto"/>
        </w:rPr>
      </w:pPr>
      <w:r>
        <w:rPr>
          <w:rFonts w:ascii="Times New Roman" w:cs="Times New Roman" w:eastAsia="Times New Roman" w:hAnsi="Times New Roman"/>
          <w:sz w:val="18"/>
          <w:szCs w:val="18"/>
          <w:color w:val="auto"/>
        </w:rPr>
        <w:t>Attention:</w:t>
        <w:tab/>
        <w:t>Capital Markets/Jeffrey Lumby</w:t>
      </w:r>
    </w:p>
    <w:p>
      <w:pPr>
        <w:spacing w:after="0" w:line="9" w:lineRule="exact"/>
        <w:rPr>
          <w:sz w:val="20"/>
          <w:szCs w:val="20"/>
          <w:color w:val="auto"/>
        </w:rPr>
      </w:pPr>
    </w:p>
    <w:p>
      <w:pPr>
        <w:ind w:left="980"/>
        <w:spacing w:after="0"/>
        <w:tabs>
          <w:tab w:leader="none" w:pos="1980" w:val="left"/>
        </w:tabs>
        <w:rPr>
          <w:sz w:val="20"/>
          <w:szCs w:val="20"/>
          <w:color w:val="auto"/>
        </w:rPr>
      </w:pPr>
      <w:r>
        <w:rPr>
          <w:rFonts w:ascii="Times New Roman" w:cs="Times New Roman" w:eastAsia="Times New Roman" w:hAnsi="Times New Roman"/>
          <w:sz w:val="18"/>
          <w:szCs w:val="18"/>
          <w:color w:val="auto"/>
        </w:rPr>
        <w:t>Facsimile:</w:t>
        <w:tab/>
        <w:t>(212) 307-3730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Cantor Fitzgerald &amp; Co.</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499 Park Avenue</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9" w:lineRule="exact"/>
        <w:rPr>
          <w:sz w:val="20"/>
          <w:szCs w:val="20"/>
          <w:color w:val="auto"/>
        </w:rPr>
      </w:pPr>
    </w:p>
    <w:p>
      <w:pPr>
        <w:ind w:left="980"/>
        <w:spacing w:after="0"/>
        <w:tabs>
          <w:tab w:leader="none" w:pos="1980" w:val="left"/>
        </w:tabs>
        <w:rPr>
          <w:sz w:val="20"/>
          <w:szCs w:val="20"/>
          <w:color w:val="auto"/>
        </w:rPr>
      </w:pPr>
      <w:r>
        <w:rPr>
          <w:rFonts w:ascii="Times New Roman" w:cs="Times New Roman" w:eastAsia="Times New Roman" w:hAnsi="Times New Roman"/>
          <w:sz w:val="18"/>
          <w:szCs w:val="18"/>
          <w:color w:val="auto"/>
        </w:rPr>
        <w:t>Attention:</w:t>
        <w:tab/>
        <w:t>General Counsel</w:t>
      </w:r>
    </w:p>
    <w:p>
      <w:pPr>
        <w:spacing w:after="0" w:line="9" w:lineRule="exact"/>
        <w:rPr>
          <w:sz w:val="20"/>
          <w:szCs w:val="20"/>
          <w:color w:val="auto"/>
        </w:rPr>
      </w:pPr>
    </w:p>
    <w:p>
      <w:pPr>
        <w:ind w:left="980"/>
        <w:spacing w:after="0"/>
        <w:tabs>
          <w:tab w:leader="none" w:pos="1980" w:val="left"/>
        </w:tabs>
        <w:rPr>
          <w:sz w:val="20"/>
          <w:szCs w:val="20"/>
          <w:color w:val="auto"/>
        </w:rPr>
      </w:pPr>
      <w:r>
        <w:rPr>
          <w:rFonts w:ascii="Times New Roman" w:cs="Times New Roman" w:eastAsia="Times New Roman" w:hAnsi="Times New Roman"/>
          <w:sz w:val="18"/>
          <w:szCs w:val="18"/>
          <w:color w:val="auto"/>
        </w:rPr>
        <w:t>Facsimile:</w:t>
        <w:tab/>
        <w:t>(212) 829-4708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to:</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Cooley LLP</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1114 Avenue of the Americas</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NY 10036</w:t>
      </w:r>
    </w:p>
    <w:p>
      <w:pPr>
        <w:spacing w:after="0" w:line="9" w:lineRule="exact"/>
        <w:rPr>
          <w:sz w:val="20"/>
          <w:szCs w:val="20"/>
          <w:color w:val="auto"/>
        </w:rPr>
      </w:pPr>
    </w:p>
    <w:p>
      <w:pPr>
        <w:ind w:left="980"/>
        <w:spacing w:after="0"/>
        <w:tabs>
          <w:tab w:leader="none" w:pos="1980" w:val="left"/>
        </w:tabs>
        <w:rPr>
          <w:sz w:val="20"/>
          <w:szCs w:val="20"/>
          <w:color w:val="auto"/>
        </w:rPr>
      </w:pPr>
      <w:r>
        <w:rPr>
          <w:rFonts w:ascii="Times New Roman" w:cs="Times New Roman" w:eastAsia="Times New Roman" w:hAnsi="Times New Roman"/>
          <w:sz w:val="18"/>
          <w:szCs w:val="18"/>
          <w:color w:val="auto"/>
        </w:rPr>
        <w:t>Attention:</w:t>
        <w:tab/>
        <w:t>Daniel I. Goldberg, Esq.</w:t>
      </w:r>
    </w:p>
    <w:p>
      <w:pPr>
        <w:spacing w:after="0" w:line="9" w:lineRule="exact"/>
        <w:rPr>
          <w:sz w:val="20"/>
          <w:szCs w:val="20"/>
          <w:color w:val="auto"/>
        </w:rPr>
      </w:pPr>
    </w:p>
    <w:p>
      <w:pPr>
        <w:ind w:left="980"/>
        <w:spacing w:after="0"/>
        <w:tabs>
          <w:tab w:leader="none" w:pos="1980" w:val="left"/>
        </w:tabs>
        <w:rPr>
          <w:sz w:val="20"/>
          <w:szCs w:val="20"/>
          <w:color w:val="auto"/>
        </w:rPr>
      </w:pPr>
      <w:r>
        <w:rPr>
          <w:rFonts w:ascii="Times New Roman" w:cs="Times New Roman" w:eastAsia="Times New Roman" w:hAnsi="Times New Roman"/>
          <w:sz w:val="18"/>
          <w:szCs w:val="18"/>
          <w:color w:val="auto"/>
        </w:rPr>
        <w:t>Facsimile:</w:t>
        <w:tab/>
        <w:t>(212) 479-6275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if to the Company, shall be delivered to:</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Imprimis Pharmaceuticals, Inc.</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12264 El Camino Real, Suite 350</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San Diego, CA 92130</w:t>
      </w:r>
    </w:p>
    <w:p>
      <w:pPr>
        <w:spacing w:after="0" w:line="9" w:lineRule="exact"/>
        <w:rPr>
          <w:sz w:val="20"/>
          <w:szCs w:val="20"/>
          <w:color w:val="auto"/>
        </w:rPr>
      </w:pPr>
    </w:p>
    <w:p>
      <w:pPr>
        <w:ind w:left="980"/>
        <w:spacing w:after="0"/>
        <w:tabs>
          <w:tab w:leader="none" w:pos="1980" w:val="left"/>
        </w:tabs>
        <w:rPr>
          <w:sz w:val="20"/>
          <w:szCs w:val="20"/>
          <w:color w:val="auto"/>
        </w:rPr>
      </w:pPr>
      <w:r>
        <w:rPr>
          <w:rFonts w:ascii="Times New Roman" w:cs="Times New Roman" w:eastAsia="Times New Roman" w:hAnsi="Times New Roman"/>
          <w:sz w:val="18"/>
          <w:szCs w:val="18"/>
          <w:color w:val="auto"/>
        </w:rPr>
        <w:t>Attention:</w:t>
        <w:tab/>
        <w:t>Andrew R. Boll</w:t>
      </w:r>
    </w:p>
    <w:p>
      <w:pPr>
        <w:spacing w:after="0" w:line="9" w:lineRule="exact"/>
        <w:rPr>
          <w:sz w:val="20"/>
          <w:szCs w:val="20"/>
          <w:color w:val="auto"/>
        </w:rPr>
      </w:pPr>
    </w:p>
    <w:p>
      <w:pPr>
        <w:ind w:left="980"/>
        <w:spacing w:after="0"/>
        <w:tabs>
          <w:tab w:leader="none" w:pos="1980" w:val="left"/>
        </w:tabs>
        <w:rPr>
          <w:sz w:val="20"/>
          <w:szCs w:val="20"/>
          <w:color w:val="auto"/>
        </w:rPr>
      </w:pPr>
      <w:r>
        <w:rPr>
          <w:rFonts w:ascii="Times New Roman" w:cs="Times New Roman" w:eastAsia="Times New Roman" w:hAnsi="Times New Roman"/>
          <w:sz w:val="18"/>
          <w:szCs w:val="18"/>
          <w:color w:val="auto"/>
        </w:rPr>
        <w:t>Facsimile:</w:t>
        <w:tab/>
        <w:t>(858) 345-1745</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auto"/>
        </w:rPr>
        <w:t>with a copy to:</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Morrison &amp; Foerster LLP</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12531 High Bluff Drive, Suite 100</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San Diego, CA 92130</w:t>
      </w:r>
    </w:p>
    <w:p>
      <w:pPr>
        <w:spacing w:after="0" w:line="9" w:lineRule="exact"/>
        <w:rPr>
          <w:sz w:val="20"/>
          <w:szCs w:val="20"/>
          <w:color w:val="auto"/>
        </w:rPr>
      </w:pPr>
    </w:p>
    <w:p>
      <w:pPr>
        <w:ind w:left="980"/>
        <w:spacing w:after="0"/>
        <w:tabs>
          <w:tab w:leader="none" w:pos="1980" w:val="left"/>
        </w:tabs>
        <w:rPr>
          <w:sz w:val="20"/>
          <w:szCs w:val="20"/>
          <w:color w:val="auto"/>
        </w:rPr>
      </w:pPr>
      <w:r>
        <w:rPr>
          <w:rFonts w:ascii="Times New Roman" w:cs="Times New Roman" w:eastAsia="Times New Roman" w:hAnsi="Times New Roman"/>
          <w:sz w:val="18"/>
          <w:szCs w:val="18"/>
          <w:color w:val="auto"/>
        </w:rPr>
        <w:t>Attention:</w:t>
        <w:tab/>
        <w:t>Steven G. Rowles</w:t>
      </w:r>
    </w:p>
    <w:p>
      <w:pPr>
        <w:spacing w:after="0" w:line="9" w:lineRule="exact"/>
        <w:rPr>
          <w:sz w:val="20"/>
          <w:szCs w:val="20"/>
          <w:color w:val="auto"/>
        </w:rPr>
      </w:pPr>
    </w:p>
    <w:p>
      <w:pPr>
        <w:ind w:left="980"/>
        <w:spacing w:after="0"/>
        <w:tabs>
          <w:tab w:leader="none" w:pos="1980" w:val="left"/>
        </w:tabs>
        <w:rPr>
          <w:sz w:val="20"/>
          <w:szCs w:val="20"/>
          <w:color w:val="auto"/>
        </w:rPr>
      </w:pPr>
      <w:r>
        <w:rPr>
          <w:rFonts w:ascii="Times New Roman" w:cs="Times New Roman" w:eastAsia="Times New Roman" w:hAnsi="Times New Roman"/>
          <w:sz w:val="18"/>
          <w:szCs w:val="18"/>
          <w:color w:val="auto"/>
        </w:rPr>
        <w:t>Facsimile:</w:t>
        <w:tab/>
        <w:t>(858) 523-2810</w:t>
      </w:r>
    </w:p>
    <w:p>
      <w:pPr>
        <w:spacing w:after="0" w:line="207"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7"/>
          <w:szCs w:val="17"/>
          <w:color w:val="auto"/>
        </w:rPr>
        <w:t>Each party to this Agreement may change such address for notices by sending to the parties to this Agreement written notice of a new address for such purpose. Each such notice or other communication shall be deemed given (i) when delivered personally or by verifiable facsimile transmission (with an original to follow) on or before 4:30 p.m., New York City time, on a Business Day or, if such day is not a Business Day, on the next succeeding Business Day,</w:t>
      </w:r>
    </w:p>
    <w:p>
      <w:pPr>
        <w:spacing w:after="0" w:line="2" w:lineRule="exact"/>
        <w:rPr>
          <w:sz w:val="20"/>
          <w:szCs w:val="20"/>
          <w:color w:val="auto"/>
        </w:rPr>
      </w:pPr>
    </w:p>
    <w:p>
      <w:pPr>
        <w:jc w:val="both"/>
        <w:ind w:right="20" w:firstLine="8"/>
        <w:spacing w:after="0" w:line="255" w:lineRule="auto"/>
        <w:tabs>
          <w:tab w:leader="none" w:pos="26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next Business Day after timely delivery to a nationally-recognized overnight courier and (iii) on the Business Day actually received if deposited in the U.S. mail (certified or registered mail, return receipt requested, postage prepaid). For purposes of this Agreement, “</w:t>
      </w:r>
      <w:r>
        <w:rPr>
          <w:rFonts w:ascii="Times New Roman" w:cs="Times New Roman" w:eastAsia="Times New Roman" w:hAnsi="Times New Roman"/>
          <w:sz w:val="18"/>
          <w:szCs w:val="18"/>
          <w:b w:val="1"/>
          <w:bCs w:val="1"/>
          <w:u w:val="single" w:color="auto"/>
          <w:color w:val="auto"/>
        </w:rPr>
        <w:t>Business Day</w:t>
      </w:r>
      <w:r>
        <w:rPr>
          <w:rFonts w:ascii="Times New Roman" w:cs="Times New Roman" w:eastAsia="Times New Roman" w:hAnsi="Times New Roman"/>
          <w:sz w:val="18"/>
          <w:szCs w:val="18"/>
          <w:color w:val="auto"/>
        </w:rPr>
        <w:t>” shall mean any day on which the Exchange and commercial banks in the City of New York are open for business.</w:t>
      </w:r>
    </w:p>
    <w:p>
      <w:pPr>
        <w:spacing w:after="0" w:line="18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An electronic communication (“</w:t>
      </w:r>
      <w:r>
        <w:rPr>
          <w:rFonts w:ascii="Times New Roman" w:cs="Times New Roman" w:eastAsia="Times New Roman" w:hAnsi="Times New Roman"/>
          <w:sz w:val="18"/>
          <w:szCs w:val="18"/>
          <w:b w:val="1"/>
          <w:bCs w:val="1"/>
          <w:u w:val="single" w:color="auto"/>
          <w:color w:val="auto"/>
        </w:rPr>
        <w:t>Electronic Notice</w:t>
      </w:r>
      <w:r>
        <w:rPr>
          <w:rFonts w:ascii="Times New Roman" w:cs="Times New Roman" w:eastAsia="Times New Roman" w:hAnsi="Times New Roman"/>
          <w:sz w:val="18"/>
          <w:szCs w:val="18"/>
          <w:color w:val="auto"/>
        </w:rPr>
        <w:t xml:space="preserve">”) shall be deemed written notice for purposes of this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if sent to the electronic mail address specified by the receiving party under separate cover. Electronic Notice shall be deemed received at the time the party sending Electronic Notice receives verification of receipt by the receiving party. Any party receiving Electronic Notice may request and shall be entitled to receive the notice on paper, in a nonelectronic form (“</w:t>
      </w:r>
      <w:r>
        <w:rPr>
          <w:rFonts w:ascii="Times New Roman" w:cs="Times New Roman" w:eastAsia="Times New Roman" w:hAnsi="Times New Roman"/>
          <w:sz w:val="18"/>
          <w:szCs w:val="18"/>
          <w:b w:val="1"/>
          <w:bCs w:val="1"/>
          <w:u w:val="single" w:color="auto"/>
          <w:color w:val="auto"/>
        </w:rPr>
        <w:t>Nonelectronic Notic</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8"/>
          <w:szCs w:val="18"/>
          <w:color w:val="auto"/>
        </w:rPr>
        <w:t>”) which shall be sent to the requesting party within ten (10) days of receipt of the written request for Nonelectronic Notice.</w:t>
      </w:r>
    </w:p>
    <w:p>
      <w:pPr>
        <w:spacing w:after="0" w:line="184" w:lineRule="exact"/>
        <w:rPr>
          <w:sz w:val="20"/>
          <w:szCs w:val="20"/>
          <w:color w:val="auto"/>
        </w:rPr>
      </w:pPr>
    </w:p>
    <w:p>
      <w:pPr>
        <w:jc w:val="both"/>
        <w:ind w:firstLine="656"/>
        <w:spacing w:after="0" w:line="255" w:lineRule="auto"/>
        <w:tabs>
          <w:tab w:leader="none" w:pos="93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xml:space="preserve">. This Agreement shall inure to the benefit of and be binding upon the Company and the Agent and their respective successors and the parties referred to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hereof. References to any of the parties contained in this Agreement shall be deemed to include the successors and permitted assigns of such party. Nothing in this Agreement, express or implied, is intended to confer upon any party other than the parties hereto or their respective successors and permitted assigns any rights, remedies, obligations or liabilities under or by reason of this Agreement, except as expressly provided in this Agreement. Neither party may assign its rights or obligations under this Agreement without the prior written consent of the other 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Agent may assign its rights and obligations hereunder to an affiliate thereof without obtaining the Company’s consent, so long as such affiliate is a registered broker-dealer.</w:t>
      </w:r>
    </w:p>
    <w:p>
      <w:pPr>
        <w:spacing w:after="0" w:line="189" w:lineRule="exact"/>
        <w:rPr>
          <w:rFonts w:ascii="Times New Roman" w:cs="Times New Roman" w:eastAsia="Times New Roman" w:hAnsi="Times New Roman"/>
          <w:sz w:val="18"/>
          <w:szCs w:val="18"/>
          <w:color w:val="auto"/>
        </w:rPr>
      </w:pPr>
    </w:p>
    <w:p>
      <w:pPr>
        <w:ind w:firstLine="656"/>
        <w:spacing w:after="0" w:line="282" w:lineRule="auto"/>
        <w:tabs>
          <w:tab w:leader="none" w:pos="91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for Stock Splits</w:t>
      </w:r>
      <w:r>
        <w:rPr>
          <w:rFonts w:ascii="Times New Roman" w:cs="Times New Roman" w:eastAsia="Times New Roman" w:hAnsi="Times New Roman"/>
          <w:sz w:val="18"/>
          <w:szCs w:val="18"/>
          <w:color w:val="auto"/>
        </w:rPr>
        <w:t>. The parties acknowledge and agree that all share-related numbers contained in this Agreement shall be adjusted to take into account any stock split, stock dividend or similar event effected with respect to the Placement Shares.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7" w:name="page38"/>
    <w:bookmarkEnd w:id="37"/>
    <w:p>
      <w:pPr>
        <w:jc w:val="both"/>
        <w:ind w:firstLine="656"/>
        <w:spacing w:after="0" w:line="253" w:lineRule="auto"/>
        <w:tabs>
          <w:tab w:leader="none" w:pos="94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 Amendment; Severability; Waiver</w:t>
      </w:r>
      <w:r>
        <w:rPr>
          <w:rFonts w:ascii="Times New Roman" w:cs="Times New Roman" w:eastAsia="Times New Roman" w:hAnsi="Times New Roman"/>
          <w:sz w:val="18"/>
          <w:szCs w:val="18"/>
          <w:color w:val="auto"/>
        </w:rPr>
        <w:t>. This Agreement (including all schedules and exhibits attached hereto and Placement Notices issued pursuant hereto) constitutes the entire agreement and supersedes all other prior and contemporaneous agreements and undertakings, both written and oral, among the parties hereto with regard to the subject matter hereof. Neither this Agreement nor any term hereof may be amended except pursuant to a written instrument executed by the Company and the Agent. In the event that any one or more of the provisions contained herein, or the application thereof in any circumstance, is held invalid, illegal or unenforceable as written by a court of competent jurisdiction, then such provision shall be given full force and effect to the fullest possible extent that it is valid, legal and enforceable, and the remainder of the terms and provisions herein shall be construed as if such invalid, illegal or unenforceable term or provision was not contained herein, but only to the extent that giving effect to such provision and the remainder of the terms and provisions hereof shall be in accordance with the intent of the parties as reflected in this Agreement. No implied waiver by a party shall arise in the absence of a waiver in writing signed by such party. No failure or delay in exercising any right, power, or privilege hereunder shall operate as a waiver thereof, nor shall any single or partial exercise thereof preclude any other or further exercise thereof or the exercise of any right, power, or privilege hereunder.</w:t>
      </w:r>
    </w:p>
    <w:p>
      <w:pPr>
        <w:spacing w:after="0" w:line="188" w:lineRule="exact"/>
        <w:rPr>
          <w:rFonts w:ascii="Times New Roman" w:cs="Times New Roman" w:eastAsia="Times New Roman" w:hAnsi="Times New Roman"/>
          <w:sz w:val="18"/>
          <w:szCs w:val="18"/>
          <w:color w:val="auto"/>
        </w:rPr>
      </w:pPr>
    </w:p>
    <w:p>
      <w:pPr>
        <w:jc w:val="both"/>
        <w:ind w:firstLine="656"/>
        <w:spacing w:after="0" w:line="259" w:lineRule="auto"/>
        <w:tabs>
          <w:tab w:leader="none" w:pos="98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GOVERNING LAW AND TIME; WAIVER OF JURY TRIAL</w:t>
      </w:r>
      <w:r>
        <w:rPr>
          <w:rFonts w:ascii="Times New Roman" w:cs="Times New Roman" w:eastAsia="Times New Roman" w:hAnsi="Times New Roman"/>
          <w:sz w:val="18"/>
          <w:szCs w:val="18"/>
          <w:b w:val="1"/>
          <w:bCs w:val="1"/>
          <w:color w:val="auto"/>
        </w:rPr>
        <w:t>. THIS AGREEMENT SHALL BE GOVERNED BY AND CONSTRUED IN ACCORDANCE WITH THE LAWS OF THE STATE OF NEW YORK WITHOUT REGARD TO THE PRINCIPLES OF CONFLICTS OF LAWS. SPECIFIED TIMES OF DAY REFER TO NEW YORK CITY TIME. EACH PARTY HEREBY IRREVOCABLY WAIVES, TO THE FULLEST EXTENT PERMITTED BY APPLICABLE LAW, ANY AND ALL RIGHT TO TRIAL BY JURY IN ANY LEGAL PROCEEDING ARISING OUT OF OR RELATING TO THIS AGREEMENT OR THE TRANSACTIONS CONTEMPLATED HEREBY.</w:t>
      </w:r>
    </w:p>
    <w:p>
      <w:pPr>
        <w:spacing w:after="0" w:line="179" w:lineRule="exact"/>
        <w:rPr>
          <w:rFonts w:ascii="Times New Roman" w:cs="Times New Roman" w:eastAsia="Times New Roman" w:hAnsi="Times New Roman"/>
          <w:sz w:val="18"/>
          <w:szCs w:val="18"/>
          <w:color w:val="auto"/>
        </w:rPr>
      </w:pPr>
    </w:p>
    <w:p>
      <w:pPr>
        <w:jc w:val="both"/>
        <w:ind w:firstLine="656"/>
        <w:spacing w:after="0" w:line="253" w:lineRule="auto"/>
        <w:tabs>
          <w:tab w:leader="none" w:pos="91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CONSENT TO JURISDICTION</w:t>
      </w:r>
      <w:r>
        <w:rPr>
          <w:rFonts w:ascii="Times New Roman" w:cs="Times New Roman" w:eastAsia="Times New Roman" w:hAnsi="Times New Roman"/>
          <w:sz w:val="18"/>
          <w:szCs w:val="18"/>
          <w:b w:val="1"/>
          <w:bCs w:val="1"/>
          <w:color w:val="auto"/>
        </w:rPr>
        <w:t>. EACH PARTY HEREBY IRREVOCABLY SUBMITS TO THE NON-EXCLUSIVE JURISDICTION OF THE STATE AND FEDERAL COURTS SITTING IN THE CITY OF NEW YORK, BOROUGH OF MANHATTAN, FOR THE ADJUDICATION OF ANY DISPUTE HEREUNDER OR IN CONNECTION WITH ANY TRANSACTION CONTEMPLATED 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(CERTIFIED OR REGISTERED MAIL, RETURN RECEIPT REQUESTED)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w:t>
      </w:r>
    </w:p>
    <w:p>
      <w:pPr>
        <w:spacing w:after="0" w:line="194" w:lineRule="exact"/>
        <w:rPr>
          <w:rFonts w:ascii="Times New Roman" w:cs="Times New Roman" w:eastAsia="Times New Roman" w:hAnsi="Times New Roman"/>
          <w:sz w:val="18"/>
          <w:szCs w:val="18"/>
          <w:color w:val="auto"/>
        </w:rPr>
      </w:pPr>
    </w:p>
    <w:p>
      <w:pPr>
        <w:jc w:val="both"/>
        <w:ind w:firstLine="656"/>
        <w:spacing w:after="0" w:line="266" w:lineRule="auto"/>
        <w:tabs>
          <w:tab w:leader="none" w:pos="91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or more counterparts, each of which shall be deemed an original, but all of which together shall constitute one and the same instrument. Delivery of an executed Agreement by one party to the other may be made by facsimile or electronic transmission.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8" w:name="page39"/>
    <w:bookmarkEnd w:id="38"/>
    <w:p>
      <w:pPr>
        <w:jc w:val="both"/>
        <w:ind w:firstLine="656"/>
        <w:spacing w:after="0" w:line="261" w:lineRule="auto"/>
        <w:tabs>
          <w:tab w:leader="none" w:pos="91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The section and exhibit headings herein are for convenience only and shall not affect the construction hereof. References herein to any law, statute, ordinance, code, regulation, rule or other requirement of any Governmental Authority shall be deemed to refer to such law, statute, ordinance, code, regulation, rule or other requirement of any Governmental Authority as amended, reenacted, supplemented or superseded in whole or in part and in effect from time to time and also to all rules and regulations promulgated thereunder.</w:t>
      </w:r>
    </w:p>
    <w:p>
      <w:pPr>
        <w:spacing w:after="0" w:line="180" w:lineRule="exact"/>
        <w:rPr>
          <w:rFonts w:ascii="Times New Roman" w:cs="Times New Roman" w:eastAsia="Times New Roman" w:hAnsi="Times New Roman"/>
          <w:sz w:val="18"/>
          <w:szCs w:val="18"/>
          <w:color w:val="auto"/>
        </w:rPr>
      </w:pPr>
    </w:p>
    <w:p>
      <w:pPr>
        <w:jc w:val="both"/>
        <w:ind w:firstLine="656"/>
        <w:spacing w:after="0" w:line="254" w:lineRule="auto"/>
        <w:tabs>
          <w:tab w:leader="none" w:pos="91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Permitted Free Writing Prospectuses</w:t>
      </w:r>
      <w:r>
        <w:rPr>
          <w:rFonts w:ascii="Times New Roman" w:cs="Times New Roman" w:eastAsia="Times New Roman" w:hAnsi="Times New Roman"/>
          <w:sz w:val="18"/>
          <w:szCs w:val="18"/>
          <w:color w:val="auto"/>
        </w:rPr>
        <w:t xml:space="preserve">. The Company represents, warrants and agrees that, unless it obtains the prior written consent of the Agent, which consent shall not be unreasonably withheld, delayed or conditioned, and the Agent represents, warrants and agrees that, unless it obtains the prior written consent of the Company, which consent shall not be unreasonably withheld, delayed or conditioned, it has not made and will not make any offer relating to the Placement Shares that would constitute an Issuer Free Writing Prospectus, or that would otherwise constitute a “free writing prospectus,” as defined in Rule 405, required to be filed with the Commission. Any such free writing prospectus consented to by the Agent or by the Company, as the case may be, is hereinafter referred to as a “Permitted Free Writing Prospectus.” The Company represents and warrants that it has treated and agrees that it will treat each Permitted Free Writing Prospectus as an “issuer free writing prospectus,” as defined in Rule 433, and has complied and will comply with the requirements of Rule 433 applicable to any Permitted Free Writing Prospectus, including timely filing with the Commission where required, legending and record keeping. For the purposes of clarity, the parties hereto agree that all free writing prospectuses, if any, listed in </w:t>
      </w:r>
      <w:r>
        <w:rPr>
          <w:rFonts w:ascii="Times New Roman" w:cs="Times New Roman" w:eastAsia="Times New Roman" w:hAnsi="Times New Roman"/>
          <w:sz w:val="18"/>
          <w:szCs w:val="18"/>
          <w:u w:val="single" w:color="auto"/>
          <w:color w:val="auto"/>
        </w:rPr>
        <w:t>Exhibit 22</w:t>
      </w:r>
      <w:r>
        <w:rPr>
          <w:rFonts w:ascii="Times New Roman" w:cs="Times New Roman" w:eastAsia="Times New Roman" w:hAnsi="Times New Roman"/>
          <w:sz w:val="18"/>
          <w:szCs w:val="18"/>
          <w:color w:val="auto"/>
        </w:rPr>
        <w:t xml:space="preserve"> hereto are Permitted Free Writing Prospectuses.</w:t>
      </w:r>
    </w:p>
    <w:p>
      <w:pPr>
        <w:spacing w:after="0" w:line="186"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Fiduciary Relationship</w:t>
      </w:r>
      <w:r>
        <w:rPr>
          <w:rFonts w:ascii="Times New Roman" w:cs="Times New Roman" w:eastAsia="Times New Roman" w:hAnsi="Times New Roman"/>
          <w:sz w:val="18"/>
          <w:szCs w:val="18"/>
          <w:color w:val="auto"/>
        </w:rPr>
        <w:t>. The Company acknowledges and agrees that:</w:t>
      </w:r>
    </w:p>
    <w:p>
      <w:pPr>
        <w:spacing w:after="0" w:line="225" w:lineRule="exact"/>
        <w:rPr>
          <w:rFonts w:ascii="Times New Roman" w:cs="Times New Roman" w:eastAsia="Times New Roman" w:hAnsi="Times New Roman"/>
          <w:sz w:val="18"/>
          <w:szCs w:val="18"/>
          <w:color w:val="auto"/>
        </w:rPr>
      </w:pPr>
    </w:p>
    <w:p>
      <w:pPr>
        <w:jc w:val="both"/>
        <w:ind w:firstLine="980"/>
        <w:spacing w:after="0" w:line="256" w:lineRule="auto"/>
        <w:tabs>
          <w:tab w:leader="none" w:pos="123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is acting solely as agent in connection with the public offering of the Placement Shares and in connection with each transaction contemplated by this Agreement and the process leading to such transactions, and no fiduciary or advisory relationship between the Company or any of its respective affiliates, stockholders (or other equity holders), creditors or employees or any other party, on the one hand, and the Agent, on the other hand, has been or will be created in respect of any of the transactions contemplated by this Agreement, irrespective of whether or not the Agent has advised or is advising the Company on other matters, and the Agent has no obligation to the Company with respect to the transactions contemplated by this Agreement except the obligations expressly set forth in this Agreement;</w:t>
      </w:r>
    </w:p>
    <w:p>
      <w:pPr>
        <w:spacing w:after="0" w:line="187" w:lineRule="exact"/>
        <w:rPr>
          <w:rFonts w:ascii="Times New Roman" w:cs="Times New Roman" w:eastAsia="Times New Roman" w:hAnsi="Times New Roman"/>
          <w:sz w:val="18"/>
          <w:szCs w:val="18"/>
          <w:color w:val="auto"/>
        </w:rPr>
      </w:pPr>
    </w:p>
    <w:p>
      <w:pPr>
        <w:ind w:firstLine="980"/>
        <w:spacing w:after="0" w:line="282" w:lineRule="auto"/>
        <w:tabs>
          <w:tab w:leader="none" w:pos="1235"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capable of evaluating and understanding, and understands and accepts, the terms, risks and conditions of the transactions contemplated by this Agreement;</w:t>
      </w:r>
    </w:p>
    <w:p>
      <w:pPr>
        <w:spacing w:after="0" w:line="161" w:lineRule="exact"/>
        <w:rPr>
          <w:rFonts w:ascii="Times New Roman" w:cs="Times New Roman" w:eastAsia="Times New Roman" w:hAnsi="Times New Roman"/>
          <w:sz w:val="18"/>
          <w:szCs w:val="18"/>
          <w:color w:val="auto"/>
        </w:rPr>
      </w:pPr>
    </w:p>
    <w:p>
      <w:pPr>
        <w:ind w:firstLine="980"/>
        <w:spacing w:after="0" w:line="282" w:lineRule="auto"/>
        <w:tabs>
          <w:tab w:leader="none" w:pos="1218"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Agent nor its affiliates have provided any legal, accounting, regulatory or tax advice with respect to the transactions contemplated by this Agreement and it has consulted its own legal, accounting, regulatory and tax advisors to the extent it has deemed appropriate;</w:t>
      </w:r>
    </w:p>
    <w:p>
      <w:pPr>
        <w:spacing w:after="0" w:line="161" w:lineRule="exact"/>
        <w:rPr>
          <w:rFonts w:ascii="Times New Roman" w:cs="Times New Roman" w:eastAsia="Times New Roman" w:hAnsi="Times New Roman"/>
          <w:sz w:val="18"/>
          <w:szCs w:val="18"/>
          <w:color w:val="auto"/>
        </w:rPr>
      </w:pPr>
    </w:p>
    <w:p>
      <w:pPr>
        <w:jc w:val="both"/>
        <w:ind w:firstLine="980"/>
        <w:spacing w:after="0" w:line="266" w:lineRule="auto"/>
        <w:tabs>
          <w:tab w:leader="none" w:pos="1232"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aware that the Agent and its affiliates are engaged in a broad range of transactions which may involve interests that differ from those of the Company and the Agent and its affiliates have no obligation to disclose such interests and transactions to the Company by virtue of any fiduciary, advisory or agency relationship or otherwise; and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9" w:name="page40"/>
    <w:bookmarkEnd w:id="39"/>
    <w:p>
      <w:pPr>
        <w:jc w:val="both"/>
        <w:ind w:firstLine="980"/>
        <w:spacing w:after="0" w:line="256" w:lineRule="auto"/>
        <w:tabs>
          <w:tab w:leader="none" w:pos="1234"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waives, to the fullest extent permitted by law, any claims it may have against the Agent or its affiliates for breach of fiduciary duty or alleged breach of fiduciary duty in connection with the sale of Placement Shares under this Agreement and agrees that the Agent and its affiliates shall not have any liability (whether direct or indirect, in contract, tort or otherwise) to it in respect of such a fiduciary duty claim or to any person asserting a fiduciary duty claim on its behalf or in right of it or the Company, employees or creditors of Company, other than in respect of the Agent’s obligations under this Agreement and to keep information provided by the Company to the Agent and the Agent’s counsel confidential to the extent not otherwise publicly-available.</w:t>
      </w:r>
    </w:p>
    <w:p>
      <w:pPr>
        <w:spacing w:after="0" w:line="187"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As used in this Agreement, the following terms have the respective meanings set forth below:</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Applicable Time</w:t>
      </w:r>
      <w:r>
        <w:rPr>
          <w:rFonts w:ascii="Times New Roman" w:cs="Times New Roman" w:eastAsia="Times New Roman" w:hAnsi="Times New Roman"/>
          <w:sz w:val="18"/>
          <w:szCs w:val="18"/>
          <w:color w:val="auto"/>
        </w:rPr>
        <w:t>” means (i) each Representation Date and (ii) the time of each sale of any Placement Shares pursuant to this Agreement.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Governmental Authority</w:t>
      </w:r>
      <w:r>
        <w:rPr>
          <w:rFonts w:ascii="Times New Roman" w:cs="Times New Roman" w:eastAsia="Times New Roman" w:hAnsi="Times New Roman"/>
          <w:sz w:val="18"/>
          <w:szCs w:val="18"/>
          <w:color w:val="auto"/>
        </w:rPr>
        <w:t>” means (i) any federal, provincial, state, local, municipal, national or international government or governmental authority, regulatory or administrative agency, governmental commission, department, board, bureau, agency or instrumentality, court, tribunal, arbitrator or arbitral body (public or private); (ii) any self-regulatory organization; or (iii) any political subdivision of any of the foregoing.</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Issuer Free Writing Prospectus</w:t>
      </w:r>
      <w:r>
        <w:rPr>
          <w:rFonts w:ascii="Times New Roman" w:cs="Times New Roman" w:eastAsia="Times New Roman" w:hAnsi="Times New Roman"/>
          <w:sz w:val="18"/>
          <w:szCs w:val="18"/>
          <w:color w:val="auto"/>
        </w:rPr>
        <w:t>” means any “issuer free writing prospectus,” as defined in Rule 433, relating to the Placement Shares that (1) is required to be filed with the Commission by the Company, (2) is a “road show” that is a “written communication” within the meaning of Rule 433(d)(8)(i) whether or not required to be filed with the Commission, or (3) is exempt from filing pursuant to Rule 433(d)(5)(i) because it contains a description of the Placement Shares or of the offering that does not reflect the final terms, in each case in the form filed or required to be filed with the Commission or, if not required to be filed, in the form retained in the Company’s records pursuant to Rule 433(g) under the Securities Act Regulations.</w:t>
      </w:r>
    </w:p>
    <w:p>
      <w:pPr>
        <w:spacing w:after="0" w:line="180"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Rule 164</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u w:val="single" w:color="auto"/>
          <w:color w:val="auto"/>
        </w:rPr>
        <w:t>Rule 172</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u w:val="single" w:color="auto"/>
          <w:color w:val="auto"/>
        </w:rPr>
        <w:t>Rule 405</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u w:val="single" w:color="auto"/>
          <w:color w:val="auto"/>
        </w:rPr>
        <w:t>Rule 415</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u w:val="single" w:color="auto"/>
          <w:color w:val="auto"/>
        </w:rPr>
        <w:t>Rule 424</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u w:val="single" w:color="auto"/>
          <w:color w:val="auto"/>
        </w:rPr>
        <w:t>Rule 424(b)</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u w:val="single" w:color="auto"/>
          <w:color w:val="auto"/>
        </w:rPr>
        <w:t>Rule 430B</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u w:val="single" w:color="auto"/>
          <w:color w:val="auto"/>
        </w:rPr>
        <w:t>Rule 433</w:t>
      </w:r>
      <w:r>
        <w:rPr>
          <w:rFonts w:ascii="Times New Roman" w:cs="Times New Roman" w:eastAsia="Times New Roman" w:hAnsi="Times New Roman"/>
          <w:sz w:val="18"/>
          <w:szCs w:val="18"/>
          <w:color w:val="auto"/>
        </w:rPr>
        <w:t>” refer to such rules under the Securities Act Regulations.</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references in this Agreement to financial statements and schedules and other information that is “contained,” “included” or “stated” in the Registration Statement or the Prospectus (and all other references of like import) shall be deemed to mean and include all such financial statements and schedules and other information that is incorporated by reference in the Registration Statement or the Prospectus, as the case may be.</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All references in this Agreement to the Registration Statement, the Prospectus or any amendment or supplement to any of the foregoing shall be deemed to include the copy filed with the Commission pursuant to EDGAR; all references in this Agreement to any Issuer Free Writing Prospectus (other than any Issuer Free Writing Prospectuses that, pursuant to Rule 433, are not required to be filed with the Commission) shall be deemed to include the copy thereof filed with the Commission pursuant to EDGAR; and all references in this Agreement to “supplements” to the Prospectus shall include, without limitation, any supplements, “wrappers” or similar materials prepared in connection with any offering, sale or private placement of any Placement Shares by the Agent outside of the United States.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Signature Page Follows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0" w:name="page41"/>
    <w:bookmarkEnd w:id="40"/>
    <w:p>
      <w:pPr>
        <w:ind w:firstLine="648"/>
        <w:spacing w:after="0" w:line="282" w:lineRule="auto"/>
        <w:rPr>
          <w:sz w:val="20"/>
          <w:szCs w:val="20"/>
          <w:color w:val="auto"/>
        </w:rPr>
      </w:pPr>
      <w:r>
        <w:rPr>
          <w:rFonts w:ascii="Times New Roman" w:cs="Times New Roman" w:eastAsia="Times New Roman" w:hAnsi="Times New Roman"/>
          <w:sz w:val="18"/>
          <w:szCs w:val="18"/>
          <w:color w:val="auto"/>
        </w:rPr>
        <w:t>If the foregoing correctly sets forth the understanding between the Company and the Agent, please so indicate in the space provided below for that purpose, whereupon this letter shall constitute a binding agreement between the Company and the Agent.</w:t>
      </w:r>
    </w:p>
    <w:p>
      <w:pPr>
        <w:spacing w:after="0" w:line="16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IMPRIMIS PHARMACEUTICALS, INC.</w:t>
      </w:r>
    </w:p>
    <w:p>
      <w:pPr>
        <w:spacing w:after="0" w:line="223" w:lineRule="exact"/>
        <w:rPr>
          <w:sz w:val="20"/>
          <w:szCs w:val="20"/>
          <w:color w:val="auto"/>
        </w:rPr>
      </w:pPr>
    </w:p>
    <w:p>
      <w:pPr>
        <w:ind w:left="5720"/>
        <w:spacing w:after="0"/>
        <w:tabs>
          <w:tab w:leader="none" w:pos="62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Mark L. Baum</w:t>
      </w:r>
    </w:p>
    <w:p>
      <w:pPr>
        <w:spacing w:after="0" w:line="3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-127635</wp:posOffset>
            </wp:positionV>
            <wp:extent cx="32588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21" w:lineRule="exact"/>
        <w:rPr>
          <w:sz w:val="20"/>
          <w:szCs w:val="20"/>
          <w:color w:val="auto"/>
        </w:rPr>
      </w:pPr>
    </w:p>
    <w:p>
      <w:pPr>
        <w:ind w:left="5720"/>
        <w:spacing w:after="0"/>
        <w:tabs>
          <w:tab w:leader="none" w:pos="6260" w:val="left"/>
        </w:tabs>
        <w:rPr>
          <w:sz w:val="20"/>
          <w:szCs w:val="20"/>
          <w:color w:val="auto"/>
        </w:rPr>
      </w:pPr>
      <w:r>
        <w:rPr>
          <w:rFonts w:ascii="Times New Roman" w:cs="Times New Roman" w:eastAsia="Times New Roman" w:hAnsi="Times New Roman"/>
          <w:sz w:val="18"/>
          <w:szCs w:val="18"/>
          <w:color w:val="auto"/>
        </w:rPr>
        <w:t>Title:</w:t>
        <w:tab/>
        <w:t>President and Chief Executive Officer</w:t>
      </w:r>
    </w:p>
    <w:p>
      <w:pPr>
        <w:spacing w:after="0" w:line="20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ACCEPTED as of the date first-above written:</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CANTOR FITZGERALD &amp; CO.</w:t>
      </w:r>
    </w:p>
    <w:p>
      <w:pPr>
        <w:spacing w:after="0" w:line="223" w:lineRule="exact"/>
        <w:rPr>
          <w:sz w:val="20"/>
          <w:szCs w:val="20"/>
          <w:color w:val="auto"/>
        </w:rPr>
      </w:pPr>
    </w:p>
    <w:p>
      <w:pPr>
        <w:ind w:left="5720"/>
        <w:spacing w:after="0"/>
        <w:tabs>
          <w:tab w:leader="none" w:pos="62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Jeffrey Lumby</w:t>
      </w:r>
    </w:p>
    <w:p>
      <w:pPr>
        <w:spacing w:after="0" w:line="3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Jeffrey Lumby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-127635</wp:posOffset>
            </wp:positionV>
            <wp:extent cx="32588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21" w:lineRule="exact"/>
        <w:rPr>
          <w:sz w:val="20"/>
          <w:szCs w:val="20"/>
          <w:color w:val="auto"/>
        </w:rPr>
      </w:pPr>
    </w:p>
    <w:p>
      <w:pPr>
        <w:ind w:left="5720"/>
        <w:spacing w:after="0"/>
        <w:tabs>
          <w:tab w:leader="none" w:pos="6260" w:val="left"/>
        </w:tabs>
        <w:rPr>
          <w:sz w:val="20"/>
          <w:szCs w:val="20"/>
          <w:color w:val="auto"/>
        </w:rPr>
      </w:pPr>
      <w:r>
        <w:rPr>
          <w:rFonts w:ascii="Times New Roman" w:cs="Times New Roman" w:eastAsia="Times New Roman" w:hAnsi="Times New Roman"/>
          <w:sz w:val="18"/>
          <w:szCs w:val="18"/>
          <w:color w:val="auto"/>
        </w:rPr>
        <w:t>Title:</w:t>
        <w:tab/>
        <w:t>Senior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1" w:name="page42"/>
    <w:bookmarkEnd w:id="4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157480</wp:posOffset>
            </wp:positionV>
            <wp:extent cx="180975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of Placement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164465</wp:posOffset>
            </wp:positionV>
            <wp:extent cx="180975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p>
      <w:pPr>
        <w:spacing w:after="0" w:line="200" w:lineRule="exact"/>
        <w:rPr>
          <w:sz w:val="20"/>
          <w:szCs w:val="20"/>
          <w:color w:val="auto"/>
        </w:rPr>
      </w:pPr>
    </w:p>
    <w:p>
      <w:pPr>
        <w:spacing w:after="0" w:line="2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From: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Imprimis Pharmaceuticals, Inc.</w:t>
      </w:r>
    </w:p>
    <w:p>
      <w:pPr>
        <w:spacing w:after="0" w:line="200" w:lineRule="exact"/>
        <w:rPr>
          <w:sz w:val="20"/>
          <w:szCs w:val="20"/>
          <w:color w:val="auto"/>
        </w:rPr>
      </w:pPr>
    </w:p>
    <w:p>
      <w:pPr>
        <w:sectPr>
          <w:pgSz w:w="11900" w:h="16838" w:orient="portrait"/>
          <w:cols w:equalWidth="0" w:num="2">
            <w:col w:w="1100" w:space="520"/>
            <w:col w:w="9800"/>
          </w:cols>
          <w:pgMar w:left="240" w:top="657" w:right="239" w:bottom="1440" w:gutter="0" w:footer="0" w:header="0"/>
          <w:type w:val="continuous"/>
        </w:sectPr>
      </w:pPr>
    </w:p>
    <w:p>
      <w:pPr>
        <w:spacing w:after="0" w:line="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To:</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Cantor Fitzgerald &amp; Co.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w:t>
      </w:r>
    </w:p>
    <w:p>
      <w:pPr>
        <w:spacing w:after="0" w:line="200" w:lineRule="exact"/>
        <w:rPr>
          <w:sz w:val="20"/>
          <w:szCs w:val="20"/>
          <w:color w:val="auto"/>
        </w:rPr>
      </w:pPr>
    </w:p>
    <w:p>
      <w:pPr>
        <w:sectPr>
          <w:pgSz w:w="11900" w:h="16838" w:orient="portrait"/>
          <w:cols w:equalWidth="0" w:num="2">
            <w:col w:w="900" w:space="720"/>
            <w:col w:w="9800"/>
          </w:cols>
          <w:pgMar w:left="240" w:top="657" w:right="239" w:bottom="1440" w:gutter="0" w:footer="0" w:header="0"/>
          <w:type w:val="continuous"/>
        </w:sectPr>
      </w:pPr>
    </w:p>
    <w:p>
      <w:pPr>
        <w:spacing w:after="0" w:line="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Subject: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Placement Notice</w:t>
      </w:r>
    </w:p>
    <w:p>
      <w:pPr>
        <w:spacing w:after="0" w:line="200" w:lineRule="exact"/>
        <w:rPr>
          <w:sz w:val="20"/>
          <w:szCs w:val="20"/>
          <w:color w:val="auto"/>
        </w:rPr>
      </w:pPr>
    </w:p>
    <w:p>
      <w:pPr>
        <w:sectPr>
          <w:pgSz w:w="11900" w:h="16838" w:orient="portrait"/>
          <w:cols w:equalWidth="0" w:num="2">
            <w:col w:w="1240" w:space="380"/>
            <w:col w:w="9800"/>
          </w:cols>
          <w:pgMar w:left="240" w:top="657" w:right="239" w:bottom="1440" w:gutter="0" w:footer="0" w:header="0"/>
          <w:type w:val="continuous"/>
        </w:sectPr>
      </w:pPr>
    </w:p>
    <w:p>
      <w:pPr>
        <w:spacing w:after="0" w:line="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Date:</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201[●]</w:t>
      </w:r>
    </w:p>
    <w:p>
      <w:pPr>
        <w:spacing w:after="0" w:line="200" w:lineRule="exact"/>
        <w:rPr>
          <w:sz w:val="20"/>
          <w:szCs w:val="20"/>
          <w:color w:val="auto"/>
        </w:rPr>
      </w:pPr>
    </w:p>
    <w:p>
      <w:pPr>
        <w:sectPr>
          <w:pgSz w:w="11900" w:h="16838" w:orient="portrait"/>
          <w:cols w:equalWidth="0" w:num="2">
            <w:col w:w="1040" w:space="580"/>
            <w:col w:w="9800"/>
          </w:cols>
          <w:pgMar w:left="240" w:top="657" w:right="239" w:bottom="1440" w:gutter="0" w:footer="0" w:header="0"/>
          <w:type w:val="continuous"/>
        </w:sectPr>
      </w:pPr>
    </w:p>
    <w:p>
      <w:pPr>
        <w:spacing w:after="0" w:line="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Pursuant to the terms and subject to the conditions contained in the Sales Agreement between Imprimis Pharmaceuticals, Inc., a Delaware corporation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and Cantor Fitzgerald &amp; Co. (“</w:t>
      </w:r>
      <w:r>
        <w:rPr>
          <w:rFonts w:ascii="Times New Roman" w:cs="Times New Roman" w:eastAsia="Times New Roman" w:hAnsi="Times New Roman"/>
          <w:sz w:val="18"/>
          <w:szCs w:val="18"/>
          <w:b w:val="1"/>
          <w:bCs w:val="1"/>
          <w:u w:val="single" w:color="auto"/>
          <w:color w:val="auto"/>
        </w:rPr>
        <w:t>Agent</w:t>
      </w:r>
      <w:r>
        <w:rPr>
          <w:rFonts w:ascii="Times New Roman" w:cs="Times New Roman" w:eastAsia="Times New Roman" w:hAnsi="Times New Roman"/>
          <w:sz w:val="18"/>
          <w:szCs w:val="18"/>
          <w:color w:val="auto"/>
        </w:rPr>
        <w:t>”), dated November 27, 2015, the Company hereby requests that the Agent sell up to [•] of the Company’s common stock, par value $0.001 per share, at a minimum market price of $[•] per share, during the time period beginning [month, day, time] and ending [month, day,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type w:val="continuous"/>
        </w:sectPr>
      </w:pPr>
    </w:p>
    <w:bookmarkStart w:id="42" w:name="page43"/>
    <w:bookmarkEnd w:id="4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157480</wp:posOffset>
            </wp:positionV>
            <wp:extent cx="180975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157480</wp:posOffset>
            </wp:positionV>
            <wp:extent cx="180975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Company shall pay to the Agent in cash, upon each sale of Placement Shares pursuant to this Agreement, an amount equal to 3.0% of the aggregate gross proceeds from each sale of Placement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43" w:name="page44"/>
    <w:bookmarkEnd w:id="43"/>
    <w:p>
      <w:pPr>
        <w:jc w:val="right"/>
        <w:ind w:right="3939"/>
        <w:spacing w:after="0"/>
        <w:rPr>
          <w:sz w:val="20"/>
          <w:szCs w:val="20"/>
          <w:color w:val="auto"/>
        </w:rPr>
      </w:pPr>
      <w:r>
        <w:rPr>
          <w:rFonts w:ascii="Times New Roman" w:cs="Times New Roman" w:eastAsia="Times New Roman" w:hAnsi="Times New Roman"/>
          <w:sz w:val="18"/>
          <w:szCs w:val="18"/>
          <w:b w:val="1"/>
          <w:bCs w:val="1"/>
          <w:color w:val="auto"/>
        </w:rPr>
        <w:t>SCHEDULE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157480</wp:posOffset>
            </wp:positionV>
            <wp:extent cx="180975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Notice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157480</wp:posOffset>
            </wp:positionV>
            <wp:extent cx="180975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L. Baum (</w:t>
      </w:r>
      <w:r>
        <w:rPr>
          <w:rFonts w:ascii="Times New Roman" w:cs="Times New Roman" w:eastAsia="Times New Roman" w:hAnsi="Times New Roman"/>
          <w:sz w:val="18"/>
          <w:szCs w:val="18"/>
          <w:u w:val="single" w:color="auto"/>
          <w:color w:val="auto"/>
        </w:rPr>
        <w:t>mark@imprimispharma.com</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Andrew R. Boll (</w:t>
      </w:r>
      <w:r>
        <w:rPr>
          <w:rFonts w:ascii="Times New Roman" w:cs="Times New Roman" w:eastAsia="Times New Roman" w:hAnsi="Times New Roman"/>
          <w:sz w:val="18"/>
          <w:szCs w:val="18"/>
          <w:u w:val="single" w:color="auto"/>
          <w:color w:val="auto"/>
        </w:rPr>
        <w:t>aboll@imprimispharma.com</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The Agent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 Lumby (</w:t>
      </w:r>
      <w:r>
        <w:rPr>
          <w:rFonts w:ascii="Times New Roman" w:cs="Times New Roman" w:eastAsia="Times New Roman" w:hAnsi="Times New Roman"/>
          <w:sz w:val="18"/>
          <w:szCs w:val="18"/>
          <w:u w:val="single" w:color="auto"/>
          <w:color w:val="auto"/>
        </w:rPr>
        <w:t>jlumby@cantor.com</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Josh Feldman (</w:t>
      </w:r>
      <w:r>
        <w:rPr>
          <w:rFonts w:ascii="Times New Roman" w:cs="Times New Roman" w:eastAsia="Times New Roman" w:hAnsi="Times New Roman"/>
          <w:sz w:val="18"/>
          <w:szCs w:val="18"/>
          <w:u w:val="single" w:color="auto"/>
          <w:color w:val="auto"/>
        </w:rPr>
        <w:t>jfeldman@cantor.com</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Sameer Vasudev (</w:t>
      </w:r>
      <w:r>
        <w:rPr>
          <w:rFonts w:ascii="Times New Roman" w:cs="Times New Roman" w:eastAsia="Times New Roman" w:hAnsi="Times New Roman"/>
          <w:sz w:val="18"/>
          <w:szCs w:val="18"/>
          <w:u w:val="single" w:color="auto"/>
          <w:color w:val="auto"/>
        </w:rPr>
        <w:t>svasudev@cantor.com</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copies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CFControlledEquityOffering@cantor.com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657" w:right="1440" w:bottom="1440" w:gutter="0" w:footer="0" w:header="0"/>
        </w:sectPr>
      </w:pPr>
    </w:p>
    <w:bookmarkStart w:id="44" w:name="page45"/>
    <w:bookmarkEnd w:id="44"/>
    <w:p>
      <w:pPr>
        <w:ind w:left="5160"/>
        <w:spacing w:after="0"/>
        <w:rPr>
          <w:sz w:val="20"/>
          <w:szCs w:val="20"/>
          <w:color w:val="auto"/>
        </w:rPr>
      </w:pPr>
      <w:r>
        <w:rPr>
          <w:rFonts w:ascii="Times New Roman" w:cs="Times New Roman" w:eastAsia="Times New Roman" w:hAnsi="Times New Roman"/>
          <w:sz w:val="18"/>
          <w:szCs w:val="18"/>
          <w:b w:val="1"/>
          <w:bCs w:val="1"/>
          <w:color w:val="auto"/>
        </w:rPr>
        <w:t>SCHEDULE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157480</wp:posOffset>
            </wp:positionV>
            <wp:extent cx="180975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157480</wp:posOffset>
            </wp:positionV>
            <wp:extent cx="180975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Incorporated by reference to Exhibit 21.1 of the Company’s most recently filed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657" w:right="1440" w:bottom="1440" w:gutter="0" w:footer="0" w:header="0"/>
        </w:sectPr>
      </w:pPr>
    </w:p>
    <w:bookmarkStart w:id="45" w:name="page46"/>
    <w:bookmarkEnd w:id="45"/>
    <w:p>
      <w:pPr>
        <w:jc w:val="center"/>
        <w:ind w:right="-1200"/>
        <w:spacing w:after="0"/>
        <w:rPr>
          <w:sz w:val="20"/>
          <w:szCs w:val="20"/>
          <w:color w:val="auto"/>
        </w:rPr>
      </w:pPr>
      <w:r>
        <w:rPr>
          <w:rFonts w:ascii="Times New Roman" w:cs="Times New Roman" w:eastAsia="Times New Roman" w:hAnsi="Times New Roman"/>
          <w:sz w:val="18"/>
          <w:szCs w:val="18"/>
          <w:b w:val="1"/>
          <w:bCs w:val="1"/>
          <w:u w:val="single" w:color="auto"/>
          <w:color w:val="auto"/>
        </w:rPr>
        <w:t>Exhibit 22</w:t>
      </w:r>
    </w:p>
    <w:p>
      <w:pPr>
        <w:spacing w:after="0" w:line="225" w:lineRule="exact"/>
        <w:rPr>
          <w:sz w:val="20"/>
          <w:szCs w:val="20"/>
          <w:color w:val="auto"/>
        </w:rPr>
      </w:pPr>
    </w:p>
    <w:p>
      <w:pPr>
        <w:jc w:val="right"/>
        <w:ind w:right="3159"/>
        <w:spacing w:after="0"/>
        <w:rPr>
          <w:sz w:val="20"/>
          <w:szCs w:val="20"/>
          <w:color w:val="auto"/>
        </w:rPr>
      </w:pPr>
      <w:r>
        <w:rPr>
          <w:rFonts w:ascii="Times New Roman" w:cs="Times New Roman" w:eastAsia="Times New Roman" w:hAnsi="Times New Roman"/>
          <w:sz w:val="18"/>
          <w:szCs w:val="18"/>
          <w:b w:val="1"/>
          <w:bCs w:val="1"/>
          <w:color w:val="auto"/>
        </w:rPr>
        <w:t>Permitted Free Writing Prospectus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657" w:right="1440" w:bottom="1440" w:gutter="0" w:footer="0" w:header="0"/>
        </w:sectPr>
      </w:pPr>
    </w:p>
    <w:bookmarkStart w:id="46" w:name="page47"/>
    <w:bookmarkEnd w:id="4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7" w:name="page48"/>
    <w:bookmarkEnd w:id="4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1049655</wp:posOffset>
            </wp:positionH>
            <wp:positionV relativeFrom="page">
              <wp:posOffset>363220</wp:posOffset>
            </wp:positionV>
            <wp:extent cx="5497195" cy="9690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5497195" cy="969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27, 2015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Imprimis Pharmaceuticals,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12264 El Camino Real, Suite 350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 92130</w:t>
      </w:r>
    </w:p>
    <w:p>
      <w:pPr>
        <w:spacing w:after="0" w:line="20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i w:val="1"/>
          <w:iCs w:val="1"/>
          <w:color w:val="auto"/>
        </w:rPr>
        <w:t>Imprimis Pharmaceuticals, Inc.</w:t>
      </w:r>
    </w:p>
    <w:p>
      <w:pPr>
        <w:spacing w:after="0" w:line="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Proposed Issuance and Sale of Up to $10,000,000 Shares of Common Stock</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acting as counsel to Imprimis Pharmaceuticals,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 connection with the offer and sale by the Company from time to time of shares of the Company’s common stock, par value $0.001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having an aggregate offering price of up to $10,000,000 (collectively,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pursuant to a prospectus supplement dated November 27, 2015 and the accompanying base prospectus dated September 29, 2014 (such documents, collectively, the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that form a part of the Company’s registration statement on Form S-3 (File No. 333-198675) (as amended,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filed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and declared effective by the Commission on September 29, 2014. All of the Shares are to be sold by the Company</w:t>
      </w:r>
    </w:p>
    <w:p>
      <w:pPr>
        <w:jc w:val="both"/>
        <w:spacing w:after="0" w:line="217" w:lineRule="auto"/>
        <w:rPr>
          <w:sz w:val="20"/>
          <w:szCs w:val="20"/>
          <w:color w:val="auto"/>
        </w:rPr>
      </w:pPr>
      <w:r>
        <w:rPr>
          <w:rFonts w:ascii="Times New Roman" w:cs="Times New Roman" w:eastAsia="Times New Roman" w:hAnsi="Times New Roman"/>
          <w:sz w:val="18"/>
          <w:szCs w:val="18"/>
          <w:color w:val="auto"/>
        </w:rPr>
        <w:t>pursuant to the terms of the Controlled Equity Offering</w:t>
      </w:r>
      <w:r>
        <w:rPr>
          <w:rFonts w:ascii="Times New Roman" w:cs="Times New Roman" w:eastAsia="Times New Roman" w:hAnsi="Times New Roman"/>
          <w:sz w:val="30"/>
          <w:szCs w:val="30"/>
          <w:color w:val="auto"/>
          <w:vertAlign w:val="superscript"/>
        </w:rPr>
        <w:t>SM</w:t>
      </w:r>
      <w:r>
        <w:rPr>
          <w:rFonts w:ascii="Times New Roman" w:cs="Times New Roman" w:eastAsia="Times New Roman" w:hAnsi="Times New Roman"/>
          <w:sz w:val="18"/>
          <w:szCs w:val="18"/>
          <w:color w:val="auto"/>
        </w:rPr>
        <w:t xml:space="preserve"> Sales Agreement, dated as of the date hereof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by and between the Company and Cantor Fitzgerald &amp; Co. and in the manner described in the Registration Statement and the Prospectus. The Shares will be issued and sold from time to time in public offerings at market or negotiated prices pursuant to Rule 415 promulgated under the Securities Act.</w:t>
      </w:r>
    </w:p>
    <w:p>
      <w:pPr>
        <w:spacing w:after="0" w:line="2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this opinion, we have examined originals or copies, certified or otherwise identified to our satisfaction, of the following: (i) the Amended and Restated Certificate of Incorporation of the Company and the Amended and Restated Bylaws of the Company, each as currently in effect; (ii) certain resolutions of the Board of Directors of the Company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and a duly authorized committee thereof relating to the offering, sale, issuance and registration of the Shares; (iii) the Registration Statement; and (iv) the Prospectus. In addition, we have examined originals or copies, certified or otherwise identified to our satisfaction, of certain other corporate records, documents, instruments and certificates of public officials and of the Company, and we have made such inquiries of officers of the Company and public officials and considered such questions of law as we have deemed necessary for purposes of rendering the opinion set forth herein. In such examination, we have assumed the genuineness of all signatures, the authenticity of all items submitted to us as originals and the conformity with originals of all items submitted to us as copies. In addition, as to certain factual matters, we have relied upon a certificate of an officer of the Company and have not sought to independently verify such matters. Further, we have assumed that, upon the issuance of any of the Shares, the total number of shares of Common Stock issued and outstanding will not exceed the total number of shares of Common Stock that the Company is then authorized to issue under its Amended and Restated Certificate of Incorporation, as it is then in effect.</w:t>
      </w:r>
    </w:p>
    <w:p>
      <w:pPr>
        <w:spacing w:after="0" w:line="19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opinion expressed herein is based solely on the Delaware General Corporation Law, as in effect on the date hereof, and we express no opinion as to any other laws, statutes, ordinances, rules, or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8" w:name="page49"/>
    <w:bookmarkEnd w:id="48"/>
    <w:p>
      <w:pPr>
        <w:spacing w:after="0" w:line="5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183515</wp:posOffset>
            </wp:positionH>
            <wp:positionV relativeFrom="page">
              <wp:posOffset>431800</wp:posOffset>
            </wp:positionV>
            <wp:extent cx="2186940" cy="3600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2186940" cy="3600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November 27, 2015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Two</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upon, subject to and limited by the foregoing, we are of the opinion that, upon issuance, delivery and payment therefor in the manner contemplated by the Registration Statement, the Prospectus, the Agreement and the resolutions of the Board or a duly authorized committee thereof, the Shares will be legally issued, fully paid and nonassessable.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opinion expressed herein is limited to the matters stated herein and no opinion is implied or may be inferred beyond the matters expressly stated. This opinion is expressed as of the date hereof, and we disclaim any undertaking to advise you of any subsequent changes in the facts stated or assumed herein or of any subsequent changes in applicable law. This opinion is furnished to the Company in connection with its filing with the Commission of a Current Report on Form 8-K relating to the offer and sale of the Shares, which Current Report on Form 8-K will be incorporated by reference into the Registration Statement and Prospectus, and this opinion may not be relied upon for any other purpose without our express written consent, which may be granted or withheld in our sole discretion.</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above-described Current Report on Form 8-K and to the reference to our firm under the heading “Legal Matters” in the Prospectus. In giving such consent, we do not thereby admit that we are in the category of persons whose consent is required under Section 7 of the Securities Act or the rules and regulations of the Commission thereunder.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Morrison &amp; Foerster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62775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Morrison &amp; Foerster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9" w:name="page50"/>
    <w:bookmarkEnd w:id="4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1."/>
      <w:numFmt w:val="decimal"/>
      <w:start w:val="1"/>
    </w:lvl>
  </w:abstractNum>
  <w:abstractNum w:abstractNumId="2">
    <w:nsid w:val="4353D0CD"/>
    <w:multiLevelType w:val="hybridMultilevel"/>
    <w:lvl w:ilvl="0">
      <w:lvlJc w:val="left"/>
      <w:lvlText w:val="%1."/>
      <w:numFmt w:val="decimal"/>
      <w:start w:val="2"/>
    </w:lvl>
  </w:abstractNum>
  <w:abstractNum w:abstractNumId="3">
    <w:nsid w:val="B03E0C6"/>
    <w:multiLevelType w:val="hybridMultilevel"/>
    <w:lvl w:ilvl="0">
      <w:lvlJc w:val="left"/>
      <w:lvlText w:val="%1."/>
      <w:numFmt w:val="decimal"/>
      <w:start w:val="3"/>
    </w:lvl>
  </w:abstractNum>
  <w:abstractNum w:abstractNumId="4">
    <w:nsid w:val="189A769B"/>
    <w:multiLevelType w:val="hybridMultilevel"/>
    <w:lvl w:ilvl="0">
      <w:lvlJc w:val="left"/>
      <w:lvlText w:val="%1."/>
      <w:numFmt w:val="decimal"/>
      <w:start w:val="5"/>
    </w:lvl>
    <w:lvl w:ilvl="1">
      <w:lvlJc w:val="left"/>
      <w:lvlText w:val="(%2)"/>
      <w:numFmt w:val="lowerLetter"/>
      <w:start w:val="1"/>
    </w:lvl>
  </w:abstractNum>
  <w:abstractNum w:abstractNumId="5">
    <w:nsid w:val="54E49EB4"/>
    <w:multiLevelType w:val="hybridMultilevel"/>
    <w:lvl w:ilvl="0">
      <w:lvlJc w:val="left"/>
      <w:lvlText w:val="(%1)"/>
      <w:numFmt w:val="lowerLetter"/>
      <w:start w:val="3"/>
    </w:lvl>
  </w:abstractNum>
  <w:abstractNum w:abstractNumId="6">
    <w:nsid w:val="71F32454"/>
    <w:multiLevelType w:val="hybridMultilevel"/>
    <w:lvl w:ilvl="0">
      <w:lvlJc w:val="left"/>
      <w:lvlText w:val="%1"/>
      <w:numFmt w:val="decimal"/>
      <w:start w:val="1"/>
    </w:lvl>
    <w:lvl w:ilvl="1">
      <w:lvlJc w:val="left"/>
      <w:lvlText w:val="(%2)"/>
      <w:numFmt w:val="lowerLetter"/>
      <w:start w:val="4"/>
    </w:lvl>
  </w:abstractNum>
  <w:abstractNum w:abstractNumId="7">
    <w:nsid w:val="2CA88611"/>
    <w:multiLevelType w:val="hybridMultilevel"/>
    <w:lvl w:ilvl="0">
      <w:lvlJc w:val="left"/>
      <w:lvlText w:val="%1."/>
      <w:numFmt w:val="decimal"/>
      <w:start w:val="6"/>
    </w:lvl>
    <w:lvl w:ilvl="1">
      <w:lvlJc w:val="left"/>
      <w:lvlText w:val="(%2)"/>
      <w:numFmt w:val="lowerLetter"/>
      <w:start w:val="1"/>
    </w:lvl>
  </w:abstractNum>
  <w:abstractNum w:abstractNumId="8">
    <w:nsid w:val="836C40E"/>
    <w:multiLevelType w:val="hybridMultilevel"/>
    <w:lvl w:ilvl="0">
      <w:lvlJc w:val="left"/>
      <w:lvlText w:val="(%1)"/>
      <w:numFmt w:val="lowerLetter"/>
      <w:start w:val="2"/>
    </w:lvl>
  </w:abstractNum>
  <w:abstractNum w:abstractNumId="9">
    <w:nsid w:val="2901D82"/>
    <w:multiLevelType w:val="hybridMultilevel"/>
    <w:lvl w:ilvl="0">
      <w:lvlJc w:val="left"/>
      <w:lvlText w:val="(%1)"/>
      <w:numFmt w:val="lowerLetter"/>
      <w:start w:val="5"/>
    </w:lvl>
  </w:abstractNum>
  <w:abstractNum w:abstractNumId="10">
    <w:nsid w:val="3A95F874"/>
    <w:multiLevelType w:val="hybridMultilevel"/>
    <w:lvl w:ilvl="0">
      <w:lvlJc w:val="left"/>
      <w:lvlText w:val="(%1)"/>
      <w:numFmt w:val="lowerLetter"/>
      <w:start w:val="8"/>
    </w:lvl>
  </w:abstractNum>
  <w:abstractNum w:abstractNumId="11">
    <w:nsid w:val="8138641"/>
    <w:multiLevelType w:val="hybridMultilevel"/>
    <w:lvl w:ilvl="0">
      <w:lvlJc w:val="left"/>
      <w:lvlText w:val="(%1)"/>
      <w:numFmt w:val="lowerLetter"/>
      <w:start w:val="11"/>
    </w:lvl>
  </w:abstractNum>
  <w:abstractNum w:abstractNumId="12">
    <w:nsid w:val="1E7FF521"/>
    <w:multiLevelType w:val="hybridMultilevel"/>
    <w:lvl w:ilvl="0">
      <w:lvlJc w:val="left"/>
      <w:lvlText w:val="(%1)"/>
      <w:numFmt w:val="lowerLetter"/>
      <w:start w:val="15"/>
    </w:lvl>
  </w:abstractNum>
  <w:abstractNum w:abstractNumId="13">
    <w:nsid w:val="7C3DBD3D"/>
    <w:multiLevelType w:val="hybridMultilevel"/>
    <w:lvl w:ilvl="0">
      <w:lvlJc w:val="left"/>
      <w:lvlText w:val="(%1)"/>
      <w:numFmt w:val="lowerLetter"/>
      <w:start w:val="19"/>
    </w:lvl>
  </w:abstractNum>
  <w:abstractNum w:abstractNumId="14">
    <w:nsid w:val="737B8DDC"/>
    <w:multiLevelType w:val="hybridMultilevel"/>
    <w:lvl w:ilvl="0">
      <w:lvlJc w:val="left"/>
      <w:lvlText w:val="(%1)"/>
      <w:numFmt w:val="lowerLetter"/>
      <w:start w:val="21"/>
    </w:lvl>
  </w:abstractNum>
  <w:abstractNum w:abstractNumId="15">
    <w:nsid w:val="6CEAF087"/>
    <w:multiLevelType w:val="hybridMultilevel"/>
    <w:lvl w:ilvl="0">
      <w:lvlJc w:val="left"/>
      <w:lvlText w:val="(%1)"/>
      <w:numFmt w:val="lowerLetter"/>
      <w:start w:val="26"/>
    </w:lvl>
  </w:abstractNum>
  <w:abstractNum w:abstractNumId="16">
    <w:nsid w:val="22221A70"/>
    <w:multiLevelType w:val="hybridMultilevel"/>
    <w:lvl w:ilvl="0">
      <w:lvlJc w:val="left"/>
      <w:lvlText w:val="(%1)"/>
      <w:numFmt w:val="lowerLetter"/>
      <w:start w:val="27"/>
    </w:lvl>
  </w:abstractNum>
  <w:abstractNum w:abstractNumId="17">
    <w:nsid w:val="4516DDE9"/>
    <w:multiLevelType w:val="hybridMultilevel"/>
    <w:lvl w:ilvl="0">
      <w:lvlJc w:val="left"/>
      <w:lvlText w:val="(%1)"/>
      <w:numFmt w:val="lowerLetter"/>
      <w:start w:val="29"/>
    </w:lvl>
  </w:abstractNum>
  <w:abstractNum w:abstractNumId="18">
    <w:nsid w:val="3006C83E"/>
    <w:multiLevelType w:val="hybridMultilevel"/>
    <w:lvl w:ilvl="0">
      <w:lvlJc w:val="left"/>
      <w:lvlText w:val="(%1)"/>
      <w:numFmt w:val="lowerLetter"/>
      <w:start w:val="34"/>
    </w:lvl>
  </w:abstractNum>
  <w:abstractNum w:abstractNumId="19">
    <w:nsid w:val="614FD4A1"/>
    <w:multiLevelType w:val="hybridMultilevel"/>
    <w:lvl w:ilvl="0">
      <w:lvlJc w:val="left"/>
      <w:lvlText w:val="(%1)"/>
      <w:numFmt w:val="lowerLetter"/>
      <w:start w:val="39"/>
    </w:lvl>
  </w:abstractNum>
  <w:abstractNum w:abstractNumId="20">
    <w:nsid w:val="419AC241"/>
    <w:multiLevelType w:val="hybridMultilevel"/>
    <w:lvl w:ilvl="0">
      <w:lvlJc w:val="left"/>
      <w:lvlText w:val="(%1)"/>
      <w:numFmt w:val="lowerLetter"/>
      <w:start w:val="43"/>
    </w:lvl>
    <w:lvl w:ilvl="1">
      <w:lvlJc w:val="left"/>
      <w:lvlText w:val="(%2)"/>
      <w:numFmt w:val="lowerRoman"/>
      <w:start w:val="1"/>
    </w:lvl>
    <w:lvl w:ilvl="2">
      <w:lvlJc w:val="left"/>
      <w:lvlText w:val="(%3)"/>
      <w:numFmt w:val="upperLetter"/>
      <w:start w:val="1"/>
    </w:lvl>
  </w:abstractNum>
  <w:abstractNum w:abstractNumId="21">
    <w:nsid w:val="5577F8E1"/>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1"/>
    </w:lvl>
  </w:abstractNum>
  <w:abstractNum w:abstractNumId="22">
    <w:nsid w:val="440BADFC"/>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23">
    <w:nsid w:val="5072367"/>
    <w:multiLevelType w:val="hybridMultilevel"/>
    <w:lvl w:ilvl="0">
      <w:lvlJc w:val="left"/>
      <w:lvlText w:val="(%1)"/>
      <w:numFmt w:val="lowerLetter"/>
      <w:start w:val="47"/>
    </w:lvl>
    <w:lvl w:ilvl="1">
      <w:lvlJc w:val="left"/>
      <w:lvlText w:val="%2"/>
      <w:numFmt w:val="lowerLetter"/>
      <w:start w:val="1"/>
    </w:lvl>
    <w:lvl w:ilvl="2">
      <w:lvlJc w:val="left"/>
      <w:lvlText w:val="%3"/>
      <w:numFmt w:val="upperLetter"/>
      <w:start w:val="1"/>
    </w:lvl>
  </w:abstractNum>
  <w:abstractNum w:abstractNumId="24">
    <w:nsid w:val="3804823E"/>
    <w:multiLevelType w:val="hybridMultilevel"/>
    <w:lvl w:ilvl="0">
      <w:lvlJc w:val="left"/>
      <w:lvlText w:val="%1."/>
      <w:numFmt w:val="decimal"/>
      <w:start w:val="7"/>
    </w:lvl>
    <w:lvl w:ilvl="1">
      <w:lvlJc w:val="left"/>
      <w:lvlText w:val="(%2)"/>
      <w:numFmt w:val="lowerLetter"/>
      <w:start w:val="1"/>
    </w:lvl>
  </w:abstractNum>
  <w:abstractNum w:abstractNumId="25">
    <w:nsid w:val="77465F01"/>
    <w:multiLevelType w:val="hybridMultilevel"/>
    <w:lvl w:ilvl="0">
      <w:lvlJc w:val="left"/>
      <w:lvlText w:val="(%1)"/>
      <w:numFmt w:val="lowerLetter"/>
      <w:start w:val="2"/>
    </w:lvl>
  </w:abstractNum>
  <w:abstractNum w:abstractNumId="26">
    <w:nsid w:val="7724C67E"/>
    <w:multiLevelType w:val="hybridMultilevel"/>
    <w:lvl w:ilvl="0">
      <w:lvlJc w:val="left"/>
      <w:lvlText w:val="(%1)"/>
      <w:numFmt w:val="lowerLetter"/>
      <w:start w:val="5"/>
    </w:lvl>
  </w:abstractNum>
  <w:abstractNum w:abstractNumId="27">
    <w:nsid w:val="5C482A97"/>
    <w:multiLevelType w:val="hybridMultilevel"/>
    <w:lvl w:ilvl="0">
      <w:lvlJc w:val="left"/>
      <w:lvlText w:val="%1"/>
      <w:numFmt w:val="lowerRoman"/>
      <w:start w:val="1"/>
    </w:lvl>
    <w:lvl w:ilvl="1">
      <w:lvlJc w:val="left"/>
      <w:lvlText w:val="(%2)"/>
      <w:numFmt w:val="lowerLetter"/>
      <w:start w:val="9"/>
    </w:lvl>
  </w:abstractNum>
  <w:abstractNum w:abstractNumId="28">
    <w:nsid w:val="2463B9EA"/>
    <w:multiLevelType w:val="hybridMultilevel"/>
    <w:lvl w:ilvl="0">
      <w:lvlJc w:val="left"/>
      <w:lvlText w:val="(%1)"/>
      <w:numFmt w:val="lowerRoman"/>
      <w:start w:val="1"/>
    </w:lvl>
    <w:lvl w:ilvl="1">
      <w:lvlJc w:val="left"/>
      <w:lvlText w:val="%2"/>
      <w:numFmt w:val="lowerLetter"/>
      <w:start w:val="1"/>
    </w:lvl>
  </w:abstractNum>
  <w:abstractNum w:abstractNumId="29">
    <w:nsid w:val="5E884ADC"/>
    <w:multiLevelType w:val="hybridMultilevel"/>
    <w:lvl w:ilvl="0">
      <w:lvlJc w:val="left"/>
      <w:lvlText w:val="(%1)"/>
      <w:numFmt w:val="lowerLetter"/>
      <w:start w:val="13"/>
    </w:lvl>
  </w:abstractNum>
  <w:abstractNum w:abstractNumId="30">
    <w:nsid w:val="51EAD36B"/>
    <w:multiLevelType w:val="hybridMultilevel"/>
    <w:lvl w:ilvl="0">
      <w:lvlJc w:val="left"/>
      <w:lvlText w:val="(%1)"/>
      <w:numFmt w:val="lowerLetter"/>
      <w:start w:val="15"/>
    </w:lvl>
  </w:abstractNum>
  <w:abstractNum w:abstractNumId="31">
    <w:nsid w:val="2D517796"/>
    <w:multiLevelType w:val="hybridMultilevel"/>
    <w:lvl w:ilvl="0">
      <w:lvlJc w:val="left"/>
      <w:lvlText w:val="%1"/>
      <w:numFmt w:val="decimal"/>
      <w:start w:val="1"/>
    </w:lvl>
    <w:lvl w:ilvl="1">
      <w:lvlJc w:val="left"/>
      <w:lvlText w:val="(%2)"/>
      <w:numFmt w:val="lowerLetter"/>
      <w:start w:val="19"/>
    </w:lvl>
  </w:abstractNum>
  <w:abstractNum w:abstractNumId="32">
    <w:nsid w:val="580BD78F"/>
    <w:multiLevelType w:val="hybridMultilevel"/>
    <w:lvl w:ilvl="0">
      <w:lvlJc w:val="left"/>
      <w:lvlText w:val="%1."/>
      <w:numFmt w:val="decimal"/>
      <w:start w:val="8"/>
    </w:lvl>
    <w:lvl w:ilvl="1">
      <w:lvlJc w:val="left"/>
      <w:lvlText w:val="%2"/>
      <w:numFmt w:val="lowerLetter"/>
      <w:start w:val="1"/>
    </w:lvl>
  </w:abstractNum>
  <w:abstractNum w:abstractNumId="33">
    <w:nsid w:val="153EA438"/>
    <w:multiLevelType w:val="hybridMultilevel"/>
    <w:lvl w:ilvl="0">
      <w:lvlJc w:val="left"/>
      <w:lvlText w:val="%1."/>
      <w:numFmt w:val="decimal"/>
      <w:start w:val="9"/>
    </w:lvl>
    <w:lvl w:ilvl="1">
      <w:lvlJc w:val="left"/>
      <w:lvlText w:val="(%2)"/>
      <w:numFmt w:val="lowerLetter"/>
      <w:start w:val="1"/>
    </w:lvl>
  </w:abstractNum>
  <w:abstractNum w:abstractNumId="34">
    <w:nsid w:val="3855585C"/>
    <w:multiLevelType w:val="hybridMultilevel"/>
    <w:lvl w:ilvl="0">
      <w:lvlJc w:val="left"/>
      <w:lvlText w:val="(%1)"/>
      <w:numFmt w:val="lowerLetter"/>
      <w:start w:val="3"/>
    </w:lvl>
  </w:abstractNum>
  <w:abstractNum w:abstractNumId="35">
    <w:nsid w:val="70A64E2A"/>
    <w:multiLevelType w:val="hybridMultilevel"/>
    <w:lvl w:ilvl="0">
      <w:lvlJc w:val="left"/>
      <w:lvlText w:val="%1"/>
      <w:numFmt w:val="decimal"/>
      <w:start w:val="1"/>
    </w:lvl>
    <w:lvl w:ilvl="1">
      <w:lvlJc w:val="left"/>
      <w:lvlText w:val="(%2)"/>
      <w:numFmt w:val="lowerLetter"/>
      <w:start w:val="10"/>
    </w:lvl>
    <w:lvl w:ilvl="2">
      <w:lvlJc w:val="left"/>
      <w:lvlText w:val="%3"/>
      <w:numFmt w:val="lowerRoman"/>
      <w:start w:val="1"/>
    </w:lvl>
  </w:abstractNum>
  <w:abstractNum w:abstractNumId="36">
    <w:nsid w:val="6A2342EC"/>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37">
    <w:nsid w:val="2A487CB0"/>
    <w:multiLevelType w:val="hybridMultilevel"/>
    <w:lvl w:ilvl="0">
      <w:lvlJc w:val="left"/>
      <w:lvlText w:val="(%1)"/>
      <w:numFmt w:val="lowerLetter"/>
      <w:start w:val="2"/>
    </w:lvl>
  </w:abstractNum>
  <w:abstractNum w:abstractNumId="38">
    <w:nsid w:val="1D4ED43B"/>
    <w:multiLevelType w:val="hybridMultilevel"/>
    <w:lvl w:ilvl="0">
      <w:lvlJc w:val="left"/>
      <w:lvlText w:val="(%1)"/>
      <w:numFmt w:val="lowerLetter"/>
      <w:start w:val="4"/>
    </w:lvl>
  </w:abstractNum>
  <w:abstractNum w:abstractNumId="39">
    <w:nsid w:val="725A06FB"/>
    <w:multiLevelType w:val="hybridMultilevel"/>
    <w:lvl w:ilvl="0">
      <w:lvlJc w:val="left"/>
      <w:lvlText w:val="%1."/>
      <w:numFmt w:val="decimal"/>
      <w:start w:val="12"/>
    </w:lvl>
    <w:lvl w:ilvl="1">
      <w:lvlJc w:val="left"/>
      <w:lvlText w:val="(%2)"/>
      <w:numFmt w:val="lowerLetter"/>
      <w:start w:val="1"/>
    </w:lvl>
  </w:abstractNum>
  <w:abstractNum w:abstractNumId="40">
    <w:nsid w:val="2CD89A32"/>
    <w:multiLevelType w:val="hybridMultilevel"/>
    <w:lvl w:ilvl="0">
      <w:lvlJc w:val="left"/>
      <w:lvlText w:val="(%1)"/>
      <w:numFmt w:val="lowerLetter"/>
      <w:start w:val="4"/>
    </w:lvl>
  </w:abstractNum>
  <w:abstractNum w:abstractNumId="41">
    <w:nsid w:val="57E4CCAF"/>
    <w:multiLevelType w:val="hybridMultilevel"/>
    <w:lvl w:ilvl="0">
      <w:lvlJc w:val="left"/>
      <w:lvlText w:val="%1."/>
      <w:numFmt w:val="decimal"/>
      <w:start w:val="14"/>
    </w:lvl>
  </w:abstractNum>
  <w:abstractNum w:abstractNumId="42">
    <w:nsid w:val="7A6D8D3C"/>
    <w:multiLevelType w:val="hybridMultilevel"/>
    <w:lvl w:ilvl="0">
      <w:lvlJc w:val="left"/>
      <w:lvlText w:val="(%1)"/>
      <w:numFmt w:val="lowerRoman"/>
      <w:start w:val="2"/>
    </w:lvl>
  </w:abstractNum>
  <w:abstractNum w:abstractNumId="43">
    <w:nsid w:val="4B588F54"/>
    <w:multiLevelType w:val="hybridMultilevel"/>
    <w:lvl w:ilvl="0">
      <w:lvlJc w:val="left"/>
      <w:lvlText w:val="%1."/>
      <w:numFmt w:val="decimal"/>
      <w:start w:val="15"/>
    </w:lvl>
  </w:abstractNum>
  <w:abstractNum w:abstractNumId="44">
    <w:nsid w:val="542289EC"/>
    <w:multiLevelType w:val="hybridMultilevel"/>
    <w:lvl w:ilvl="0">
      <w:lvlJc w:val="left"/>
      <w:lvlText w:val="%1."/>
      <w:numFmt w:val="decimal"/>
      <w:start w:val="17"/>
    </w:lvl>
  </w:abstractNum>
  <w:abstractNum w:abstractNumId="45">
    <w:nsid w:val="6DE91B18"/>
    <w:multiLevelType w:val="hybridMultilevel"/>
    <w:lvl w:ilvl="0">
      <w:lvlJc w:val="left"/>
      <w:lvlText w:val="%1."/>
      <w:numFmt w:val="decimal"/>
      <w:start w:val="21"/>
    </w:lvl>
    <w:lvl w:ilvl="1">
      <w:lvlJc w:val="left"/>
      <w:lvlText w:val="(%2)"/>
      <w:numFmt w:val="lowerLetter"/>
      <w:start w:val="1"/>
    </w:lvl>
  </w:abstractNum>
  <w:abstractNum w:abstractNumId="46">
    <w:nsid w:val="38437FDB"/>
    <w:multiLevelType w:val="hybridMultilevel"/>
    <w:lvl w:ilvl="0">
      <w:lvlJc w:val="left"/>
      <w:lvlText w:val="%1"/>
      <w:numFmt w:val="decimal"/>
      <w:start w:val="1"/>
    </w:lvl>
    <w:lvl w:ilvl="1">
      <w:lvlJc w:val="left"/>
      <w:lvlText w:val="(%2)"/>
      <w:numFmt w:val="lowerLetter"/>
      <w:start w:val="5"/>
    </w:lvl>
  </w:abstractNum>
  <w:abstractNum w:abstractNumId="47">
    <w:nsid w:val="7644A45C"/>
    <w:multiLevelType w:val="hybridMultilevel"/>
    <w:lvl w:ilvl="0">
      <w:lvlJc w:val="left"/>
      <w:lvlText w:val="%1."/>
      <w:numFmt w:val="decimal"/>
      <w:start w:val="24"/>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2020-01-25T08:02:03Z</dcterms:created>
  <dcterms:modified xsi:type="dcterms:W3CDTF">2020-01-25T08:02:03Z</dcterms:modified>
</cp:coreProperties>
</file>