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27,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3"/>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27, 2020, Harrow Health, Inc. (the “Company”) entered into an unsecured promissory note and related Business Loan Agreement with Renasant Bank, as lender, for a loan (the “Loan”) in the principal amount of one million nine hundred sixty seven thousand one hundred dollars ($1,967,100) and received cash proceeds of the same amount, pursuant to the Paycheck Protection Program (the “PPP”) under the Federal Coronavirus Aid, Relief, and Economic Security Act (the "CARES Act"), which was enacted March 27, 2020. The PPP is administered by the U.S. Small Business Administration.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terms of the Loan, interest accrues on the outstanding principal at the rate of 1.0% per annum. The term of the Loan is two years, unless sooner required in connection with an event of default under the Loan. To the extent the Loan amount is not forgiven under the PPP, the Company is obligated to make equal monthly payments of principal and interest, beginning seven months from the date of the Note, until the maturity date.</w:t>
      </w:r>
    </w:p>
    <w:p>
      <w:pPr>
        <w:spacing w:after="0" w:line="1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CARES Act and the PPP provide a mechanism for forgiveness of up to the full amount borrowed. Under the PPP, the Company may apply for and be granted forgiveness for all or part of the PPP Loan. The amount of loan proceeds eligible for forgiveness is based on a formula that takes into account a number of factors, including the amount of loan proceeds used by the Company during the eight-week period after the loan origination for certain purposes including payroll costs, interest on certain mortgage obligations, rent payments on certain leases, and certain qualified utility payments (it being anticipated that at least 75% of the loan amount will be required to be used for eligible payroll costs); the employer maintaining or rehiring employees and maintaining salaries at certain levels; and other factors. Subject to the other requirements and limitations on loan forgiveness, only loan proceeds spent on payroll and other eligible expenses during the covered eight-week period will qualify for forgiveness. While the Company intends to use proceeds from the Loan for such qualifying expenses, in particular maintaining continuity of its payroll and workforce (including staff critical to the timely production and dispensing of medicines the Company makes), no assurance can be provided that the Company will obtain forgiveness of the Loan in whole or in part.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is only a brief description of the Loan and does not purport to be a complete description of the rights and obligations of the parties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the disclosure under Item 1.01 above which is hereby incorporated in this Item 2.03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29,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2020-04-30T17:57:10Z</dcterms:created>
  <dcterms:modified xsi:type="dcterms:W3CDTF">2020-04-30T17:57:10Z</dcterms:modified>
</cp:coreProperties>
</file>