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Stock, $0.001 par value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45323A 201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May 18, 2015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9380" w:hanging="4"/>
        <w:spacing w:after="0" w:line="258" w:lineRule="auto"/>
        <w:tabs>
          <w:tab w:leader="none" w:pos="81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13d-1(b) [X] Rule 13d-1(c)</w:t>
      </w:r>
    </w:p>
    <w:p>
      <w:pPr>
        <w:spacing w:after="0" w:line="1" w:lineRule="exact"/>
        <w:rPr>
          <w:rFonts w:ascii="Arial" w:cs="Arial" w:eastAsia="Arial" w:hAnsi="Arial"/>
          <w:sz w:val="18"/>
          <w:szCs w:val="18"/>
          <w:color w:val="auto"/>
        </w:rPr>
      </w:pPr>
    </w:p>
    <w:p>
      <w:pPr>
        <w:ind w:left="800" w:hanging="14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3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ind w:left="32"/>
        <w:spacing w:after="0"/>
        <w:tabs>
          <w:tab w:leader="none" w:pos="5532" w:val="left"/>
          <w:tab w:leader="none" w:pos="100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 xml:space="preserve">CUSIP No. </w:t>
      </w:r>
      <w:r>
        <w:rPr>
          <w:rFonts w:ascii="Arial" w:cs="Arial" w:eastAsia="Arial" w:hAnsi="Arial"/>
          <w:sz w:val="18"/>
          <w:szCs w:val="18"/>
          <w:b w:val="1"/>
          <w:bCs w:val="1"/>
          <w:color w:val="auto"/>
        </w:rPr>
        <w:t>45323A 201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191135</wp:posOffset>
            </wp:positionV>
            <wp:extent cx="7242175" cy="1727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2175" cy="1727835"/>
                    </a:xfrm>
                    <a:prstGeom prst="rect">
                      <a:avLst/>
                    </a:prstGeom>
                    <a:noFill/>
                  </pic:spPr>
                </pic:pic>
              </a:graphicData>
            </a:graphic>
          </wp:anchor>
        </w:drawing>
      </w:r>
    </w:p>
    <w:p>
      <w:pPr>
        <w:spacing w:after="0" w:line="290" w:lineRule="exact"/>
        <w:rPr>
          <w:sz w:val="20"/>
          <w:szCs w:val="20"/>
          <w:color w:val="auto"/>
        </w:rPr>
      </w:pPr>
    </w:p>
    <w:p>
      <w:pPr>
        <w:ind w:left="412" w:hanging="385"/>
        <w:spacing w:after="0"/>
        <w:tabs>
          <w:tab w:leader="none" w:pos="412"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412"/>
        <w:spacing w:after="0"/>
        <w:rPr>
          <w:rFonts w:ascii="Arial" w:cs="Arial" w:eastAsia="Arial" w:hAnsi="Arial"/>
          <w:sz w:val="18"/>
          <w:szCs w:val="18"/>
          <w:color w:val="auto"/>
        </w:rPr>
      </w:pPr>
      <w:r>
        <w:rPr>
          <w:rFonts w:ascii="Arial" w:cs="Arial" w:eastAsia="Arial" w:hAnsi="Arial"/>
          <w:sz w:val="18"/>
          <w:szCs w:val="18"/>
          <w:b w:val="1"/>
          <w:bCs w:val="1"/>
          <w:color w:val="auto"/>
        </w:rPr>
        <w:t>Donald Miloni</w:t>
      </w:r>
    </w:p>
    <w:p>
      <w:pPr>
        <w:spacing w:after="0" w:line="256" w:lineRule="exact"/>
        <w:rPr>
          <w:rFonts w:ascii="Arial" w:cs="Arial" w:eastAsia="Arial" w:hAnsi="Arial"/>
          <w:sz w:val="18"/>
          <w:szCs w:val="18"/>
          <w:color w:val="auto"/>
        </w:rPr>
      </w:pPr>
    </w:p>
    <w:p>
      <w:pPr>
        <w:ind w:left="412" w:hanging="385"/>
        <w:spacing w:after="0"/>
        <w:tabs>
          <w:tab w:leader="none" w:pos="412"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932"/>
        <w:spacing w:after="0"/>
        <w:rPr>
          <w:sz w:val="20"/>
          <w:szCs w:val="20"/>
          <w:color w:val="auto"/>
        </w:rPr>
      </w:pPr>
      <w:r>
        <w:rPr>
          <w:rFonts w:ascii="Arial" w:cs="Arial" w:eastAsia="Arial" w:hAnsi="Arial"/>
          <w:sz w:val="18"/>
          <w:szCs w:val="18"/>
          <w:color w:val="auto"/>
        </w:rPr>
        <w:t>(a) [ ]</w:t>
      </w:r>
    </w:p>
    <w:p>
      <w:pPr>
        <w:spacing w:after="0" w:line="9" w:lineRule="exact"/>
        <w:rPr>
          <w:sz w:val="20"/>
          <w:szCs w:val="20"/>
          <w:color w:val="auto"/>
        </w:rPr>
      </w:pPr>
    </w:p>
    <w:p>
      <w:pPr>
        <w:ind w:left="10912"/>
        <w:spacing w:after="0"/>
        <w:rPr>
          <w:sz w:val="20"/>
          <w:szCs w:val="20"/>
          <w:color w:val="auto"/>
        </w:rPr>
      </w:pPr>
      <w:r>
        <w:rPr>
          <w:rFonts w:ascii="Arial" w:cs="Arial" w:eastAsia="Arial" w:hAnsi="Arial"/>
          <w:sz w:val="18"/>
          <w:szCs w:val="18"/>
          <w:color w:val="auto"/>
        </w:rPr>
        <w:t>(b) [ ]</w:t>
      </w:r>
    </w:p>
    <w:p>
      <w:pPr>
        <w:spacing w:after="0" w:line="22" w:lineRule="exact"/>
        <w:rPr>
          <w:sz w:val="20"/>
          <w:szCs w:val="20"/>
          <w:color w:val="auto"/>
        </w:rPr>
      </w:pPr>
    </w:p>
    <w:p>
      <w:pPr>
        <w:ind w:left="412" w:hanging="385"/>
        <w:spacing w:after="0"/>
        <w:tabs>
          <w:tab w:leader="none" w:pos="412"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sz w:val="20"/>
          <w:szCs w:val="20"/>
          <w:color w:val="auto"/>
        </w:rPr>
      </w:pPr>
    </w:p>
    <w:p>
      <w:pPr>
        <w:ind w:left="412" w:hanging="385"/>
        <w:spacing w:after="0"/>
        <w:tabs>
          <w:tab w:leader="none" w:pos="412"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412"/>
        <w:spacing w:after="0"/>
        <w:rPr>
          <w:rFonts w:ascii="Arial" w:cs="Arial" w:eastAsia="Arial" w:hAnsi="Arial"/>
          <w:sz w:val="18"/>
          <w:szCs w:val="18"/>
          <w:color w:val="auto"/>
        </w:rPr>
      </w:pPr>
      <w:r>
        <w:rPr>
          <w:rFonts w:ascii="Arial" w:cs="Arial" w:eastAsia="Arial" w:hAnsi="Arial"/>
          <w:sz w:val="18"/>
          <w:szCs w:val="18"/>
          <w:b w:val="1"/>
          <w:bCs w:val="1"/>
          <w:color w:val="auto"/>
        </w:rPr>
        <w:t>U.S.A</w:t>
      </w:r>
    </w:p>
    <w:p>
      <w:pPr>
        <w:spacing w:after="0" w:line="67" w:lineRule="exact"/>
        <w:rPr>
          <w:rFonts w:ascii="Arial" w:cs="Arial" w:eastAsia="Arial" w:hAnsi="Arial"/>
          <w:sz w:val="18"/>
          <w:szCs w:val="18"/>
          <w:color w:val="auto"/>
        </w:rPr>
      </w:pPr>
    </w:p>
    <w:p>
      <w:pPr>
        <w:ind w:left="1772" w:hanging="176"/>
        <w:spacing w:after="0"/>
        <w:tabs>
          <w:tab w:leader="none" w:pos="1772"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7246620" cy="2246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246630"/>
                    </a:xfrm>
                    <a:prstGeom prst="rect">
                      <a:avLst/>
                    </a:prstGeom>
                    <a:noFill/>
                  </pic:spPr>
                </pic:pic>
              </a:graphicData>
            </a:graphic>
          </wp:anchor>
        </w:drawing>
      </w:r>
    </w:p>
    <w:p>
      <w:pPr>
        <w:spacing w:after="0" w:line="205" w:lineRule="exact"/>
        <w:rPr>
          <w:sz w:val="20"/>
          <w:szCs w:val="20"/>
          <w:color w:val="auto"/>
        </w:rPr>
      </w:pPr>
    </w:p>
    <w:p>
      <w:pPr>
        <w:ind w:left="1592"/>
        <w:spacing w:after="0"/>
        <w:rPr>
          <w:sz w:val="20"/>
          <w:szCs w:val="20"/>
          <w:color w:val="auto"/>
        </w:rPr>
      </w:pPr>
      <w:r>
        <w:rPr>
          <w:rFonts w:ascii="Arial" w:cs="Arial" w:eastAsia="Arial" w:hAnsi="Arial"/>
          <w:sz w:val="18"/>
          <w:szCs w:val="18"/>
          <w:b w:val="1"/>
          <w:bCs w:val="1"/>
          <w:color w:val="auto"/>
        </w:rPr>
        <w:t>468,576</w:t>
      </w:r>
      <w:r>
        <w:rPr>
          <w:rFonts w:ascii="Arial" w:cs="Arial" w:eastAsia="Arial" w:hAnsi="Arial"/>
          <w:sz w:val="30"/>
          <w:szCs w:val="30"/>
          <w:b w:val="1"/>
          <w:bCs w:val="1"/>
          <w:color w:val="auto"/>
          <w:vertAlign w:val="superscript"/>
        </w:rPr>
        <w:t>1</w:t>
      </w:r>
    </w:p>
    <w:p>
      <w:pPr>
        <w:spacing w:after="0" w:line="126" w:lineRule="exact"/>
        <w:rPr>
          <w:sz w:val="20"/>
          <w:szCs w:val="20"/>
          <w:color w:val="auto"/>
        </w:rPr>
      </w:pPr>
    </w:p>
    <w:p>
      <w:pPr>
        <w:ind w:left="1592"/>
        <w:spacing w:after="0"/>
        <w:rPr>
          <w:sz w:val="20"/>
          <w:szCs w:val="20"/>
          <w:color w:val="auto"/>
        </w:rPr>
      </w:pPr>
      <w:r>
        <w:rPr>
          <w:rFonts w:ascii="Arial" w:cs="Arial" w:eastAsia="Arial" w:hAnsi="Arial"/>
          <w:sz w:val="18"/>
          <w:szCs w:val="18"/>
          <w:color w:val="auto"/>
        </w:rPr>
        <w:t>6. Shared Voting Power</w:t>
      </w:r>
    </w:p>
    <w:p>
      <w:pPr>
        <w:ind w:left="212"/>
        <w:spacing w:after="0"/>
        <w:rPr>
          <w:sz w:val="20"/>
          <w:szCs w:val="20"/>
          <w:color w:val="auto"/>
        </w:rPr>
      </w:pPr>
      <w:r>
        <w:rPr>
          <w:rFonts w:ascii="Arial" w:cs="Arial" w:eastAsia="Arial" w:hAnsi="Arial"/>
          <w:sz w:val="18"/>
          <w:szCs w:val="18"/>
          <w:color w:val="auto"/>
        </w:rPr>
        <w:t>Number of</w:t>
      </w:r>
    </w:p>
    <w:p>
      <w:pPr>
        <w:ind w:left="212"/>
        <w:spacing w:after="0" w:line="180" w:lineRule="auto"/>
        <w:tabs>
          <w:tab w:leader="none" w:pos="1572" w:val="left"/>
        </w:tabs>
        <w:rPr>
          <w:sz w:val="20"/>
          <w:szCs w:val="20"/>
          <w:color w:val="auto"/>
        </w:rPr>
      </w:pPr>
      <w:r>
        <w:rPr>
          <w:rFonts w:ascii="Arial" w:cs="Arial" w:eastAsia="Arial" w:hAnsi="Arial"/>
          <w:sz w:val="14"/>
          <w:szCs w:val="14"/>
          <w:color w:val="auto"/>
        </w:rPr>
        <w:t>Shares</w:t>
      </w:r>
      <w:r>
        <w:rPr>
          <w:sz w:val="20"/>
          <w:szCs w:val="20"/>
          <w:color w:val="auto"/>
        </w:rPr>
        <w:tab/>
      </w:r>
      <w:r>
        <w:rPr>
          <w:rFonts w:ascii="Arial" w:cs="Arial" w:eastAsia="Arial" w:hAnsi="Arial"/>
          <w:sz w:val="26"/>
          <w:szCs w:val="26"/>
          <w:b w:val="1"/>
          <w:bCs w:val="1"/>
          <w:color w:val="auto"/>
          <w:vertAlign w:val="subscript"/>
        </w:rPr>
        <w:t>278,479</w:t>
      </w:r>
      <w:r>
        <w:rPr>
          <w:rFonts w:ascii="Arial" w:cs="Arial" w:eastAsia="Arial" w:hAnsi="Arial"/>
          <w:sz w:val="13"/>
          <w:szCs w:val="13"/>
          <w:b w:val="1"/>
          <w:bCs w:val="1"/>
          <w:color w:val="auto"/>
        </w:rPr>
        <w:t>2</w:t>
      </w:r>
    </w:p>
    <w:p>
      <w:pPr>
        <w:spacing w:after="0" w:line="1" w:lineRule="exact"/>
        <w:rPr>
          <w:sz w:val="20"/>
          <w:szCs w:val="20"/>
          <w:color w:val="auto"/>
        </w:rPr>
      </w:pPr>
    </w:p>
    <w:p>
      <w:pPr>
        <w:ind w:left="212"/>
        <w:spacing w:after="0"/>
        <w:rPr>
          <w:sz w:val="20"/>
          <w:szCs w:val="20"/>
          <w:color w:val="auto"/>
        </w:rPr>
      </w:pPr>
      <w:r>
        <w:rPr>
          <w:rFonts w:ascii="Arial" w:cs="Arial" w:eastAsia="Arial" w:hAnsi="Arial"/>
          <w:sz w:val="18"/>
          <w:szCs w:val="18"/>
          <w:color w:val="auto"/>
        </w:rPr>
        <w:t>Beneficially</w:t>
      </w:r>
    </w:p>
    <w:p>
      <w:pPr>
        <w:ind w:left="212"/>
        <w:spacing w:after="0" w:line="181" w:lineRule="auto"/>
        <w:rPr>
          <w:sz w:val="20"/>
          <w:szCs w:val="20"/>
          <w:color w:val="auto"/>
        </w:rPr>
      </w:pPr>
      <w:r>
        <w:rPr>
          <w:rFonts w:ascii="Arial" w:cs="Arial" w:eastAsia="Arial" w:hAnsi="Arial"/>
          <w:sz w:val="15"/>
          <w:szCs w:val="15"/>
          <w:color w:val="auto"/>
        </w:rPr>
        <w:t>Owned by</w:t>
      </w:r>
    </w:p>
    <w:p>
      <w:pPr>
        <w:ind w:left="212"/>
        <w:spacing w:after="0"/>
        <w:tabs>
          <w:tab w:leader="none" w:pos="1572" w:val="left"/>
        </w:tabs>
        <w:rPr>
          <w:sz w:val="20"/>
          <w:szCs w:val="20"/>
          <w:color w:val="auto"/>
        </w:rPr>
      </w:pPr>
      <w:r>
        <w:rPr>
          <w:rFonts w:ascii="Arial" w:cs="Arial" w:eastAsia="Arial" w:hAnsi="Arial"/>
          <w:sz w:val="35"/>
          <w:szCs w:val="35"/>
          <w:color w:val="auto"/>
          <w:vertAlign w:val="subscript"/>
        </w:rPr>
        <w:t>Each Reporting</w:t>
      </w:r>
      <w:r>
        <w:rPr>
          <w:sz w:val="20"/>
          <w:szCs w:val="20"/>
          <w:color w:val="auto"/>
        </w:rPr>
        <w:tab/>
      </w:r>
      <w:r>
        <w:rPr>
          <w:rFonts w:ascii="Arial" w:cs="Arial" w:eastAsia="Arial" w:hAnsi="Arial"/>
          <w:sz w:val="16"/>
          <w:szCs w:val="16"/>
          <w:color w:val="auto"/>
        </w:rPr>
        <w:t>7. Sole Dispositive Power</w:t>
      </w:r>
    </w:p>
    <w:p>
      <w:pPr>
        <w:ind w:left="252"/>
        <w:spacing w:after="0" w:line="189" w:lineRule="auto"/>
        <w:rPr>
          <w:sz w:val="20"/>
          <w:szCs w:val="20"/>
          <w:color w:val="auto"/>
        </w:rPr>
      </w:pPr>
      <w:r>
        <w:rPr>
          <w:rFonts w:ascii="Arial" w:cs="Arial" w:eastAsia="Arial" w:hAnsi="Arial"/>
          <w:sz w:val="18"/>
          <w:szCs w:val="18"/>
          <w:color w:val="auto"/>
        </w:rPr>
        <w:t>Person With:</w:t>
      </w:r>
    </w:p>
    <w:p>
      <w:pPr>
        <w:ind w:left="1592"/>
        <w:spacing w:after="0" w:line="195" w:lineRule="auto"/>
        <w:rPr>
          <w:sz w:val="20"/>
          <w:szCs w:val="20"/>
          <w:color w:val="auto"/>
        </w:rPr>
      </w:pPr>
      <w:r>
        <w:rPr>
          <w:rFonts w:ascii="Arial" w:cs="Arial" w:eastAsia="Arial" w:hAnsi="Arial"/>
          <w:sz w:val="18"/>
          <w:szCs w:val="18"/>
          <w:b w:val="1"/>
          <w:bCs w:val="1"/>
          <w:color w:val="auto"/>
        </w:rPr>
        <w:t>468,576</w:t>
      </w:r>
      <w:r>
        <w:rPr>
          <w:rFonts w:ascii="Arial" w:cs="Arial" w:eastAsia="Arial" w:hAnsi="Arial"/>
          <w:sz w:val="30"/>
          <w:szCs w:val="30"/>
          <w:b w:val="1"/>
          <w:bCs w:val="1"/>
          <w:color w:val="auto"/>
          <w:vertAlign w:val="superscript"/>
        </w:rPr>
        <w:t>1</w:t>
      </w:r>
    </w:p>
    <w:p>
      <w:pPr>
        <w:spacing w:after="0" w:line="165" w:lineRule="exact"/>
        <w:rPr>
          <w:sz w:val="20"/>
          <w:szCs w:val="20"/>
          <w:color w:val="auto"/>
        </w:rPr>
      </w:pPr>
    </w:p>
    <w:p>
      <w:pPr>
        <w:ind w:left="1592"/>
        <w:spacing w:after="0"/>
        <w:rPr>
          <w:sz w:val="20"/>
          <w:szCs w:val="20"/>
          <w:color w:val="auto"/>
        </w:rPr>
      </w:pPr>
      <w:r>
        <w:rPr>
          <w:rFonts w:ascii="Arial" w:cs="Arial" w:eastAsia="Arial" w:hAnsi="Arial"/>
          <w:sz w:val="18"/>
          <w:szCs w:val="18"/>
          <w:color w:val="auto"/>
        </w:rPr>
        <w:t>8. Shared Dispositive Power</w:t>
      </w:r>
    </w:p>
    <w:p>
      <w:pPr>
        <w:spacing w:after="0" w:line="207" w:lineRule="exact"/>
        <w:rPr>
          <w:sz w:val="20"/>
          <w:szCs w:val="20"/>
          <w:color w:val="auto"/>
        </w:rPr>
      </w:pPr>
    </w:p>
    <w:p>
      <w:pPr>
        <w:ind w:left="1592"/>
        <w:spacing w:after="0"/>
        <w:rPr>
          <w:sz w:val="20"/>
          <w:szCs w:val="20"/>
          <w:color w:val="auto"/>
        </w:rPr>
      </w:pPr>
      <w:r>
        <w:rPr>
          <w:rFonts w:ascii="Arial" w:cs="Arial" w:eastAsia="Arial" w:hAnsi="Arial"/>
          <w:sz w:val="18"/>
          <w:szCs w:val="18"/>
          <w:b w:val="1"/>
          <w:bCs w:val="1"/>
          <w:color w:val="auto"/>
        </w:rPr>
        <w:t>278,479</w:t>
      </w:r>
      <w:r>
        <w:rPr>
          <w:rFonts w:ascii="Arial" w:cs="Arial" w:eastAsia="Arial" w:hAnsi="Arial"/>
          <w:sz w:val="30"/>
          <w:szCs w:val="30"/>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242175" cy="2053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2175" cy="2053590"/>
                    </a:xfrm>
                    <a:prstGeom prst="rect">
                      <a:avLst/>
                    </a:prstGeom>
                    <a:noFill/>
                  </pic:spPr>
                </pic:pic>
              </a:graphicData>
            </a:graphic>
          </wp:anchor>
        </w:drawing>
      </w:r>
    </w:p>
    <w:p>
      <w:pPr>
        <w:ind w:left="412" w:hanging="385"/>
        <w:spacing w:after="0"/>
        <w:tabs>
          <w:tab w:leader="none" w:pos="412"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8" w:lineRule="exact"/>
        <w:rPr>
          <w:rFonts w:ascii="Arial" w:cs="Arial" w:eastAsia="Arial" w:hAnsi="Arial"/>
          <w:sz w:val="18"/>
          <w:szCs w:val="18"/>
          <w:color w:val="auto"/>
        </w:rPr>
      </w:pPr>
    </w:p>
    <w:p>
      <w:pPr>
        <w:ind w:left="412"/>
        <w:spacing w:after="0"/>
        <w:rPr>
          <w:rFonts w:ascii="Arial" w:cs="Arial" w:eastAsia="Arial" w:hAnsi="Arial"/>
          <w:sz w:val="18"/>
          <w:szCs w:val="18"/>
          <w:color w:val="auto"/>
        </w:rPr>
      </w:pPr>
      <w:r>
        <w:rPr>
          <w:rFonts w:ascii="Arial" w:cs="Arial" w:eastAsia="Arial" w:hAnsi="Arial"/>
          <w:sz w:val="18"/>
          <w:szCs w:val="18"/>
          <w:b w:val="1"/>
          <w:bCs w:val="1"/>
          <w:color w:val="auto"/>
        </w:rPr>
        <w:t>747,055</w:t>
      </w:r>
      <w:r>
        <w:rPr>
          <w:rFonts w:ascii="Arial" w:cs="Arial" w:eastAsia="Arial" w:hAnsi="Arial"/>
          <w:sz w:val="30"/>
          <w:szCs w:val="30"/>
          <w:b w:val="1"/>
          <w:bCs w:val="1"/>
          <w:color w:val="auto"/>
          <w:vertAlign w:val="superscript"/>
        </w:rPr>
        <w:t>3</w:t>
      </w:r>
    </w:p>
    <w:p>
      <w:pPr>
        <w:spacing w:after="0" w:line="155" w:lineRule="exact"/>
        <w:rPr>
          <w:rFonts w:ascii="Arial" w:cs="Arial" w:eastAsia="Arial" w:hAnsi="Arial"/>
          <w:sz w:val="18"/>
          <w:szCs w:val="18"/>
          <w:color w:val="auto"/>
        </w:rPr>
      </w:pPr>
    </w:p>
    <w:p>
      <w:pPr>
        <w:ind w:left="412" w:hanging="385"/>
        <w:spacing w:after="0"/>
        <w:tabs>
          <w:tab w:leader="none" w:pos="412"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3" w:lineRule="exact"/>
        <w:rPr>
          <w:sz w:val="20"/>
          <w:szCs w:val="20"/>
          <w:color w:val="auto"/>
        </w:rPr>
      </w:pPr>
    </w:p>
    <w:p>
      <w:pPr>
        <w:ind w:left="11172"/>
        <w:spacing w:after="0"/>
        <w:rPr>
          <w:sz w:val="20"/>
          <w:szCs w:val="20"/>
          <w:color w:val="auto"/>
        </w:rPr>
      </w:pPr>
      <w:r>
        <w:rPr>
          <w:rFonts w:ascii="Arial" w:cs="Arial" w:eastAsia="Arial" w:hAnsi="Arial"/>
          <w:sz w:val="18"/>
          <w:szCs w:val="18"/>
          <w:color w:val="auto"/>
        </w:rPr>
        <w:t>[ ]</w:t>
      </w:r>
    </w:p>
    <w:p>
      <w:pPr>
        <w:spacing w:after="0" w:line="238" w:lineRule="exact"/>
        <w:rPr>
          <w:sz w:val="20"/>
          <w:szCs w:val="20"/>
          <w:color w:val="auto"/>
        </w:rPr>
      </w:pPr>
    </w:p>
    <w:p>
      <w:pPr>
        <w:ind w:left="412" w:hanging="385"/>
        <w:spacing w:after="0"/>
        <w:tabs>
          <w:tab w:leader="none" w:pos="412"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412"/>
        <w:spacing w:after="0"/>
        <w:rPr>
          <w:rFonts w:ascii="Arial" w:cs="Arial" w:eastAsia="Arial" w:hAnsi="Arial"/>
          <w:sz w:val="18"/>
          <w:szCs w:val="18"/>
          <w:color w:val="auto"/>
        </w:rPr>
      </w:pPr>
      <w:r>
        <w:rPr>
          <w:rFonts w:ascii="Arial" w:cs="Arial" w:eastAsia="Arial" w:hAnsi="Arial"/>
          <w:sz w:val="18"/>
          <w:szCs w:val="18"/>
          <w:b w:val="1"/>
          <w:bCs w:val="1"/>
          <w:color w:val="auto"/>
        </w:rPr>
        <w:t>7.82%</w:t>
      </w:r>
      <w:r>
        <w:rPr>
          <w:rFonts w:ascii="Arial" w:cs="Arial" w:eastAsia="Arial" w:hAnsi="Arial"/>
          <w:sz w:val="30"/>
          <w:szCs w:val="30"/>
          <w:b w:val="1"/>
          <w:bCs w:val="1"/>
          <w:color w:val="auto"/>
          <w:vertAlign w:val="superscript"/>
        </w:rPr>
        <w:t>4</w:t>
      </w:r>
    </w:p>
    <w:p>
      <w:pPr>
        <w:spacing w:after="0" w:line="155" w:lineRule="exact"/>
        <w:rPr>
          <w:rFonts w:ascii="Arial" w:cs="Arial" w:eastAsia="Arial" w:hAnsi="Arial"/>
          <w:sz w:val="18"/>
          <w:szCs w:val="18"/>
          <w:color w:val="auto"/>
        </w:rPr>
      </w:pPr>
    </w:p>
    <w:p>
      <w:pPr>
        <w:ind w:left="412" w:hanging="385"/>
        <w:spacing w:after="0"/>
        <w:tabs>
          <w:tab w:leader="none" w:pos="412"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1" w:lineRule="exact"/>
        <w:rPr>
          <w:rFonts w:ascii="Arial" w:cs="Arial" w:eastAsia="Arial" w:hAnsi="Arial"/>
          <w:sz w:val="18"/>
          <w:szCs w:val="18"/>
          <w:color w:val="auto"/>
        </w:rPr>
      </w:pPr>
    </w:p>
    <w:p>
      <w:pPr>
        <w:ind w:left="412"/>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172085</wp:posOffset>
            </wp:positionV>
            <wp:extent cx="18097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12" w:hanging="112"/>
        <w:spacing w:after="0"/>
        <w:tabs>
          <w:tab w:leader="none" w:pos="112"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Includes 468,576 shares of the Issuer’s common stock held in the name of the person filing this Schedule 13G.</w:t>
      </w:r>
    </w:p>
    <w:p>
      <w:pPr>
        <w:spacing w:after="0" w:line="242" w:lineRule="exact"/>
        <w:rPr>
          <w:sz w:val="20"/>
          <w:szCs w:val="20"/>
          <w:color w:val="auto"/>
        </w:rPr>
      </w:pPr>
    </w:p>
    <w:p>
      <w:pPr>
        <w:jc w:val="both"/>
        <w:ind w:left="-8" w:firstLine="8"/>
        <w:spacing w:after="0" w:line="232" w:lineRule="auto"/>
        <w:tabs>
          <w:tab w:leader="none" w:pos="105" w:val="left"/>
        </w:tabs>
        <w:numPr>
          <w:ilvl w:val="0"/>
          <w:numId w:val="8"/>
        </w:numPr>
        <w:rPr>
          <w:rFonts w:ascii="Arial" w:cs="Arial" w:eastAsia="Arial" w:hAnsi="Arial"/>
          <w:sz w:val="28"/>
          <w:szCs w:val="28"/>
          <w:color w:val="auto"/>
          <w:vertAlign w:val="superscript"/>
        </w:rPr>
      </w:pPr>
      <w:r>
        <w:rPr>
          <w:rFonts w:ascii="Arial" w:cs="Arial" w:eastAsia="Arial" w:hAnsi="Arial"/>
          <w:sz w:val="17"/>
          <w:szCs w:val="17"/>
          <w:color w:val="auto"/>
        </w:rPr>
        <w:t>Includes (i) 25,316 shares of the Issuer’s common stock held in the name of the spouse of the person filing this Schedule 13G, (ii) 151,898, shares of the Issuer’s common stock held in the name of 1425 Greenwood Lane, LLC, of which the person filing this Schedule 13G is a managing member, and (iii) 101,265 shares of the Issuer’s common stock held in the name of RCHER Financial, LLC, of which the person filing this Schedule 13G is a managing member.</w:t>
      </w:r>
    </w:p>
    <w:p>
      <w:pPr>
        <w:spacing w:after="0" w:line="243" w:lineRule="exact"/>
        <w:rPr>
          <w:sz w:val="20"/>
          <w:szCs w:val="20"/>
          <w:color w:val="auto"/>
        </w:rPr>
      </w:pPr>
    </w:p>
    <w:p>
      <w:pPr>
        <w:ind w:left="-8" w:firstLine="8"/>
        <w:spacing w:after="0" w:line="194" w:lineRule="auto"/>
        <w:tabs>
          <w:tab w:leader="none" w:pos="118"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Consists of the securities set forth in footnotes (1) and (2) above. The person filing this Schedule 13G disclaims beneficial ownership of these securities except to the extent of his pecuniary interest therein.</w:t>
      </w:r>
    </w:p>
    <w:p>
      <w:pPr>
        <w:spacing w:after="0" w:line="243" w:lineRule="exact"/>
        <w:rPr>
          <w:sz w:val="20"/>
          <w:szCs w:val="20"/>
          <w:color w:val="auto"/>
        </w:rPr>
      </w:pPr>
    </w:p>
    <w:p>
      <w:pPr>
        <w:ind w:left="5652" w:right="2640" w:hanging="5652"/>
        <w:spacing w:after="0" w:line="830" w:lineRule="auto"/>
        <w:tabs>
          <w:tab w:leader="none" w:pos="104" w:val="left"/>
        </w:tabs>
        <w:numPr>
          <w:ilvl w:val="0"/>
          <w:numId w:val="10"/>
        </w:numPr>
        <w:rPr>
          <w:rFonts w:ascii="Arial" w:cs="Arial" w:eastAsia="Arial" w:hAnsi="Arial"/>
          <w:sz w:val="27"/>
          <w:szCs w:val="27"/>
          <w:color w:val="auto"/>
          <w:vertAlign w:val="superscript"/>
        </w:rPr>
      </w:pPr>
      <w:r>
        <w:rPr>
          <w:rFonts w:ascii="Arial" w:cs="Arial" w:eastAsia="Arial" w:hAnsi="Arial"/>
          <w:sz w:val="17"/>
          <w:szCs w:val="17"/>
          <w:color w:val="auto"/>
        </w:rPr>
        <w:t>The percentage was calculated based on 9,511,026 shares of the Issuer’s common stock outstanding as of May 13, 2015.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-826770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-801370</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-483870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88" w:right="239" w:bottom="1042" w:gutter="0" w:footer="0" w:header="0"/>
        </w:sectPr>
      </w:pPr>
    </w:p>
    <w:bookmarkStart w:id="2" w:name="page3"/>
    <w:bookmarkEnd w:id="2"/>
    <w:p>
      <w:pPr>
        <w:ind w:left="40"/>
        <w:spacing w:after="0"/>
        <w:tabs>
          <w:tab w:leader="none" w:pos="5540" w:val="left"/>
          <w:tab w:leader="none" w:pos="10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 xml:space="preserve">CUSIP No. </w:t>
      </w:r>
      <w:r>
        <w:rPr>
          <w:rFonts w:ascii="Arial" w:cs="Arial" w:eastAsia="Arial" w:hAnsi="Arial"/>
          <w:sz w:val="18"/>
          <w:szCs w:val="18"/>
          <w:b w:val="1"/>
          <w:bCs w:val="1"/>
          <w:color w:val="auto"/>
        </w:rPr>
        <w:t>45323A 201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5 Pages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Imprimis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12264 El Camino Real, Suite 350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Diego, CA 92130</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Donald Miloni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1425 Greenwood Lane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Greenwood Village, CO 80125</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5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5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Common Stock, par value $0.001</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45323A 201</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b w:val="1"/>
          <w:bCs w:val="1"/>
          <w:color w:val="auto"/>
        </w:rPr>
        <w:t>747,055*</w:t>
      </w:r>
    </w:p>
    <w:p>
      <w:pPr>
        <w:spacing w:after="0" w:line="229"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b w:val="1"/>
          <w:bCs w:val="1"/>
          <w:color w:val="auto"/>
        </w:rPr>
        <w:t>7.82%</w:t>
      </w:r>
    </w:p>
    <w:p>
      <w:pPr>
        <w:spacing w:after="0" w:line="229"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1"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b w:val="1"/>
          <w:bCs w:val="1"/>
          <w:color w:val="auto"/>
        </w:rPr>
        <w:t>468,576*</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3" w:name="page4"/>
    <w:bookmarkEnd w:id="3"/>
    <w:p>
      <w:pPr>
        <w:ind w:left="40"/>
        <w:spacing w:after="0"/>
        <w:tabs>
          <w:tab w:leader="none" w:pos="5540" w:val="left"/>
          <w:tab w:leader="none" w:pos="10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 xml:space="preserve">CUSIP No. </w:t>
      </w:r>
      <w:r>
        <w:rPr>
          <w:rFonts w:ascii="Arial" w:cs="Arial" w:eastAsia="Arial" w:hAnsi="Arial"/>
          <w:sz w:val="18"/>
          <w:szCs w:val="18"/>
          <w:b w:val="1"/>
          <w:bCs w:val="1"/>
          <w:color w:val="auto"/>
        </w:rPr>
        <w:t>45323A 201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5 Pages</w:t>
      </w:r>
    </w:p>
    <w:p>
      <w:pPr>
        <w:spacing w:after="0" w:line="256" w:lineRule="exact"/>
        <w:rPr>
          <w:sz w:val="20"/>
          <w:szCs w:val="20"/>
          <w:color w:val="auto"/>
        </w:rPr>
      </w:pPr>
    </w:p>
    <w:p>
      <w:pPr>
        <w:ind w:left="1680" w:hanging="375"/>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48" w:lineRule="exact"/>
        <w:rPr>
          <w:rFonts w:ascii="Arial" w:cs="Arial" w:eastAsia="Arial" w:hAnsi="Arial"/>
          <w:sz w:val="18"/>
          <w:szCs w:val="18"/>
          <w:color w:val="auto"/>
        </w:rPr>
      </w:pPr>
    </w:p>
    <w:p>
      <w:pPr>
        <w:jc w:val="both"/>
        <w:ind w:left="170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278,479</w:t>
      </w:r>
      <w:r>
        <w:rPr>
          <w:rFonts w:ascii="Arial" w:cs="Arial" w:eastAsia="Arial" w:hAnsi="Arial"/>
          <w:sz w:val="18"/>
          <w:szCs w:val="18"/>
          <w:color w:val="auto"/>
        </w:rPr>
        <w:t>* (Includes (i) 25,316 shares of the Issuer’s common stock held in the name of the spouse of the person filing this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13G, (ii) 151,898, shares of the Issuer’s common stock held in the name of 1425 Greenwood Lane, LLC, of which the person filing this Schedule 13G is a managing member, and (iii) 101,265 shares of the Issuer’s common stock held in the name of RCHER Financial, LLC, of which the person filing this Schedule 13G is a managing member.)</w:t>
      </w:r>
    </w:p>
    <w:p>
      <w:pPr>
        <w:spacing w:after="0" w:line="184" w:lineRule="exact"/>
        <w:rPr>
          <w:rFonts w:ascii="Arial" w:cs="Arial" w:eastAsia="Arial" w:hAnsi="Arial"/>
          <w:sz w:val="18"/>
          <w:szCs w:val="18"/>
          <w:color w:val="auto"/>
        </w:rPr>
      </w:pPr>
    </w:p>
    <w:p>
      <w:pPr>
        <w:ind w:left="1680" w:hanging="375"/>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1"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b w:val="1"/>
          <w:bCs w:val="1"/>
          <w:color w:val="auto"/>
        </w:rPr>
        <w:t>468,576*</w:t>
      </w:r>
    </w:p>
    <w:p>
      <w:pPr>
        <w:spacing w:after="0" w:line="229" w:lineRule="exact"/>
        <w:rPr>
          <w:rFonts w:ascii="Arial" w:cs="Arial" w:eastAsia="Arial" w:hAnsi="Arial"/>
          <w:sz w:val="18"/>
          <w:szCs w:val="18"/>
          <w:color w:val="auto"/>
        </w:rPr>
      </w:pPr>
    </w:p>
    <w:p>
      <w:pPr>
        <w:ind w:left="1680" w:hanging="375"/>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48" w:lineRule="exact"/>
        <w:rPr>
          <w:sz w:val="20"/>
          <w:szCs w:val="20"/>
          <w:color w:val="auto"/>
        </w:rPr>
      </w:pPr>
    </w:p>
    <w:p>
      <w:pPr>
        <w:jc w:val="both"/>
        <w:ind w:left="1700"/>
        <w:spacing w:after="0" w:line="261" w:lineRule="auto"/>
        <w:rPr>
          <w:sz w:val="20"/>
          <w:szCs w:val="20"/>
          <w:color w:val="auto"/>
        </w:rPr>
      </w:pPr>
      <w:r>
        <w:rPr>
          <w:rFonts w:ascii="Arial" w:cs="Arial" w:eastAsia="Arial" w:hAnsi="Arial"/>
          <w:sz w:val="18"/>
          <w:szCs w:val="18"/>
          <w:b w:val="1"/>
          <w:bCs w:val="1"/>
          <w:color w:val="auto"/>
        </w:rPr>
        <w:t>278,479</w:t>
      </w:r>
      <w:r>
        <w:rPr>
          <w:rFonts w:ascii="Arial" w:cs="Arial" w:eastAsia="Arial" w:hAnsi="Arial"/>
          <w:sz w:val="18"/>
          <w:szCs w:val="18"/>
          <w:color w:val="auto"/>
        </w:rPr>
        <w:t>* (Includes (i) 25,316 shares of the Issuer’s common stock held in the name of the spouse of the person filing this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13G, (ii) 151,898, shares of the Issuer’s common stock held in the name of 1425 Greenwood Lane, LLC, of which the person filing this Schedule 13G is a managing member, and (iii) 101,265 shares of the Issuer’s common stock held in the name of RCHER Financial, LLC, of which the person filing this Schedule 13G is a managing member.)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The person filing this Schedule 13G disclaims beneficial ownership of these securities except to the extent of his pecuniary interest therein.</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5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the Group.</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ind w:left="40"/>
        <w:spacing w:after="0"/>
        <w:tabs>
          <w:tab w:leader="none" w:pos="5540" w:val="left"/>
          <w:tab w:leader="none" w:pos="10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 xml:space="preserve">CUSIP No. </w:t>
      </w:r>
      <w:r>
        <w:rPr>
          <w:rFonts w:ascii="Arial" w:cs="Arial" w:eastAsia="Arial" w:hAnsi="Arial"/>
          <w:sz w:val="18"/>
          <w:szCs w:val="18"/>
          <w:b w:val="1"/>
          <w:bCs w:val="1"/>
          <w:color w:val="auto"/>
        </w:rPr>
        <w:t>45323A 201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5 Pages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May 20, 2015</w:t>
      </w:r>
      <w:r>
        <w:rPr>
          <w:sz w:val="20"/>
          <w:szCs w:val="20"/>
          <w:color w:val="auto"/>
        </w:rPr>
        <w:tab/>
      </w:r>
      <w:r>
        <w:rPr>
          <w:rFonts w:ascii="Arial" w:cs="Arial" w:eastAsia="Arial" w:hAnsi="Arial"/>
          <w:sz w:val="18"/>
          <w:szCs w:val="18"/>
          <w:b w:val="1"/>
          <w:bCs w:val="1"/>
          <w:color w:val="auto"/>
        </w:rPr>
        <w:t>DONALD MILONI</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Donald Miloni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Donald Miloni, an individual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4"/>
      <w:numFmt w:val="bullet"/>
      <w:start w:val="1"/>
    </w:lvl>
    <w:lvl w:ilvl="1">
      <w:lvlJc w:val="left"/>
      <w:lvlText w:val="%2."/>
      <w:numFmt w:val="decimal"/>
      <w:start w:val="5"/>
    </w:lvl>
  </w:abstractNum>
  <w:abstractNum w:abstractNumId="4">
    <w:nsid w:val="515F007C"/>
    <w:multiLevelType w:val="hybridMultilevel"/>
    <w:lvl w:ilvl="0">
      <w:lvlJc w:val="left"/>
      <w:lvlText w:val="%1."/>
      <w:numFmt w:val="decimal"/>
      <w:start w:val="9"/>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bullet"/>
      <w:start w:val="1"/>
    </w:lvl>
  </w:abstractNum>
  <w:abstractNum w:abstractNumId="7">
    <w:nsid w:val="4DB127F8"/>
    <w:multiLevelType w:val="hybridMultilevel"/>
    <w:lvl w:ilvl="0">
      <w:lvlJc w:val="left"/>
      <w:lvlText w:val="2"/>
      <w:numFmt w:val="bullet"/>
      <w:start w:val="1"/>
    </w:lvl>
  </w:abstractNum>
  <w:abstractNum w:abstractNumId="8">
    <w:nsid w:val="216231B"/>
    <w:multiLevelType w:val="hybridMultilevel"/>
    <w:lvl w:ilvl="0">
      <w:lvlJc w:val="left"/>
      <w:lvlText w:val="3"/>
      <w:numFmt w:val="bullet"/>
      <w:start w:val="1"/>
    </w:lvl>
  </w:abstractNum>
  <w:abstractNum w:abstractNumId="9">
    <w:nsid w:val="1F16E9E8"/>
    <w:multiLevelType w:val="hybridMultilevel"/>
    <w:lvl w:ilvl="0">
      <w:lvlJc w:val="left"/>
      <w:lvlText w:val="4"/>
      <w:numFmt w:val="bullet"/>
      <w:start w:val="1"/>
    </w:lvl>
  </w:abstractNum>
  <w:abstractNum w:abstractNumId="10">
    <w:nsid w:val="1190CDE7"/>
    <w:multiLevelType w:val="hybridMultilevel"/>
    <w:lvl w:ilvl="0">
      <w:lvlJc w:val="left"/>
      <w:lvlText w:val="(%1)"/>
      <w:numFmt w:val="lowerLetter"/>
      <w:start w:val="1"/>
    </w:lvl>
    <w:lvl w:ilvl="1">
      <w:lvlJc w:val="left"/>
      <w:lvlText w:val="(%2)"/>
      <w:numFmt w:val="lowerLetter"/>
      <w:start w:val="9"/>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2020-01-23T17:19:04Z</dcterms:created>
  <dcterms:modified xsi:type="dcterms:W3CDTF">2020-01-23T17:19:04Z</dcterms:modified>
</cp:coreProperties>
</file>