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20, 2025</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HARROW,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tbl>
      <w:tblPr>
        <w:tblLayout w:type="fixed"/>
        <w:tblInd w:w="1220" w:type="dxa"/>
        <w:tblCellMar>
          <w:top w:w="0" w:type="dxa"/>
          <w:left w:w="0" w:type="dxa"/>
          <w:bottom w:w="0" w:type="dxa"/>
          <w:right w:w="0" w:type="dxa"/>
        </w:tblCellMar>
      </w:tblPr>
      <w:tr>
        <w:trPr>
          <w:trHeight w:val="216"/>
        </w:trPr>
        <w:tc>
          <w:tcPr>
            <w:tcW w:w="6480" w:type="dxa"/>
            <w:vAlign w:val="bottom"/>
          </w:tcPr>
          <w:p>
            <w:pPr>
              <w:jc w:val="center"/>
              <w:ind w:right="33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5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45-0567010</w:t>
            </w:r>
          </w:p>
        </w:tc>
      </w:tr>
      <w:tr>
        <w:trPr>
          <w:trHeight w:val="216"/>
        </w:trPr>
        <w:tc>
          <w:tcPr>
            <w:tcW w:w="6480" w:type="dxa"/>
            <w:vAlign w:val="bottom"/>
          </w:tcPr>
          <w:p>
            <w:pPr>
              <w:jc w:val="center"/>
              <w:ind w:right="331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6480" w:type="dxa"/>
            <w:vAlign w:val="bottom"/>
          </w:tcPr>
          <w:p>
            <w:pPr>
              <w:jc w:val="center"/>
              <w:ind w:right="331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6480" w:type="dxa"/>
            <w:vAlign w:val="bottom"/>
          </w:tcPr>
          <w:p>
            <w:pPr>
              <w:jc w:val="center"/>
              <w:ind w:right="3310"/>
              <w:spacing w:after="0"/>
              <w:rPr>
                <w:sz w:val="20"/>
                <w:szCs w:val="20"/>
                <w:color w:val="auto"/>
              </w:rPr>
            </w:pPr>
            <w:r>
              <w:rPr>
                <w:rFonts w:ascii="Times New Roman" w:cs="Times New Roman" w:eastAsia="Times New Roman" w:hAnsi="Times New Roman"/>
                <w:sz w:val="18"/>
                <w:szCs w:val="18"/>
                <w:b w:val="1"/>
                <w:bCs w:val="1"/>
                <w:color w:val="auto"/>
              </w:rPr>
              <w:t>1A Burton Hills Blvd., Suite 200</w:t>
            </w:r>
          </w:p>
        </w:tc>
        <w:tc>
          <w:tcPr>
            <w:tcW w:w="1500" w:type="dxa"/>
            <w:vAlign w:val="bottom"/>
          </w:tcPr>
          <w:p>
            <w:pPr>
              <w:spacing w:after="0"/>
              <w:rPr>
                <w:sz w:val="24"/>
                <w:szCs w:val="24"/>
                <w:color w:val="auto"/>
              </w:rPr>
            </w:pPr>
          </w:p>
        </w:tc>
      </w:tr>
      <w:tr>
        <w:trPr>
          <w:trHeight w:val="216"/>
        </w:trPr>
        <w:tc>
          <w:tcPr>
            <w:tcW w:w="6480" w:type="dxa"/>
            <w:vAlign w:val="bottom"/>
          </w:tcPr>
          <w:p>
            <w:pPr>
              <w:jc w:val="center"/>
              <w:ind w:right="3310"/>
              <w:spacing w:after="0"/>
              <w:rPr>
                <w:sz w:val="20"/>
                <w:szCs w:val="20"/>
                <w:color w:val="auto"/>
              </w:rPr>
            </w:pPr>
            <w:r>
              <w:rPr>
                <w:rFonts w:ascii="Times New Roman" w:cs="Times New Roman" w:eastAsia="Times New Roman" w:hAnsi="Times New Roman"/>
                <w:sz w:val="18"/>
                <w:szCs w:val="18"/>
                <w:b w:val="1"/>
                <w:bCs w:val="1"/>
                <w:color w:val="auto"/>
                <w:w w:val="98"/>
              </w:rPr>
              <w:t>Nashville, Tennessee</w:t>
            </w:r>
          </w:p>
        </w:tc>
        <w:tc>
          <w:tcPr>
            <w:tcW w:w="15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37215</w:t>
            </w:r>
          </w:p>
        </w:tc>
      </w:tr>
      <w:tr>
        <w:trPr>
          <w:trHeight w:val="238"/>
        </w:trPr>
        <w:tc>
          <w:tcPr>
            <w:tcW w:w="6480" w:type="dxa"/>
            <w:vAlign w:val="bottom"/>
          </w:tcPr>
          <w:p>
            <w:pPr>
              <w:jc w:val="center"/>
              <w:ind w:right="33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50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410"/>
        </w:trPr>
        <w:tc>
          <w:tcPr>
            <w:tcW w:w="6480" w:type="dxa"/>
            <w:vAlign w:val="bottom"/>
          </w:tcPr>
          <w:p>
            <w:pPr>
              <w:jc w:val="center"/>
              <w:ind w:left="2250"/>
              <w:spacing w:after="0"/>
              <w:rPr>
                <w:sz w:val="20"/>
                <w:szCs w:val="20"/>
                <w:color w:val="auto"/>
              </w:rPr>
            </w:pPr>
            <w:r>
              <w:rPr>
                <w:rFonts w:ascii="Times New Roman" w:cs="Times New Roman" w:eastAsia="Times New Roman" w:hAnsi="Times New Roman"/>
                <w:sz w:val="18"/>
                <w:szCs w:val="18"/>
                <w:b w:val="1"/>
                <w:bCs w:val="1"/>
                <w:color w:val="auto"/>
                <w:w w:val="99"/>
              </w:rPr>
              <w:t>Harrow, Inc. 2025 Incentive Stock and Awards Plan</w:t>
            </w:r>
          </w:p>
        </w:tc>
        <w:tc>
          <w:tcPr>
            <w:tcW w:w="1500" w:type="dxa"/>
            <w:vAlign w:val="bottom"/>
          </w:tcPr>
          <w:p>
            <w:pPr>
              <w:spacing w:after="0"/>
              <w:rPr>
                <w:sz w:val="24"/>
                <w:szCs w:val="24"/>
                <w:color w:val="auto"/>
              </w:rPr>
            </w:pPr>
          </w:p>
        </w:tc>
      </w:tr>
      <w:tr>
        <w:trPr>
          <w:trHeight w:val="238"/>
        </w:trPr>
        <w:tc>
          <w:tcPr>
            <w:tcW w:w="6480" w:type="dxa"/>
            <w:vAlign w:val="bottom"/>
          </w:tcPr>
          <w:p>
            <w:pPr>
              <w:jc w:val="center"/>
              <w:ind w:left="2230"/>
              <w:spacing w:after="0"/>
              <w:rPr>
                <w:sz w:val="20"/>
                <w:szCs w:val="20"/>
                <w:color w:val="auto"/>
              </w:rPr>
            </w:pPr>
            <w:r>
              <w:rPr>
                <w:rFonts w:ascii="Times New Roman" w:cs="Times New Roman" w:eastAsia="Times New Roman" w:hAnsi="Times New Roman"/>
                <w:sz w:val="18"/>
                <w:szCs w:val="18"/>
                <w:b w:val="1"/>
                <w:bCs w:val="1"/>
                <w:color w:val="auto"/>
                <w:w w:val="99"/>
              </w:rPr>
              <w:t>(Full title of the plan)</w:t>
            </w:r>
          </w:p>
        </w:tc>
        <w:tc>
          <w:tcPr>
            <w:tcW w:w="15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L. Baum</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Harrow,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1A Burton Hills Blvd., Suite 200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Nashville, Tennessee 37215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(615) 733-4730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Copy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H. Nixon III</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Holland &amp; Knight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511 Union Street, Suite 2700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Nashville, Tennessee 37219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(615) 244-6380</w:t>
      </w:r>
    </w:p>
    <w:p>
      <w:pPr>
        <w:spacing w:after="0" w:line="20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66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426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Accelerated filer</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66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426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5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26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document(s) containing the information specified in Part I of this Form S-8 will be sent or given to employees as specified by Rule 428(b)(1) of the Securities Act of 1933, as amended (the “Securities Act”). Such documents need not be filed with the Securities and Exchange Commission (the “SEC”) either as part of this registration statement (this “Registration Statement”) or as prospectuses or prospectus supplements pursuant to Rule 424 of the Securities Act. These documents and the documents incorporated by reference in this Registration Statement pursuant to Item 3 of Part II hereof, taken together, constitute a prospectus that meets the requirements of Section 10(a)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Incorporation of Documents by Reference.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Registration Statement, which means that we can disclose important information to you by referring you to another document filed separately with the SEC. The following documents, which have been filed by Harrow, Inc. (the “Registrant”) with the SEC, are incorporated in this Registration Statement by reference:</w:t>
      </w:r>
    </w:p>
    <w:p>
      <w:pPr>
        <w:spacing w:after="0" w:line="176" w:lineRule="exact"/>
        <w:rPr>
          <w:sz w:val="20"/>
          <w:szCs w:val="20"/>
          <w:color w:val="auto"/>
        </w:rPr>
      </w:pPr>
    </w:p>
    <w:p>
      <w:pPr>
        <w:ind w:left="1240" w:hanging="248"/>
        <w:spacing w:after="0"/>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19">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w:t>
      </w:r>
    </w:p>
    <w:p>
      <w:pPr>
        <w:spacing w:after="0" w:line="225" w:lineRule="exact"/>
        <w:rPr>
          <w:rFonts w:ascii="Times New Roman" w:cs="Times New Roman" w:eastAsia="Times New Roman" w:hAnsi="Times New Roman"/>
          <w:sz w:val="18"/>
          <w:szCs w:val="18"/>
          <w:color w:val="auto"/>
        </w:rPr>
      </w:pPr>
    </w:p>
    <w:p>
      <w:pPr>
        <w:ind w:left="1240" w:hanging="248"/>
        <w:spacing w:after="0"/>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Quarterly Report on </w:t>
      </w:r>
      <w:hyperlink r:id="rId20">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2025;</w:t>
      </w:r>
    </w:p>
    <w:p>
      <w:pPr>
        <w:spacing w:after="0" w:line="225" w:lineRule="exact"/>
        <w:rPr>
          <w:rFonts w:ascii="Times New Roman" w:cs="Times New Roman" w:eastAsia="Times New Roman" w:hAnsi="Times New Roman"/>
          <w:sz w:val="18"/>
          <w:szCs w:val="18"/>
          <w:color w:val="auto"/>
        </w:rPr>
      </w:pPr>
    </w:p>
    <w:p>
      <w:pPr>
        <w:ind w:left="500" w:right="20" w:firstLine="492"/>
        <w:spacing w:after="0" w:line="282" w:lineRule="auto"/>
        <w:tabs>
          <w:tab w:leader="none" w:pos="1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Current Reports on Form 8-K filed with the SEC on </w:t>
      </w:r>
      <w:hyperlink r:id="rId21">
        <w:r>
          <w:rPr>
            <w:rFonts w:ascii="Times New Roman" w:cs="Times New Roman" w:eastAsia="Times New Roman" w:hAnsi="Times New Roman"/>
            <w:sz w:val="18"/>
            <w:szCs w:val="18"/>
            <w:u w:val="single" w:color="auto"/>
            <w:color w:val="0000EE"/>
          </w:rPr>
          <w:t>January 21, 2025</w:t>
        </w:r>
      </w:hyperlink>
      <w:r>
        <w:rPr>
          <w:rFonts w:ascii="Times New Roman" w:cs="Times New Roman" w:eastAsia="Times New Roman" w:hAnsi="Times New Roman"/>
          <w:sz w:val="18"/>
          <w:szCs w:val="18"/>
          <w:color w:val="auto"/>
        </w:rPr>
        <w:t xml:space="preserve">, </w:t>
      </w:r>
      <w:hyperlink r:id="rId22">
        <w:r>
          <w:rPr>
            <w:rFonts w:ascii="Times New Roman" w:cs="Times New Roman" w:eastAsia="Times New Roman" w:hAnsi="Times New Roman"/>
            <w:sz w:val="18"/>
            <w:szCs w:val="18"/>
            <w:u w:val="single" w:color="auto"/>
            <w:color w:val="0000EE"/>
          </w:rPr>
          <w:t>June 9,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3">
        <w:r>
          <w:rPr>
            <w:rFonts w:ascii="Times New Roman" w:cs="Times New Roman" w:eastAsia="Times New Roman" w:hAnsi="Times New Roman"/>
            <w:sz w:val="18"/>
            <w:szCs w:val="18"/>
            <w:u w:val="single" w:color="auto"/>
            <w:color w:val="0000EE"/>
          </w:rPr>
          <w:t>June 20,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(other than information furnished pursuant to Item 2.02 or Item 7.01 of the Current Report on Form 8-K, unless expressly stated otherwise therein); and</w:t>
      </w:r>
    </w:p>
    <w:p>
      <w:pPr>
        <w:spacing w:after="0" w:line="161" w:lineRule="exact"/>
        <w:rPr>
          <w:rFonts w:ascii="Times New Roman" w:cs="Times New Roman" w:eastAsia="Times New Roman" w:hAnsi="Times New Roman"/>
          <w:sz w:val="18"/>
          <w:szCs w:val="18"/>
          <w:color w:val="auto"/>
        </w:rPr>
      </w:pPr>
    </w:p>
    <w:p>
      <w:pPr>
        <w:jc w:val="both"/>
        <w:ind w:left="500" w:firstLine="492"/>
        <w:spacing w:after="0" w:line="266" w:lineRule="auto"/>
        <w:tabs>
          <w:tab w:leader="none" w:pos="126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contained in the Registrant’s registration statement on </w:t>
      </w:r>
      <w:hyperlink r:id="rId24">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filed with the SEC pursuant to Section 12(b) of the Securities Exchange Act of 1934, as amended (the “Exchange Act”), on February 7, 2013 (Reg. No. 001-35814), including any amendments or reports filed for the purpose of updating such descriptions.</w:t>
      </w:r>
    </w:p>
    <w:p>
      <w:pPr>
        <w:spacing w:after="0" w:line="176" w:lineRule="exact"/>
        <w:rPr>
          <w:rFonts w:ascii="Times New Roman" w:cs="Times New Roman" w:eastAsia="Times New Roman" w:hAnsi="Times New Roman"/>
          <w:sz w:val="18"/>
          <w:szCs w:val="18"/>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reports and other documents subsequently filed by the Registrant pursuant to Sections 13(a), 13(c), 14 and 15(d) of the Exchange Act after the date of this Registration Statement, but prior to the filing of a post-effective amendment which indicates that all securities offered hereby have been sold or which deregisters all securities then remaining unsold, shall be deemed to be incorporated by reference herein and to be a part hereof from the date of filing of such documents.</w:t>
      </w:r>
    </w:p>
    <w:p>
      <w:pPr>
        <w:spacing w:after="0" w:line="180" w:lineRule="exact"/>
        <w:rPr>
          <w:rFonts w:ascii="Times New Roman" w:cs="Times New Roman" w:eastAsia="Times New Roman" w:hAnsi="Times New Roman"/>
          <w:sz w:val="18"/>
          <w:szCs w:val="18"/>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176" w:lineRule="exact"/>
        <w:rPr>
          <w:rFonts w:ascii="Times New Roman" w:cs="Times New Roman" w:eastAsia="Times New Roman" w:hAnsi="Times New Roman"/>
          <w:sz w:val="18"/>
          <w:szCs w:val="18"/>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Description of Securities.</w:t>
      </w:r>
    </w:p>
    <w:p>
      <w:pPr>
        <w:spacing w:after="0" w:line="229" w:lineRule="exact"/>
        <w:rPr>
          <w:rFonts w:ascii="Times New Roman" w:cs="Times New Roman" w:eastAsia="Times New Roman" w:hAnsi="Times New Roman"/>
          <w:sz w:val="18"/>
          <w:szCs w:val="18"/>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Interests of Named Experts and Counsel.</w:t>
      </w:r>
    </w:p>
    <w:p>
      <w:pPr>
        <w:spacing w:after="0" w:line="229" w:lineRule="exact"/>
        <w:rPr>
          <w:rFonts w:ascii="Times New Roman" w:cs="Times New Roman" w:eastAsia="Times New Roman" w:hAnsi="Times New Roman"/>
          <w:sz w:val="18"/>
          <w:szCs w:val="18"/>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Indemnification of Directors and Officers.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Registrant is incorporated under the laws of the State of Delaware. Section 102(b)(7) of the Delaware General Corporation Law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The Registrant’s amended and restated certificate of incorporation provides for this limitation of liability.</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145 of the DGCL (“Section 145”) provides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reasonably believed to be in or not opposed to the corporation’s best interests and, with respect to any criminal action or proceeding, had no reasonable cause to believe that his or her conduct was illegal. A Delaware corporation may indemnify any persons who are, were or are threatened to be made a party to any threatened, pending or completed action or suit by or in the right of the corporation by reason of the fact that such person is or was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reasonably believed to be in or not opposed to the corporation’s best interests, provided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against the expenses which such officer or director has actually and reasonably incurred.</w:t>
      </w:r>
    </w:p>
    <w:p>
      <w:pPr>
        <w:spacing w:after="0" w:line="19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him or her and incurred by him or her in any such capacity, or arising out of his or her status as such, whether or not the corporation would otherwise have the power to indemnify him or her under Section 145.</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Registrant’s amended and restated bylaws provide that the Registrant must indemnify and hold harmless its directors, officers, employees and agents to the fullest extent authorized by the DGCL and must also pay expenses incurred in defending any such proceeding in advance of its final disposition; provided, that if and to the extent required by the DGCL, the advancement of expenses shall only be made upon delivery of an undertaking, by or on behalf of an indemnified person, to repay all amounts so advanced if it should be determined ultimately that such person is not entitled to be indemnified.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Registrant entered into indemnification agreements with each of its directors and executive officers. These agreements require the Registrant to indemnify these individuals to the fullest extent permitted under Delaware law against liabilities that may arise by reason of their service to the Registrant, and to advance expenses incurred as a result of any proceeding against them as to which they could be indemnified.</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indemnification rights set forth above shall not be exclusive of any other right which an indemnified person may have or hereafter acquire under any statute, provision of the Registrant’s certificate of incorporation or bylaws, agreement, vote of stockholders or disinterested directors or otherwise.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Registrant maintains standard policies of insurance that provide coverage (1) to its directors and officers against loss arising from claims made by reason of breach of duty or other wrongful act and (2) to the Registrant with respect to indemnification payments that it may make to such directors and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320" w:type="dxa"/>
            <w:vAlign w:val="bottom"/>
          </w:tcPr>
          <w:p>
            <w:pPr>
              <w:spacing w:after="0"/>
              <w:rPr>
                <w:sz w:val="20"/>
                <w:szCs w:val="20"/>
                <w:color w:val="auto"/>
              </w:rPr>
            </w:pPr>
          </w:p>
        </w:tc>
        <w:tc>
          <w:tcPr>
            <w:tcW w:w="1026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Exemption from Registration Claimed.</w:t>
            </w:r>
          </w:p>
        </w:tc>
      </w:tr>
      <w:tr>
        <w:trPr>
          <w:trHeight w:val="432"/>
        </w:trPr>
        <w:tc>
          <w:tcPr>
            <w:tcW w:w="660" w:type="dxa"/>
            <w:vAlign w:val="bottom"/>
          </w:tcPr>
          <w:p>
            <w:pPr>
              <w:spacing w:after="0"/>
              <w:rPr>
                <w:sz w:val="24"/>
                <w:szCs w:val="24"/>
                <w:color w:val="auto"/>
              </w:rPr>
            </w:pPr>
          </w:p>
        </w:tc>
        <w:tc>
          <w:tcPr>
            <w:tcW w:w="105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320" w:type="dxa"/>
            <w:vAlign w:val="bottom"/>
          </w:tcPr>
          <w:p>
            <w:pPr>
              <w:spacing w:after="0"/>
              <w:rPr>
                <w:sz w:val="24"/>
                <w:szCs w:val="24"/>
                <w:color w:val="auto"/>
              </w:rPr>
            </w:pPr>
          </w:p>
        </w:tc>
        <w:tc>
          <w:tcPr>
            <w:tcW w:w="1026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10"/>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38"/>
        </w:trPr>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3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40" w:type="dxa"/>
            <w:vAlign w:val="bottom"/>
            <w:tcBorders>
              <w:bottom w:val="single" w:sz="8" w:color="auto"/>
            </w:tcBorders>
          </w:tcPr>
          <w:p>
            <w:pPr>
              <w:spacing w:after="0"/>
              <w:rPr>
                <w:sz w:val="20"/>
                <w:szCs w:val="20"/>
                <w:color w:val="auto"/>
              </w:rPr>
            </w:pPr>
          </w:p>
        </w:tc>
        <w:tc>
          <w:tcPr>
            <w:tcW w:w="5780" w:type="dxa"/>
            <w:vAlign w:val="bottom"/>
            <w:tcBorders>
              <w:bottom w:val="single" w:sz="8" w:color="auto"/>
            </w:tcBorders>
            <w:gridSpan w:val="6"/>
          </w:tcPr>
          <w:p>
            <w:pPr>
              <w:ind w:left="2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66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4.1</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10120" w:type="dxa"/>
            <w:vAlign w:val="bottom"/>
            <w:tcBorders>
              <w:bottom w:val="single" w:sz="8" w:color="0000EE"/>
            </w:tcBorders>
            <w:gridSpan w:val="7"/>
          </w:tcPr>
          <w:p>
            <w:pPr>
              <w:spacing w:after="0" w:line="169"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Amended and Restated Certificate of Incorporation, as amended (incorporated herein by reference to Exhibit 3.1 to the Current Report on</w:t>
              </w:r>
            </w:hyperlink>
          </w:p>
        </w:tc>
      </w:tr>
      <w:tr>
        <w:trPr>
          <w:trHeight w:val="196"/>
        </w:trPr>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Form 8-K of Harrow, Inc. filed with the Securities and Exchange Commission on September 29, 2023).</w:t>
              </w:r>
            </w:hyperlink>
          </w:p>
        </w:tc>
        <w:tc>
          <w:tcPr>
            <w:tcW w:w="2680" w:type="dxa"/>
            <w:vAlign w:val="bottom"/>
            <w:gridSpan w:val="2"/>
          </w:tcPr>
          <w:p>
            <w:pPr>
              <w:spacing w:after="0"/>
              <w:rPr>
                <w:sz w:val="17"/>
                <w:szCs w:val="17"/>
                <w:color w:val="auto"/>
              </w:rPr>
            </w:pPr>
          </w:p>
        </w:tc>
      </w:tr>
      <w:tr>
        <w:trPr>
          <w:trHeight w:val="196"/>
        </w:trPr>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Amended and Restated Bylaws of Harrow, Inc. (incorporated herein by reference to Exhibit 3.2 to the Current Report on Form 8-K of</w:t>
              </w:r>
            </w:hyperlink>
          </w:p>
        </w:tc>
      </w:tr>
      <w:tr>
        <w:trPr>
          <w:trHeight w:val="196"/>
        </w:trPr>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5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Harrow, Inc. filed with the Securities and Exchange Commission on September 29, 2023).</w:t>
              </w:r>
            </w:hyperlink>
          </w:p>
        </w:tc>
        <w:tc>
          <w:tcPr>
            <w:tcW w:w="3640" w:type="dxa"/>
            <w:vAlign w:val="bottom"/>
            <w:gridSpan w:val="4"/>
          </w:tcPr>
          <w:p>
            <w:pPr>
              <w:spacing w:after="0"/>
              <w:rPr>
                <w:sz w:val="17"/>
                <w:szCs w:val="17"/>
                <w:color w:val="auto"/>
              </w:rPr>
            </w:pPr>
          </w:p>
        </w:tc>
      </w:tr>
      <w:tr>
        <w:trPr>
          <w:trHeight w:val="196"/>
        </w:trPr>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50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Opinion of Holland &amp; Knight LLP, with respect to the legality of the shares of common stock being registered hereby.</w:t>
            </w:r>
          </w:p>
        </w:tc>
        <w:tc>
          <w:tcPr>
            <w:tcW w:w="1640" w:type="dxa"/>
            <w:vAlign w:val="bottom"/>
          </w:tcPr>
          <w:p>
            <w:pPr>
              <w:spacing w:after="0"/>
              <w:rPr>
                <w:sz w:val="17"/>
                <w:szCs w:val="17"/>
                <w:color w:val="auto"/>
              </w:rPr>
            </w:pPr>
          </w:p>
        </w:tc>
      </w:tr>
      <w:tr>
        <w:trPr>
          <w:trHeight w:val="196"/>
        </w:trPr>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Consent of Crowe LLP, Independent Registered Public Accounting Firm.</w:t>
            </w:r>
          </w:p>
        </w:tc>
        <w:tc>
          <w:tcPr>
            <w:tcW w:w="4860" w:type="dxa"/>
            <w:vAlign w:val="bottom"/>
            <w:gridSpan w:val="5"/>
          </w:tcPr>
          <w:p>
            <w:pPr>
              <w:spacing w:after="0"/>
              <w:rPr>
                <w:sz w:val="17"/>
                <w:szCs w:val="17"/>
                <w:color w:val="auto"/>
              </w:rPr>
            </w:pPr>
          </w:p>
        </w:tc>
      </w:tr>
      <w:tr>
        <w:trPr>
          <w:trHeight w:val="196"/>
        </w:trPr>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23.2*</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4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Consent of KMJ Corbin &amp; Company LLP, Independent Registered Public Accounting Firm.</w:t>
            </w:r>
          </w:p>
        </w:tc>
        <w:tc>
          <w:tcPr>
            <w:tcW w:w="3500" w:type="dxa"/>
            <w:vAlign w:val="bottom"/>
            <w:gridSpan w:val="3"/>
          </w:tcPr>
          <w:p>
            <w:pPr>
              <w:spacing w:after="0"/>
              <w:rPr>
                <w:sz w:val="17"/>
                <w:szCs w:val="17"/>
                <w:color w:val="auto"/>
              </w:rPr>
            </w:pPr>
          </w:p>
        </w:tc>
      </w:tr>
      <w:tr>
        <w:trPr>
          <w:trHeight w:val="196"/>
        </w:trPr>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23.3</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 xml:space="preserve">Consent of Holland &amp; Knight LLP </w:t>
            </w:r>
            <w:r>
              <w:rPr>
                <w:rFonts w:ascii="Times New Roman" w:cs="Times New Roman" w:eastAsia="Times New Roman" w:hAnsi="Times New Roman"/>
                <w:sz w:val="18"/>
                <w:szCs w:val="18"/>
                <w:i w:val="1"/>
                <w:iCs w:val="1"/>
                <w:color w:val="0000EE"/>
                <w:w w:val="99"/>
              </w:rPr>
              <w:t>(included in Exhibit 5.1)</w:t>
            </w:r>
            <w:r>
              <w:rPr>
                <w:rFonts w:ascii="Times New Roman" w:cs="Times New Roman" w:eastAsia="Times New Roman" w:hAnsi="Times New Roman"/>
                <w:sz w:val="18"/>
                <w:szCs w:val="18"/>
                <w:color w:val="0000EE"/>
                <w:w w:val="99"/>
              </w:rPr>
              <w:t>.</w:t>
            </w:r>
          </w:p>
        </w:tc>
        <w:tc>
          <w:tcPr>
            <w:tcW w:w="5780" w:type="dxa"/>
            <w:vAlign w:val="bottom"/>
            <w:gridSpan w:val="6"/>
          </w:tcPr>
          <w:p>
            <w:pPr>
              <w:spacing w:after="0"/>
              <w:rPr>
                <w:sz w:val="17"/>
                <w:szCs w:val="17"/>
                <w:color w:val="auto"/>
              </w:rPr>
            </w:pPr>
          </w:p>
        </w:tc>
      </w:tr>
    </w:tbl>
    <w:p>
      <w:pPr>
        <w:spacing w:after="0" w:line="7" w:lineRule="exact"/>
        <w:rPr>
          <w:sz w:val="20"/>
          <w:szCs w:val="20"/>
          <w:color w:val="auto"/>
        </w:rPr>
      </w:pPr>
    </w:p>
    <w:p>
      <w:pPr>
        <w:ind w:left="1100" w:right="20" w:hanging="1092"/>
        <w:spacing w:after="0" w:line="262" w:lineRule="auto"/>
        <w:tabs>
          <w:tab w:leader="none" w:pos="11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 xml:space="preserve">Power of Attorney of certain officers and directors of the Registrant to file future amendments </w:t>
      </w:r>
      <w:r>
        <w:rPr>
          <w:rFonts w:ascii="Times New Roman" w:cs="Times New Roman" w:eastAsia="Times New Roman" w:hAnsi="Times New Roman"/>
          <w:sz w:val="18"/>
          <w:szCs w:val="18"/>
          <w:i w:val="1"/>
          <w:iCs w:val="1"/>
          <w:u w:val="single" w:color="auto"/>
          <w:color w:val="0000EE"/>
        </w:rPr>
        <w:t>(set forth on the signature page of this</w:t>
      </w:r>
      <w:r>
        <w:rPr>
          <w:rFonts w:ascii="Times New Roman" w:cs="Times New Roman" w:eastAsia="Times New Roman" w:hAnsi="Times New Roman"/>
          <w:sz w:val="18"/>
          <w:szCs w:val="18"/>
          <w:u w:val="single" w:color="auto"/>
          <w:color w:val="0000EE"/>
        </w:rPr>
        <w:t xml:space="preserve"> </w:t>
      </w:r>
      <w:r>
        <w:rPr>
          <w:rFonts w:ascii="Times New Roman" w:cs="Times New Roman" w:eastAsia="Times New Roman" w:hAnsi="Times New Roman"/>
          <w:sz w:val="18"/>
          <w:szCs w:val="18"/>
          <w:i w:val="1"/>
          <w:iCs w:val="1"/>
          <w:u w:val="single" w:color="auto"/>
          <w:color w:val="0000EE"/>
        </w:rPr>
        <w:t>registration statement)</w:t>
      </w:r>
      <w:r>
        <w:rPr>
          <w:rFonts w:ascii="Times New Roman" w:cs="Times New Roman" w:eastAsia="Times New Roman" w:hAnsi="Times New Roman"/>
          <w:sz w:val="18"/>
          <w:szCs w:val="18"/>
          <w:u w:val="single" w:color="auto"/>
          <w:color w:val="0000EE"/>
        </w:rPr>
        <w:t>.</w:t>
      </w:r>
    </w:p>
    <w:tbl>
      <w:tblPr>
        <w:tblLayout w:type="fixed"/>
        <w:tblInd w:w="0" w:type="dxa"/>
        <w:tblCellMar>
          <w:top w:w="0" w:type="dxa"/>
          <w:left w:w="0" w:type="dxa"/>
          <w:bottom w:w="0" w:type="dxa"/>
          <w:right w:w="0" w:type="dxa"/>
        </w:tblCellMar>
      </w:tblPr>
      <w:tr>
        <w:trPr>
          <w:trHeight w:val="176"/>
        </w:trPr>
        <w:tc>
          <w:tcPr>
            <w:tcW w:w="11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0140" w:type="dxa"/>
            <w:vAlign w:val="bottom"/>
            <w:tcBorders>
              <w:bottom w:val="single" w:sz="8" w:color="0000EE"/>
            </w:tcBorders>
            <w:gridSpan w:val="3"/>
          </w:tcPr>
          <w:p>
            <w:pPr>
              <w:spacing w:after="0" w:line="17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Harrow, Inc. 2025 Incentive Stock and Awards Plan (incorporated herein by reference to Appendix A to the Registrant’s Definitive Proxy</w:t>
              </w:r>
            </w:hyperlink>
          </w:p>
        </w:tc>
      </w:tr>
      <w:tr>
        <w:trPr>
          <w:trHeight w:val="196"/>
        </w:trPr>
        <w:tc>
          <w:tcPr>
            <w:tcW w:w="1100" w:type="dxa"/>
            <w:vAlign w:val="bottom"/>
          </w:tcPr>
          <w:p>
            <w:pPr>
              <w:spacing w:after="0"/>
              <w:rPr>
                <w:sz w:val="17"/>
                <w:szCs w:val="17"/>
                <w:color w:val="auto"/>
              </w:rPr>
            </w:pPr>
          </w:p>
        </w:tc>
        <w:tc>
          <w:tcPr>
            <w:tcW w:w="10140" w:type="dxa"/>
            <w:vAlign w:val="bottom"/>
            <w:gridSpan w:val="3"/>
          </w:tcPr>
          <w:p>
            <w:pPr>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Statement filed with the SEC on April 25, 2025).</w:t>
              </w:r>
            </w:hyperlink>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352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Filing Fee Table.</w:t>
            </w:r>
          </w:p>
        </w:tc>
        <w:tc>
          <w:tcPr>
            <w:tcW w:w="662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2"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229"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585"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Filing Fee Tables” or “Calculation of Registration Fee” table, as applicable, in the effective registration statement;</w:t>
      </w:r>
    </w:p>
    <w:p>
      <w:pPr>
        <w:spacing w:after="0" w:line="188" w:lineRule="exact"/>
        <w:rPr>
          <w:rFonts w:ascii="Times New Roman" w:cs="Times New Roman" w:eastAsia="Times New Roman" w:hAnsi="Times New Roman"/>
          <w:sz w:val="18"/>
          <w:szCs w:val="18"/>
          <w:color w:val="auto"/>
        </w:rPr>
      </w:pPr>
    </w:p>
    <w:p>
      <w:pPr>
        <w:ind w:left="660" w:firstLine="644"/>
        <w:spacing w:after="0" w:line="282" w:lineRule="auto"/>
        <w:tabs>
          <w:tab w:leader="none" w:pos="1632"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above do not apply if the information required to be included in a post-effective amendment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paragraphs is contained in reports filed with or furnished to the SEC by the registrant pursuant to Section 13 or Section 15(d) of the Exchange Act that are incorporated by reference in the registration statement.</w:t>
      </w:r>
    </w:p>
    <w:p>
      <w:pPr>
        <w:spacing w:after="0" w:line="175" w:lineRule="exact"/>
        <w:rPr>
          <w:sz w:val="20"/>
          <w:szCs w:val="20"/>
          <w:color w:val="auto"/>
        </w:rPr>
      </w:pPr>
    </w:p>
    <w:p>
      <w:pPr>
        <w:jc w:val="both"/>
        <w:ind w:firstLine="656"/>
        <w:spacing w:after="0" w:line="266" w:lineRule="auto"/>
        <w:tabs>
          <w:tab w:leader="none" w:pos="913"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3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jc w:val="both"/>
        <w:ind w:firstLine="8"/>
        <w:spacing w:after="0" w:line="258" w:lineRule="auto"/>
        <w:tabs>
          <w:tab w:leader="none" w:pos="2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83" w:lineRule="exact"/>
        <w:rPr>
          <w:rFonts w:ascii="Times New Roman" w:cs="Times New Roman" w:eastAsia="Times New Roman" w:hAnsi="Times New Roman"/>
          <w:sz w:val="18"/>
          <w:szCs w:val="18"/>
          <w:color w:val="auto"/>
        </w:rPr>
      </w:pPr>
    </w:p>
    <w:p>
      <w:pPr>
        <w:jc w:val="both"/>
        <w:ind w:firstLine="8"/>
        <w:spacing w:after="0" w:line="255" w:lineRule="auto"/>
        <w:tabs>
          <w:tab w:leader="none" w:pos="2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045"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Nashville, state of Tennessee, on June 20, 2025.</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HARROW, INC.</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Mark L. Baum</w:t>
      </w:r>
    </w:p>
    <w:p>
      <w:pPr>
        <w:spacing w:after="0" w:line="3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Mark L. Baum and Andrew R. Boll, and each of them individually, as his or her true and lawful attorney-in-fact and agent, each with full power of substitution and resubstitution, for him or her and in his or her name, place and stead, in any and all capacities, to sign any and all amendments (including post-effective amendments) to this Registration Statement on Form S-8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might or could do in person, hereby ratifying and confirming all that said attorneys-in-fact and agents, or any of them, may lawfully do or cause to be done by virtue hereof.</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Signature</w:t>
            </w:r>
          </w:p>
        </w:tc>
        <w:tc>
          <w:tcPr>
            <w:tcW w:w="220" w:type="dxa"/>
            <w:vAlign w:val="bottom"/>
          </w:tcPr>
          <w:p>
            <w:pPr>
              <w:spacing w:after="0"/>
              <w:rPr>
                <w:sz w:val="20"/>
                <w:szCs w:val="20"/>
                <w:color w:val="auto"/>
              </w:rPr>
            </w:pPr>
          </w:p>
        </w:tc>
        <w:tc>
          <w:tcPr>
            <w:tcW w:w="450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22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0" w:type="dxa"/>
            <w:vAlign w:val="bottom"/>
          </w:tcPr>
          <w:p>
            <w:pPr>
              <w:spacing w:after="0"/>
              <w:rPr>
                <w:sz w:val="1"/>
                <w:szCs w:val="1"/>
                <w:color w:val="auto"/>
              </w:rPr>
            </w:pPr>
          </w:p>
        </w:tc>
      </w:tr>
      <w:tr>
        <w:trPr>
          <w:trHeight w:val="459"/>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Mark L. Baum</w:t>
            </w:r>
          </w:p>
        </w:tc>
        <w:tc>
          <w:tcPr>
            <w:tcW w:w="49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Chief Executive Officer and Chairman of the Board</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20, 2025</w:t>
            </w:r>
          </w:p>
        </w:tc>
        <w:tc>
          <w:tcPr>
            <w:tcW w:w="0" w:type="dxa"/>
            <w:vAlign w:val="bottom"/>
          </w:tcPr>
          <w:p>
            <w:pPr>
              <w:spacing w:after="0"/>
              <w:rPr>
                <w:sz w:val="1"/>
                <w:szCs w:val="1"/>
                <w:color w:val="auto"/>
              </w:rPr>
            </w:pPr>
          </w:p>
        </w:tc>
      </w:tr>
      <w:tr>
        <w:trPr>
          <w:trHeight w:val="27"/>
        </w:trPr>
        <w:tc>
          <w:tcPr>
            <w:tcW w:w="4060" w:type="dxa"/>
            <w:vAlign w:val="bottom"/>
            <w:tcBorders>
              <w:bottom w:val="single" w:sz="8" w:color="auto"/>
            </w:tcBorders>
          </w:tcPr>
          <w:p>
            <w:pPr>
              <w:spacing w:after="0"/>
              <w:rPr>
                <w:sz w:val="2"/>
                <w:szCs w:val="2"/>
                <w:color w:val="auto"/>
              </w:rPr>
            </w:pPr>
          </w:p>
        </w:tc>
        <w:tc>
          <w:tcPr>
            <w:tcW w:w="4940" w:type="dxa"/>
            <w:vAlign w:val="bottom"/>
            <w:gridSpan w:val="3"/>
            <w:vMerge w:val="restart"/>
          </w:tcPr>
          <w:p>
            <w:pPr>
              <w:ind w:left="2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Mark L. Baum</w:t>
            </w:r>
          </w:p>
        </w:tc>
        <w:tc>
          <w:tcPr>
            <w:tcW w:w="4940" w:type="dxa"/>
            <w:vAlign w:val="bottom"/>
            <w:gridSpan w:val="3"/>
            <w:vMerge w:val="continue"/>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 Andrew R. Boll</w:t>
            </w:r>
          </w:p>
        </w:tc>
        <w:tc>
          <w:tcPr>
            <w:tcW w:w="49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Chief Financial Officer and Corporate Secretary</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20, 2025</w:t>
            </w:r>
          </w:p>
        </w:tc>
        <w:tc>
          <w:tcPr>
            <w:tcW w:w="0" w:type="dxa"/>
            <w:vAlign w:val="bottom"/>
          </w:tcPr>
          <w:p>
            <w:pPr>
              <w:spacing w:after="0"/>
              <w:rPr>
                <w:sz w:val="1"/>
                <w:szCs w:val="1"/>
                <w:color w:val="auto"/>
              </w:rPr>
            </w:pPr>
          </w:p>
        </w:tc>
      </w:tr>
      <w:tr>
        <w:trPr>
          <w:trHeight w:val="27"/>
        </w:trPr>
        <w:tc>
          <w:tcPr>
            <w:tcW w:w="4060" w:type="dxa"/>
            <w:vAlign w:val="bottom"/>
            <w:tcBorders>
              <w:bottom w:val="single" w:sz="8" w:color="auto"/>
            </w:tcBorders>
          </w:tcPr>
          <w:p>
            <w:pPr>
              <w:spacing w:after="0"/>
              <w:rPr>
                <w:sz w:val="2"/>
                <w:szCs w:val="2"/>
                <w:color w:val="auto"/>
              </w:rPr>
            </w:pPr>
          </w:p>
        </w:tc>
        <w:tc>
          <w:tcPr>
            <w:tcW w:w="4940" w:type="dxa"/>
            <w:vAlign w:val="bottom"/>
            <w:gridSpan w:val="3"/>
            <w:vMerge w:val="restart"/>
          </w:tcPr>
          <w:p>
            <w:pPr>
              <w:ind w:left="220"/>
              <w:spacing w:after="0"/>
              <w:rPr>
                <w:sz w:val="20"/>
                <w:szCs w:val="20"/>
                <w:color w:val="auto"/>
              </w:rPr>
            </w:pPr>
            <w:r>
              <w:rPr>
                <w:rFonts w:ascii="Times New Roman" w:cs="Times New Roman" w:eastAsia="Times New Roman" w:hAnsi="Times New Roman"/>
                <w:sz w:val="18"/>
                <w:szCs w:val="18"/>
                <w:color w:val="auto"/>
              </w:rPr>
              <w:t>(Principal Accounting and Financial Officer)</w:t>
            </w:r>
          </w:p>
        </w:tc>
        <w:tc>
          <w:tcPr>
            <w:tcW w:w="2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Andrew R. Boll</w:t>
            </w:r>
          </w:p>
        </w:tc>
        <w:tc>
          <w:tcPr>
            <w:tcW w:w="4940" w:type="dxa"/>
            <w:vAlign w:val="bottom"/>
            <w:gridSpan w:val="3"/>
            <w:vMerge w:val="continue"/>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Adrienne L. Graves</w:t>
            </w:r>
          </w:p>
        </w:tc>
        <w:tc>
          <w:tcPr>
            <w:tcW w:w="49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20, 2025</w:t>
            </w:r>
          </w:p>
        </w:tc>
        <w:tc>
          <w:tcPr>
            <w:tcW w:w="0" w:type="dxa"/>
            <w:vAlign w:val="bottom"/>
          </w:tcPr>
          <w:p>
            <w:pPr>
              <w:spacing w:after="0"/>
              <w:rPr>
                <w:sz w:val="1"/>
                <w:szCs w:val="1"/>
                <w:color w:val="auto"/>
              </w:rPr>
            </w:pPr>
          </w:p>
        </w:tc>
      </w:tr>
      <w:tr>
        <w:trPr>
          <w:trHeight w:val="27"/>
        </w:trPr>
        <w:tc>
          <w:tcPr>
            <w:tcW w:w="4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Adrienne L. Graves</w:t>
            </w:r>
          </w:p>
        </w:tc>
        <w:tc>
          <w:tcPr>
            <w:tcW w:w="2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 Lauren P. Silvernail</w:t>
            </w:r>
          </w:p>
        </w:tc>
        <w:tc>
          <w:tcPr>
            <w:tcW w:w="49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20, 2025</w:t>
            </w:r>
          </w:p>
        </w:tc>
        <w:tc>
          <w:tcPr>
            <w:tcW w:w="0" w:type="dxa"/>
            <w:vAlign w:val="bottom"/>
          </w:tcPr>
          <w:p>
            <w:pPr>
              <w:spacing w:after="0"/>
              <w:rPr>
                <w:sz w:val="1"/>
                <w:szCs w:val="1"/>
                <w:color w:val="auto"/>
              </w:rPr>
            </w:pPr>
          </w:p>
        </w:tc>
      </w:tr>
      <w:tr>
        <w:trPr>
          <w:trHeight w:val="27"/>
        </w:trPr>
        <w:tc>
          <w:tcPr>
            <w:tcW w:w="4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Lauren P. Silvernail</w:t>
            </w:r>
          </w:p>
        </w:tc>
        <w:tc>
          <w:tcPr>
            <w:tcW w:w="2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Perry J. Sternberg</w:t>
            </w:r>
          </w:p>
        </w:tc>
        <w:tc>
          <w:tcPr>
            <w:tcW w:w="49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20, 2025</w:t>
            </w:r>
          </w:p>
        </w:tc>
        <w:tc>
          <w:tcPr>
            <w:tcW w:w="0" w:type="dxa"/>
            <w:vAlign w:val="bottom"/>
          </w:tcPr>
          <w:p>
            <w:pPr>
              <w:spacing w:after="0"/>
              <w:rPr>
                <w:sz w:val="1"/>
                <w:szCs w:val="1"/>
                <w:color w:val="auto"/>
              </w:rPr>
            </w:pPr>
          </w:p>
        </w:tc>
      </w:tr>
      <w:tr>
        <w:trPr>
          <w:trHeight w:val="27"/>
        </w:trPr>
        <w:tc>
          <w:tcPr>
            <w:tcW w:w="4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Perry J. Sternberg</w:t>
            </w:r>
          </w:p>
        </w:tc>
        <w:tc>
          <w:tcPr>
            <w:tcW w:w="2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4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2400300" cy="316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2400300"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511 Union Street, Suite 2700 | Nashville, TN 37219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615.850.6380 | F 615.244.6804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Holland &amp; Knight LLP | www.hklaw.com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20,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Harrow,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1A Burton Hills Blvd., Suite 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TN 37215</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 Registration Statement on Form S-8 for the Harrow, Inc. 2025 Incentive Stock and Awards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acted as counsel to Harrow, Inc., a Delaware corporation (the “Company”), in connection with the preparation and filing with the Securities and Exchange Commission (the “SEC”) of a Registration Statement on Form S-8 pursuant to the Securities Act of 1933, as amended (the “Act”), on June 20, 2025 (the “Registration Statement”) relating to the registration of an aggregate of 3,950,000 shares of the Company’s common stock, par value $0.001 per share (the “Shares”), for issuance by the Company pursuant to the Company’s 2025 Incentive Stock and Awards Plan (the “Plan”) as set forth in the Registration Statement.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this opinion, we have examined and relied upon the original or a copy, certified or otherwise identified to our satisfaction, of:</w:t>
      </w:r>
    </w:p>
    <w:p>
      <w:pPr>
        <w:spacing w:after="0" w:line="27" w:lineRule="exact"/>
        <w:rPr>
          <w:sz w:val="20"/>
          <w:szCs w:val="20"/>
          <w:color w:val="auto"/>
        </w:rPr>
      </w:pPr>
    </w:p>
    <w:p>
      <w:pPr>
        <w:jc w:val="both"/>
        <w:ind w:firstLine="8"/>
        <w:spacing w:after="0" w:line="251" w:lineRule="auto"/>
        <w:tabs>
          <w:tab w:leader="none" w:pos="22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(ii) the Registration Statement and all exhibits thereto; (iii) the Company’s Amended and Restated Certificate of Incorporation, as amended to date (the “Certificate”); (iv) the Company’s Amended and Restated Bylaws, as amended to date; and (v) such other documents, certificates and records as we have deemed necessary or appropriate to form the basis for the opinion set forth herein. In making the foregoing examinations, we have relied, without investigation, on each of the following assumptions: (a) the legal capacity of each natural person to take all actions required of each such person in connection with the Registration Statement and the registration, issuance and sale of the Shares, (b) the genuineness of all signatures, the completeness of all documents submitted to us, the authenticity of all documents reviewed by us as originals, the conformity to original documents of all documents reviewed by us as duplicates or certified or conformed photocopies, (c) as to matters of fact, the truthfulness, accuracy and completeness of the information, representations and warranties of the Company made in the Registration Statement and in the records, documents, instruments, certificates and statements we have reviewed, (d) the due execution and delivery of all documents (except that no such assumption is made as to the Company) where due execution and delivery are a prerequisite to the effectiveness thereof, (e) that there has been no undisclosed waiver of any right, remedy or provision contained in such documents and (f) that no event occurs that causes the number of authorized shares of common stock available for issuance by the Company to be less than the number of then-unissued shares of common stock under the Plan. As to various questions of fact material to this opinion, we have relied, to the extent we deemed reasonably appropriate, upon statements and representations of officers or directors of the Company and upon documents, records and instruments furnished to us by the Company, without independently checking or verifying the accuracy of such documents, records and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Based upon the foregoing examination, and subject to the assumptions, qualifications and limitations stated herein, we are of the opinion that the Shares, when issued in the manner and on the terms described in the Plan, will be duly authorized, validly issued, fully paid and non-assessable.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opinion is rendered solely in connection with the filing of the Registration Statement, is limited to the matters stated herein, and no opinions may be implied or inferred beyond the matters expressly stated herein. This opinion may not be relied upon for any other purpose without our prior written consent in each instance. Further, no portion of this letter may be quoted, circulated or referred to in any other document for any other purpose without our prior written consent.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In giving such consent, we do not admit that we come within the category of persons whose consent is required under Section 7 of the Act or the rules and regulations of the SEC promulgated thereunder.</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opinion expressed herein is specifically limited to the corporate laws of the State of Delaware and the federal securities laws of the United States of America and speaks as of the date hereof and we express no opinion as to matters governed by laws of any jurisdiction other than the corporate laws of the State of Delaware and the federal securities laws of the United States of America, as in effect on the date hereof. This opinion speaks only as of the date hereof and we assume no obligation to update or supplement such opinion to reflect any facts or circumstances that may hereafter come to our attention, whether existing before or arising after the date hereof, or any changes in law that may hereafter occur.</w:t>
      </w:r>
    </w:p>
    <w:p>
      <w:pPr>
        <w:spacing w:after="0" w:line="18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Respectfully submitted,</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Holland &amp; Knight LLP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HOLLAND &amp; KNIGHT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Harrow, Inc. of our report dated March 27, 2025, relating to the consolidated financial statements and effectiveness of internal control over financial reporting, appearing in the Annual Report on Form 10-K of Harrow, Inc. for the year ended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Crowe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Indianapolis, Indiana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our report dated March 19, 2024 (March 27, 2025 as to Note 19), relating to the 2023 consolidated financial statements of Harrow, Inc., appearing in the Annual Report on Form 10-K of Harrow, Inc. for the year ended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KMJ Corbin &amp; Company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Glendora,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HARROW,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40" w:type="dxa"/>
            <w:vAlign w:val="bottom"/>
            <w:gridSpan w:val="8"/>
          </w:tcPr>
          <w:p>
            <w:pPr>
              <w:jc w:val="right"/>
              <w:ind w:right="360"/>
              <w:spacing w:after="0"/>
              <w:rPr>
                <w:sz w:val="20"/>
                <w:szCs w:val="20"/>
                <w:color w:val="auto"/>
              </w:rPr>
            </w:pPr>
            <w:r>
              <w:rPr>
                <w:rFonts w:ascii="Times New Roman" w:cs="Times New Roman" w:eastAsia="Times New Roman" w:hAnsi="Times New Roman"/>
                <w:sz w:val="18"/>
                <w:szCs w:val="18"/>
                <w:color w:val="auto"/>
                <w:w w:val="98"/>
              </w:rPr>
              <w:t>Table 1: Newly Registered Securities</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0"/>
        </w:trPr>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6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Fee</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Amount of</w:t>
            </w:r>
          </w:p>
        </w:tc>
      </w:tr>
      <w:tr>
        <w:trPr>
          <w:trHeight w:val="216"/>
        </w:trPr>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Calculation</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8"/>
                <w:szCs w:val="18"/>
                <w:color w:val="auto"/>
              </w:rPr>
            </w:pPr>
          </w:p>
        </w:tc>
        <w:tc>
          <w:tcPr>
            <w:tcW w:w="10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Price Per</w:t>
            </w:r>
          </w:p>
        </w:tc>
        <w:tc>
          <w:tcPr>
            <w:tcW w:w="16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Fee</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Registration</w:t>
            </w:r>
          </w:p>
        </w:tc>
      </w:tr>
      <w:tr>
        <w:trPr>
          <w:trHeight w:val="238"/>
        </w:trPr>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Security Class Title</w:t>
            </w:r>
          </w:p>
        </w:tc>
        <w:tc>
          <w:tcPr>
            <w:tcW w:w="112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Registered(1)</w:t>
            </w:r>
          </w:p>
        </w:tc>
        <w:tc>
          <w:tcPr>
            <w:tcW w:w="100" w:type="dxa"/>
            <w:vAlign w:val="bottom"/>
          </w:tcPr>
          <w:p>
            <w:pPr>
              <w:spacing w:after="0"/>
              <w:rPr>
                <w:sz w:val="20"/>
                <w:szCs w:val="20"/>
                <w:color w:val="auto"/>
              </w:rPr>
            </w:pPr>
          </w:p>
        </w:tc>
        <w:tc>
          <w:tcPr>
            <w:tcW w:w="10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Share(2)</w:t>
            </w:r>
          </w:p>
        </w:tc>
        <w:tc>
          <w:tcPr>
            <w:tcW w:w="16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60" w:type="dxa"/>
            <w:vAlign w:val="bottom"/>
          </w:tcPr>
          <w:p>
            <w:pPr>
              <w:spacing w:after="0"/>
              <w:rPr>
                <w:sz w:val="20"/>
                <w:szCs w:val="20"/>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Fee(3)</w:t>
            </w:r>
          </w:p>
        </w:tc>
      </w:tr>
      <w:tr>
        <w:trPr>
          <w:trHeight w:val="191"/>
        </w:trPr>
        <w:tc>
          <w:tcPr>
            <w:tcW w:w="10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w:t>
            </w: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value $0.001 per share</w:t>
            </w:r>
          </w:p>
        </w:tc>
        <w:tc>
          <w:tcPr>
            <w:tcW w:w="2980" w:type="dxa"/>
            <w:vAlign w:val="bottom"/>
            <w:gridSpan w:val="5"/>
            <w:shd w:val="clear" w:color="auto" w:fill="CCEEFF"/>
          </w:tcPr>
          <w:p>
            <w:pPr>
              <w:jc w:val="center"/>
              <w:ind w:right="1620"/>
              <w:spacing w:after="0"/>
              <w:rPr>
                <w:sz w:val="20"/>
                <w:szCs w:val="20"/>
                <w:color w:val="auto"/>
              </w:rPr>
            </w:pPr>
            <w:r>
              <w:rPr>
                <w:rFonts w:ascii="Times New Roman" w:cs="Times New Roman" w:eastAsia="Times New Roman" w:hAnsi="Times New Roman"/>
                <w:sz w:val="18"/>
                <w:szCs w:val="18"/>
                <w:color w:val="auto"/>
                <w:w w:val="99"/>
              </w:rPr>
              <w:t>Rule 457(c) and</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2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Equity</w:t>
            </w:r>
          </w:p>
        </w:tc>
        <w:tc>
          <w:tcPr>
            <w:tcW w:w="19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(“Common Stock”)</w:t>
            </w:r>
          </w:p>
        </w:tc>
        <w:tc>
          <w:tcPr>
            <w:tcW w:w="112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Rule 457(h)</w:t>
            </w:r>
          </w:p>
        </w:tc>
        <w:tc>
          <w:tcPr>
            <w:tcW w:w="186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3,950,000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30.795</w:t>
            </w:r>
          </w:p>
        </w:tc>
        <w:tc>
          <w:tcPr>
            <w:tcW w:w="1480" w:type="dxa"/>
            <w:vAlign w:val="bottom"/>
            <w:gridSpan w:val="3"/>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6"/>
              </w:rPr>
              <w:t>$ 121,640,250</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0.00015310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18,623.12</w:t>
            </w:r>
          </w:p>
        </w:tc>
      </w:tr>
      <w:tr>
        <w:trPr>
          <w:trHeight w:val="216"/>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8"/>
              </w:rPr>
              <w:t>Total Offering Amounts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6"/>
              </w:rPr>
              <w:t>$ 121,640,250</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18,623.12</w:t>
            </w:r>
          </w:p>
        </w:tc>
      </w:tr>
      <w:tr>
        <w:trPr>
          <w:trHeight w:val="216"/>
        </w:trPr>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40" w:type="dxa"/>
            <w:vAlign w:val="bottom"/>
            <w:gridSpan w:val="3"/>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7"/>
              </w:rPr>
              <w:t>Total Fee Offsets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4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Net Fee Due</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18,623.12</w:t>
            </w:r>
          </w:p>
        </w:tc>
      </w:tr>
    </w:tbl>
    <w:p>
      <w:pPr>
        <w:spacing w:after="0" w:line="175" w:lineRule="exact"/>
        <w:rPr>
          <w:sz w:val="20"/>
          <w:szCs w:val="20"/>
          <w:color w:val="auto"/>
        </w:rPr>
      </w:pPr>
    </w:p>
    <w:p>
      <w:pPr>
        <w:jc w:val="both"/>
        <w:ind w:left="340" w:hanging="332"/>
        <w:spacing w:after="0" w:line="261"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of 1933, as amended (the “Securities Act”), this Registration Statement shall also cover any additional shares of common stock that become issuable under the Harrow, Inc. 2025 Incentive Stock and Awards Plan (the “Plan”), by reason of any stock dividend, stock split, recapitalization, merger, consolidation or reorganization of or by us that results in an increase in the number of shares of our outstanding common stock.</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determining the registration fee pursuant to Rule 457(c) and Rule 457(h) under the Securities Act, based upon the average of the high and low sale prices per share of Common Stock, as reported on The NASDAQ Global Market on June 17, 2025 (which is within five business days prior to the date of filing of this Registration Statement).</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at a rate of $153.10 per $1,000,000 of the proposed maximum aggregate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Letter"/>
      <w:start w:val="1"/>
    </w:lvl>
  </w:abstractNum>
  <w:abstractNum w:abstractNumId="1">
    <w:nsid w:val="46E87CCD"/>
    <w:multiLevelType w:val="hybridMultilevel"/>
    <w:lvl w:ilvl="0">
      <w:lvlJc w:val="left"/>
      <w:lvlText w:val="%1"/>
      <w:numFmt w:val="decimal"/>
      <w:start w:val="24"/>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2EB141F2"/>
    <w:multiLevelType w:val="hybridMultilevel"/>
    <w:lvl w:ilvl="0">
      <w:lvlJc w:val="left"/>
      <w:lvlText w:val="%1"/>
      <w:numFmt w:val="lowerLetter"/>
      <w:start w:val="1"/>
    </w:lvl>
    <w:lvl w:ilvl="1">
      <w:lvlJc w:val="left"/>
      <w:lvlText w:val="(%2)"/>
      <w:numFmt w:val="decimal"/>
      <w:start w:val="2"/>
    </w:lvl>
  </w:abstractNum>
  <w:abstractNum w:abstractNumId="5">
    <w:nsid w:val="41B71EFB"/>
    <w:multiLevelType w:val="hybridMultilevel"/>
    <w:lvl w:ilvl="0">
      <w:lvlJc w:val="left"/>
      <w:lvlText w:val="(%1)"/>
      <w:numFmt w:val="lowerLetter"/>
      <w:start w:val="2"/>
    </w:lvl>
    <w:lvl w:ilvl="1">
      <w:lvlJc w:val="left"/>
      <w:lvlText w:val="%2"/>
      <w:numFmt w:val="decimal"/>
      <w:start w:val="1"/>
    </w:lvl>
  </w:abstractNum>
  <w:abstractNum w:abstractNumId="6">
    <w:nsid w:val="79E2A9E3"/>
    <w:multiLevelType w:val="hybridMultilevel"/>
    <w:lvl w:ilvl="0">
      <w:lvlJc w:val="left"/>
      <w:lvlText w:val="(%1)"/>
      <w:numFmt w:val="lowerRoman"/>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jpe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19" Type="http://schemas.openxmlformats.org/officeDocument/2006/relationships/hyperlink" Target="https://www.sec.gov/Archives/edgar/data/1360214/000164117225000925/form10-k.htm" TargetMode="External"/><Relationship Id="rId20" Type="http://schemas.openxmlformats.org/officeDocument/2006/relationships/hyperlink" Target="https://www.sec.gov/Archives/edgar/data/1360214/000164117225009263/form10-q.htm" TargetMode="External"/><Relationship Id="rId21" Type="http://schemas.openxmlformats.org/officeDocument/2006/relationships/hyperlink" Target="https://www.sec.gov/Archives/edgar/data/1360214/000149315225002913/form8-k.htm" TargetMode="External"/><Relationship Id="rId22" Type="http://schemas.openxmlformats.org/officeDocument/2006/relationships/hyperlink" Target="https://www.sec.gov/Archives/edgar/data/1360214/000164117225014234/form8-k.htm" TargetMode="External"/><Relationship Id="rId23" Type="http://schemas.openxmlformats.org/officeDocument/2006/relationships/hyperlink" Target="https://www.sec.gov/Archives/edgar/data/1360214/000164117225015665/form8-k.htm" TargetMode="External"/><Relationship Id="rId24" Type="http://schemas.openxmlformats.org/officeDocument/2006/relationships/hyperlink" Target="https://www.sec.gov/Archives/edgar/data/1360214/000135448813000459/immy_8a12b.htm" TargetMode="External"/><Relationship Id="rId27" Type="http://schemas.openxmlformats.org/officeDocument/2006/relationships/hyperlink" Target="https://www.sec.gov/Archives/edgar/data/1360214/000149315223034832/ex3-1.htm" TargetMode="External"/><Relationship Id="rId28" Type="http://schemas.openxmlformats.org/officeDocument/2006/relationships/hyperlink" Target="https://www.sec.gov/Archives/edgar/data/1360214/000149315223034832/ex3-2.htm" TargetMode="External"/><Relationship Id="rId29" Type="http://schemas.openxmlformats.org/officeDocument/2006/relationships/hyperlink" Target="https://www.sec.gov/Archives/edgar/data/1360214/000164117225006102/formdef14a.htm#D_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2025-06-20T06:24:03Z</dcterms:created>
  <dcterms:modified xsi:type="dcterms:W3CDTF">2025-06-20T06:24:03Z</dcterms:modified>
</cp:coreProperties>
</file>