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20" w:right="1800" w:hanging="3713"/>
        <w:spacing w:after="0" w:line="500" w:lineRule="auto"/>
        <w:tabs>
          <w:tab w:leader="none" w:pos="65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right="1200"/>
        <w:spacing w:after="0"/>
        <w:tabs>
          <w:tab w:leader="none" w:pos="20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right="1850"/>
              <w:spacing w:after="0"/>
              <w:rPr>
                <w:sz w:val="20"/>
                <w:szCs w:val="20"/>
                <w:color w:val="auto"/>
              </w:rPr>
            </w:pPr>
            <w:r>
              <w:rPr>
                <w:rFonts w:ascii="Arial" w:cs="Arial" w:eastAsia="Arial" w:hAnsi="Arial"/>
                <w:sz w:val="18"/>
                <w:szCs w:val="18"/>
                <w:b w:val="1"/>
                <w:bCs w:val="1"/>
                <w:color w:val="auto"/>
                <w:w w:val="89"/>
              </w:rPr>
              <w:t>45-0567010</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8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89"/>
              </w:rPr>
              <w:t>102 Woodmont Blvd., Suite 610</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90"/>
              <w:spacing w:after="0"/>
              <w:rPr>
                <w:sz w:val="20"/>
                <w:szCs w:val="20"/>
                <w:color w:val="auto"/>
              </w:rPr>
            </w:pPr>
            <w:r>
              <w:rPr>
                <w:rFonts w:ascii="Arial" w:cs="Arial" w:eastAsia="Arial" w:hAnsi="Arial"/>
                <w:sz w:val="18"/>
                <w:szCs w:val="18"/>
                <w:b w:val="1"/>
                <w:bCs w:val="1"/>
                <w:color w:val="auto"/>
                <w:w w:val="91"/>
              </w:rPr>
              <w:t>Nashville, TN 37205</w:t>
            </w:r>
          </w:p>
        </w:tc>
        <w:tc>
          <w:tcPr>
            <w:tcW w:w="3560" w:type="dxa"/>
            <w:vAlign w:val="bottom"/>
          </w:tcPr>
          <w:p>
            <w:pPr>
              <w:spacing w:after="0"/>
              <w:rPr>
                <w:sz w:val="19"/>
                <w:szCs w:val="19"/>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92"/>
              </w:rPr>
              <w:t>(Address of Principal Executive Offices)(Zip Code)</w:t>
            </w:r>
          </w:p>
        </w:tc>
        <w:tc>
          <w:tcPr>
            <w:tcW w:w="3560" w:type="dxa"/>
            <w:vAlign w:val="bottom"/>
          </w:tcPr>
          <w:p>
            <w:pPr>
              <w:spacing w:after="0"/>
              <w:rPr>
                <w:sz w:val="20"/>
                <w:szCs w:val="20"/>
                <w:color w:val="auto"/>
              </w:rPr>
            </w:pPr>
          </w:p>
        </w:tc>
      </w:tr>
      <w:tr>
        <w:trPr>
          <w:trHeight w:val="418"/>
        </w:trPr>
        <w:tc>
          <w:tcPr>
            <w:tcW w:w="768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90"/>
              </w:rPr>
              <w:t>(615) 733-4730</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 [ ] No [X]</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w:t>
      </w:r>
      <w:r>
        <w:rPr>
          <w:rFonts w:ascii="Arial" w:cs="Arial" w:eastAsia="Arial" w:hAnsi="Arial"/>
          <w:sz w:val="17"/>
          <w:szCs w:val="17"/>
          <w:b w:val="1"/>
          <w:bCs w:val="1"/>
          <w:color w:val="auto"/>
        </w:rPr>
        <w:t>Yes[ ] No [X]</w:t>
      </w:r>
    </w:p>
    <w:p>
      <w:pPr>
        <w:spacing w:after="0" w:line="24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 [X] No [ ]</w:t>
      </w:r>
    </w:p>
    <w:p>
      <w:pPr>
        <w:spacing w:after="0" w:line="184" w:lineRule="exact"/>
        <w:rPr>
          <w:sz w:val="24"/>
          <w:szCs w:val="24"/>
          <w:color w:val="auto"/>
        </w:rPr>
      </w:pPr>
    </w:p>
    <w:p>
      <w:pPr>
        <w:jc w:val="both"/>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w:t>
      </w:r>
    </w:p>
    <w:p>
      <w:pPr>
        <w:spacing w:after="0"/>
        <w:rPr>
          <w:sz w:val="20"/>
          <w:szCs w:val="20"/>
          <w:color w:val="auto"/>
        </w:rPr>
      </w:pPr>
      <w:r>
        <w:rPr>
          <w:rFonts w:ascii="Arial" w:cs="Arial" w:eastAsia="Arial" w:hAnsi="Arial"/>
          <w:sz w:val="18"/>
          <w:szCs w:val="18"/>
          <w:b w:val="1"/>
          <w:bCs w:val="1"/>
          <w:color w:val="auto"/>
        </w:rPr>
        <w:t>Yes [X] No [ ]</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76" w:orient="portrait"/>
          <w:cols w:equalWidth="0" w:num="1">
            <w:col w:w="11240"/>
          </w:cols>
          <w:pgMar w:left="320" w:top="746" w:right="339" w:bottom="0"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1" w:lineRule="exact"/>
        <w:rPr>
          <w:sz w:val="24"/>
          <w:szCs w:val="24"/>
          <w:color w:val="auto"/>
        </w:rPr>
      </w:pPr>
    </w:p>
    <w:p>
      <w:pPr>
        <w:sectPr>
          <w:pgSz w:w="11900" w:h="16876" w:orient="portrait"/>
          <w:cols w:equalWidth="0" w:num="2">
            <w:col w:w="4900" w:space="720"/>
            <w:col w:w="5620"/>
          </w:cols>
          <w:pgMar w:left="320" w:top="746" w:right="339" w:bottom="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76" w:orient="portrait"/>
          <w:cols w:equalWidth="0" w:num="2">
            <w:col w:w="2080" w:space="80"/>
            <w:col w:w="9080"/>
          </w:cols>
          <w:pgMar w:left="320" w:top="746" w:right="339" w:bottom="0" w:gutter="0" w:footer="0" w:header="0"/>
          <w:type w:val="continuous"/>
        </w:sectPr>
      </w:pPr>
    </w:p>
    <w:p>
      <w:pPr>
        <w:spacing w:after="0" w:line="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 [ ] No [X]</w:t>
      </w:r>
    </w:p>
    <w:p>
      <w:pPr>
        <w:spacing w:after="0" w:line="229" w:lineRule="exact"/>
        <w:rPr>
          <w:sz w:val="24"/>
          <w:szCs w:val="24"/>
          <w:color w:val="auto"/>
        </w:rPr>
      </w:pPr>
    </w:p>
    <w:p>
      <w:pPr>
        <w:jc w:val="both"/>
        <w:spacing w:after="0" w:line="311" w:lineRule="auto"/>
        <w:rPr>
          <w:sz w:val="20"/>
          <w:szCs w:val="20"/>
          <w:color w:val="auto"/>
        </w:rPr>
      </w:pPr>
      <w:r>
        <w:rPr>
          <w:rFonts w:ascii="Arial" w:cs="Arial" w:eastAsia="Arial" w:hAnsi="Arial"/>
          <w:sz w:val="16"/>
          <w:szCs w:val="16"/>
          <w:color w:val="auto"/>
        </w:rPr>
        <w:t>As of June 28, 2019, the last business day of the registrant’s most recently completed second fiscal quarter, the aggregate market value of the common stock held by non-affiliates of the registrant was approximately $205 million, based on the closing price of $8.70 for the registrant’s common stock as quoted on The NASDAQ Capital Market on that date. For purposes of this calculation, it has been assumed that shares of common stock held by each</w:t>
      </w:r>
    </w:p>
    <w:p>
      <w:pPr>
        <w:sectPr>
          <w:pgSz w:w="11900" w:h="16876" w:orient="portrait"/>
          <w:cols w:equalWidth="0" w:num="1">
            <w:col w:w="11240"/>
          </w:cols>
          <w:pgMar w:left="320" w:top="746" w:right="339" w:bottom="0" w:gutter="0" w:footer="0" w:header="0"/>
          <w:type w:val="continuous"/>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director, each officer 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12, 2020, there were 25,526,931 shares of the registrant’s common stock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registrant’s definitive proxy statement for its 2020 Annual Meeting of Stockholders (Proxy Statement) are incorporated by reference in Part III of this annual report on Form 10-K (Annual Report),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2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78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CCEEFF"/>
            </w:tcBorders>
            <w:gridSpan w:val="25"/>
            <w:shd w:val="clear" w:color="auto" w:fill="CCEEFF"/>
          </w:tcPr>
          <w:p>
            <w:pPr>
              <w:ind w:left="140"/>
              <w:spacing w:after="0" w:line="15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140" w:type="dxa"/>
            <w:vAlign w:val="bottom"/>
          </w:tcPr>
          <w:p>
            <w:pPr>
              <w:spacing w:after="0"/>
              <w:rPr>
                <w:sz w:val="15"/>
                <w:szCs w:val="15"/>
                <w:color w:val="auto"/>
              </w:rPr>
            </w:pPr>
          </w:p>
        </w:tc>
        <w:tc>
          <w:tcPr>
            <w:tcW w:w="9660" w:type="dxa"/>
            <w:vAlign w:val="bottom"/>
            <w:gridSpan w:val="2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8740" w:type="dxa"/>
            <w:vAlign w:val="bottom"/>
            <w:tcBorders>
              <w:bottom w:val="single" w:sz="8" w:color="CCEEFF"/>
            </w:tcBorders>
            <w:gridSpan w:val="1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140" w:type="dxa"/>
            <w:vAlign w:val="bottom"/>
          </w:tcPr>
          <w:p>
            <w:pPr>
              <w:spacing w:after="0"/>
              <w:rPr>
                <w:sz w:val="15"/>
                <w:szCs w:val="15"/>
                <w:color w:val="auto"/>
              </w:rPr>
            </w:pPr>
          </w:p>
        </w:tc>
        <w:tc>
          <w:tcPr>
            <w:tcW w:w="9660" w:type="dxa"/>
            <w:vAlign w:val="bottom"/>
            <w:gridSpan w:val="24"/>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8920" w:type="dxa"/>
            <w:vAlign w:val="bottom"/>
            <w:tcBorders>
              <w:bottom w:val="single" w:sz="8" w:color="CCEEFF"/>
            </w:tcBorders>
            <w:gridSpan w:val="1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40" w:type="dxa"/>
            <w:vAlign w:val="bottom"/>
          </w:tcPr>
          <w:p>
            <w:pPr>
              <w:spacing w:after="0"/>
              <w:rPr>
                <w:sz w:val="15"/>
                <w:szCs w:val="15"/>
                <w:color w:val="auto"/>
              </w:rPr>
            </w:pPr>
          </w:p>
        </w:tc>
        <w:tc>
          <w:tcPr>
            <w:tcW w:w="9660" w:type="dxa"/>
            <w:vAlign w:val="bottom"/>
            <w:gridSpan w:val="24"/>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40" w:type="dxa"/>
            <w:vAlign w:val="bottom"/>
            <w:shd w:val="clear" w:color="auto" w:fill="CCEEFF"/>
          </w:tcPr>
          <w:p>
            <w:pPr>
              <w:spacing w:after="0"/>
              <w:rPr>
                <w:sz w:val="17"/>
                <w:szCs w:val="17"/>
                <w:color w:val="auto"/>
              </w:rPr>
            </w:pPr>
          </w:p>
        </w:tc>
        <w:tc>
          <w:tcPr>
            <w:tcW w:w="9660" w:type="dxa"/>
            <w:vAlign w:val="bottom"/>
            <w:gridSpan w:val="24"/>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800" w:type="dxa"/>
            <w:vAlign w:val="bottom"/>
            <w:gridSpan w:val="25"/>
            <w:shd w:val="clear" w:color="auto" w:fill="CCEEFF"/>
          </w:tcPr>
          <w:p>
            <w:pPr>
              <w:ind w:left="140"/>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140" w:type="dxa"/>
            <w:vAlign w:val="bottom"/>
          </w:tcPr>
          <w:p>
            <w:pPr>
              <w:spacing w:after="0"/>
              <w:rPr>
                <w:sz w:val="15"/>
                <w:szCs w:val="15"/>
                <w:color w:val="auto"/>
              </w:rPr>
            </w:pPr>
          </w:p>
        </w:tc>
        <w:tc>
          <w:tcPr>
            <w:tcW w:w="9660" w:type="dxa"/>
            <w:vAlign w:val="bottom"/>
            <w:gridSpan w:val="2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Selected Financial Data</w:t>
              </w:r>
            </w:hyperlink>
          </w:p>
        </w:tc>
        <w:tc>
          <w:tcPr>
            <w:tcW w:w="7940" w:type="dxa"/>
            <w:vAlign w:val="bottom"/>
            <w:tcBorders>
              <w:bottom w:val="single" w:sz="8" w:color="CCEEFF"/>
            </w:tcBorders>
            <w:gridSpan w:val="1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140" w:type="dxa"/>
            <w:vAlign w:val="bottom"/>
          </w:tcPr>
          <w:p>
            <w:pPr>
              <w:spacing w:after="0"/>
              <w:rPr>
                <w:sz w:val="15"/>
                <w:szCs w:val="15"/>
                <w:color w:val="auto"/>
              </w:rPr>
            </w:pPr>
          </w:p>
        </w:tc>
        <w:tc>
          <w:tcPr>
            <w:tcW w:w="9660" w:type="dxa"/>
            <w:vAlign w:val="bottom"/>
            <w:gridSpan w:val="24"/>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140" w:type="dxa"/>
            <w:vAlign w:val="bottom"/>
            <w:shd w:val="clear" w:color="auto" w:fill="CCEEFF"/>
          </w:tcPr>
          <w:p>
            <w:pPr>
              <w:spacing w:after="0"/>
              <w:rPr>
                <w:sz w:val="17"/>
                <w:szCs w:val="17"/>
                <w:color w:val="auto"/>
              </w:rPr>
            </w:pPr>
          </w:p>
        </w:tc>
        <w:tc>
          <w:tcPr>
            <w:tcW w:w="9660" w:type="dxa"/>
            <w:vAlign w:val="bottom"/>
            <w:gridSpan w:val="24"/>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8.</w:t>
            </w:r>
          </w:p>
        </w:tc>
        <w:tc>
          <w:tcPr>
            <w:tcW w:w="1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Financial Statements and Supplementary Data</w:t>
              </w:r>
            </w:hyperlink>
          </w:p>
        </w:tc>
        <w:tc>
          <w:tcPr>
            <w:tcW w:w="5300" w:type="dxa"/>
            <w:vAlign w:val="bottom"/>
            <w:tcBorders>
              <w:top w:val="single" w:sz="8" w:color="CCEEFF"/>
            </w:tcBorders>
            <w:gridSpan w:val="6"/>
          </w:tcPr>
          <w:p>
            <w:pPr>
              <w:spacing w:after="0"/>
              <w:rPr>
                <w:sz w:val="15"/>
                <w:szCs w:val="15"/>
                <w:color w:val="auto"/>
              </w:rPr>
            </w:pPr>
          </w:p>
        </w:tc>
        <w:tc>
          <w:tcPr>
            <w:tcW w:w="6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140" w:type="dxa"/>
            <w:vAlign w:val="bottom"/>
            <w:shd w:val="clear" w:color="auto" w:fill="CCEEFF"/>
          </w:tcPr>
          <w:p>
            <w:pPr>
              <w:spacing w:after="0"/>
              <w:rPr>
                <w:sz w:val="17"/>
                <w:szCs w:val="17"/>
                <w:color w:val="auto"/>
              </w:rPr>
            </w:pPr>
          </w:p>
        </w:tc>
        <w:tc>
          <w:tcPr>
            <w:tcW w:w="9660" w:type="dxa"/>
            <w:vAlign w:val="bottom"/>
            <w:gridSpan w:val="24"/>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9A.</w:t>
            </w:r>
          </w:p>
        </w:tc>
        <w:tc>
          <w:tcPr>
            <w:tcW w:w="140" w:type="dxa"/>
            <w:vAlign w:val="bottom"/>
            <w:tcBorders>
              <w:top w:val="single" w:sz="8" w:color="CCEEFF"/>
            </w:tcBorders>
          </w:tcPr>
          <w:p>
            <w:pPr>
              <w:spacing w:after="0"/>
              <w:rPr>
                <w:sz w:val="15"/>
                <w:szCs w:val="15"/>
                <w:color w:val="auto"/>
              </w:rPr>
            </w:pPr>
          </w:p>
        </w:tc>
        <w:tc>
          <w:tcPr>
            <w:tcW w:w="648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3180" w:type="dxa"/>
            <w:vAlign w:val="bottom"/>
            <w:tcBorders>
              <w:top w:val="single" w:sz="8" w:color="CCEEFF"/>
            </w:tcBorders>
            <w:gridSpan w:val="3"/>
          </w:tcPr>
          <w:p>
            <w:pPr>
              <w:spacing w:after="0"/>
              <w:rPr>
                <w:sz w:val="15"/>
                <w:szCs w:val="15"/>
                <w:color w:val="auto"/>
              </w:rPr>
            </w:pPr>
          </w:p>
        </w:tc>
        <w:tc>
          <w:tcPr>
            <w:tcW w:w="6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40" w:type="dxa"/>
            <w:vAlign w:val="bottom"/>
            <w:shd w:val="clear" w:color="auto" w:fill="CCEEFF"/>
          </w:tcPr>
          <w:p>
            <w:pPr>
              <w:spacing w:after="0"/>
              <w:rPr>
                <w:sz w:val="17"/>
                <w:szCs w:val="17"/>
                <w:color w:val="auto"/>
              </w:rPr>
            </w:pPr>
          </w:p>
        </w:tc>
        <w:tc>
          <w:tcPr>
            <w:tcW w:w="9660" w:type="dxa"/>
            <w:vAlign w:val="bottom"/>
            <w:gridSpan w:val="24"/>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800" w:type="dxa"/>
            <w:vAlign w:val="bottom"/>
            <w:gridSpan w:val="25"/>
            <w:shd w:val="clear" w:color="auto" w:fill="CCEEFF"/>
          </w:tcPr>
          <w:p>
            <w:pPr>
              <w:ind w:left="140"/>
              <w:spacing w:after="0" w:line="17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III</w:t>
              </w:r>
            </w:hyperlink>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140" w:type="dxa"/>
            <w:vAlign w:val="bottom"/>
          </w:tcPr>
          <w:p>
            <w:pPr>
              <w:spacing w:after="0"/>
              <w:rPr>
                <w:sz w:val="15"/>
                <w:szCs w:val="15"/>
                <w:color w:val="auto"/>
              </w:rPr>
            </w:pPr>
          </w:p>
        </w:tc>
        <w:tc>
          <w:tcPr>
            <w:tcW w:w="9660" w:type="dxa"/>
            <w:vAlign w:val="bottom"/>
            <w:gridSpan w:val="2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40" w:type="dxa"/>
            <w:vAlign w:val="bottom"/>
            <w:shd w:val="clear" w:color="auto" w:fill="CCEEFF"/>
          </w:tcPr>
          <w:p>
            <w:pPr>
              <w:spacing w:after="0"/>
              <w:rPr>
                <w:sz w:val="15"/>
                <w:szCs w:val="15"/>
                <w:color w:val="auto"/>
              </w:rPr>
            </w:pPr>
          </w:p>
        </w:tc>
        <w:tc>
          <w:tcPr>
            <w:tcW w:w="9660" w:type="dxa"/>
            <w:vAlign w:val="bottom"/>
            <w:gridSpan w:val="24"/>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140" w:type="dxa"/>
            <w:vAlign w:val="bottom"/>
          </w:tcPr>
          <w:p>
            <w:pPr>
              <w:spacing w:after="0"/>
              <w:rPr>
                <w:sz w:val="15"/>
                <w:szCs w:val="15"/>
                <w:color w:val="auto"/>
              </w:rPr>
            </w:pPr>
          </w:p>
        </w:tc>
        <w:tc>
          <w:tcPr>
            <w:tcW w:w="9660" w:type="dxa"/>
            <w:vAlign w:val="bottom"/>
            <w:gridSpan w:val="2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14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Certain Relationships and Related Transactions, and Director Independence</w:t>
              </w:r>
            </w:hyperlink>
          </w:p>
        </w:tc>
        <w:tc>
          <w:tcPr>
            <w:tcW w:w="4200" w:type="dxa"/>
            <w:vAlign w:val="bottom"/>
            <w:tcBorders>
              <w:bottom w:val="single" w:sz="8" w:color="CCEEFF"/>
            </w:tcBorders>
            <w:gridSpan w:val="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140" w:type="dxa"/>
            <w:vAlign w:val="bottom"/>
          </w:tcPr>
          <w:p>
            <w:pPr>
              <w:spacing w:after="0"/>
              <w:rPr>
                <w:sz w:val="15"/>
                <w:szCs w:val="15"/>
                <w:color w:val="auto"/>
              </w:rPr>
            </w:pPr>
          </w:p>
        </w:tc>
        <w:tc>
          <w:tcPr>
            <w:tcW w:w="9660" w:type="dxa"/>
            <w:vAlign w:val="bottom"/>
            <w:gridSpan w:val="2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Principal Accountant Fees and Services</w:t>
              </w:r>
            </w:hyperlink>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60" w:type="dxa"/>
            <w:vAlign w:val="bottom"/>
            <w:gridSpan w:val="24"/>
          </w:tcPr>
          <w:p>
            <w:pPr>
              <w:spacing w:after="0" w:line="17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IV</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140" w:type="dxa"/>
            <w:vAlign w:val="bottom"/>
            <w:shd w:val="clear" w:color="auto" w:fill="CCEEFF"/>
          </w:tcPr>
          <w:p>
            <w:pPr>
              <w:spacing w:after="0"/>
              <w:rPr>
                <w:sz w:val="17"/>
                <w:szCs w:val="17"/>
                <w:color w:val="auto"/>
              </w:rPr>
            </w:pPr>
          </w:p>
        </w:tc>
        <w:tc>
          <w:tcPr>
            <w:tcW w:w="9660" w:type="dxa"/>
            <w:vAlign w:val="bottom"/>
            <w:gridSpan w:val="24"/>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Exhibits, Financial Statement Schedules</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16.</w:t>
            </w:r>
          </w:p>
        </w:tc>
        <w:tc>
          <w:tcPr>
            <w:tcW w:w="140" w:type="dxa"/>
            <w:vAlign w:val="bottom"/>
            <w:tcBorders>
              <w:top w:val="single" w:sz="8" w:color="CCEEFF"/>
            </w:tcBorders>
          </w:tcPr>
          <w:p>
            <w:pPr>
              <w:spacing w:after="0"/>
              <w:rPr>
                <w:sz w:val="15"/>
                <w:szCs w:val="15"/>
                <w:color w:val="auto"/>
              </w:rPr>
            </w:pPr>
          </w:p>
        </w:tc>
        <w:tc>
          <w:tcPr>
            <w:tcW w:w="29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Form 10-K Summary</w:t>
              </w:r>
            </w:hyperlink>
          </w:p>
        </w:tc>
        <w:tc>
          <w:tcPr>
            <w:tcW w:w="6760" w:type="dxa"/>
            <w:vAlign w:val="bottom"/>
            <w:tcBorders>
              <w:top w:val="single" w:sz="8" w:color="CCEEFF"/>
            </w:tcBorders>
            <w:gridSpan w:val="9"/>
          </w:tcPr>
          <w:p>
            <w:pPr>
              <w:spacing w:after="0"/>
              <w:rPr>
                <w:sz w:val="15"/>
                <w:szCs w:val="15"/>
                <w:color w:val="auto"/>
              </w:rPr>
            </w:pPr>
          </w:p>
        </w:tc>
        <w:tc>
          <w:tcPr>
            <w:tcW w:w="6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6"/>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jc w:val="both"/>
        <w:ind w:firstLine="648"/>
        <w:spacing w:after="0" w:line="277" w:lineRule="auto"/>
        <w:rPr>
          <w:sz w:val="20"/>
          <w:szCs w:val="20"/>
          <w:color w:val="auto"/>
        </w:rPr>
      </w:pPr>
      <w:r>
        <w:rPr>
          <w:rFonts w:ascii="Arial" w:cs="Arial" w:eastAsia="Arial" w:hAnsi="Arial"/>
          <w:sz w:val="18"/>
          <w:szCs w:val="18"/>
          <w:i w:val="1"/>
          <w:iCs w:val="1"/>
          <w:color w:val="auto"/>
        </w:rPr>
        <w:t>As used in this Annual Report, unless indicated or the context requires otherwise, the terms the “Company”, “Harrow”, “we”, “us” and “our” refer to Harrow Health, Inc. and its consolidated subsidiaries.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prior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We have registered trademarks, copyrights and/or pending trademark and copyright applications for a number of proprietary names in the United States, including, but not limited to: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Harrow Health</w:t>
      </w:r>
      <w:r>
        <w:rPr>
          <w:rFonts w:ascii="Arial" w:cs="Arial" w:eastAsia="Arial" w:hAnsi="Arial"/>
          <w:sz w:val="26"/>
          <w:szCs w:val="26"/>
          <w:color w:val="auto"/>
          <w:vertAlign w:val="superscript"/>
        </w:rPr>
        <w:t>tm</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 Cataract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Therapy</w:t>
      </w:r>
      <w:r>
        <w:rPr>
          <w:rFonts w:ascii="Arial" w:cs="Arial" w:eastAsia="Arial" w:hAnsi="Arial"/>
          <w:sz w:val="29"/>
          <w:szCs w:val="29"/>
          <w:color w:val="auto"/>
          <w:vertAlign w:val="superscript"/>
        </w:rPr>
        <w:t>®</w:t>
      </w:r>
      <w:r>
        <w:rPr>
          <w:rFonts w:ascii="Arial" w:cs="Arial" w:eastAsia="Arial" w:hAnsi="Arial"/>
          <w:sz w:val="18"/>
          <w:szCs w:val="18"/>
          <w:color w:val="auto"/>
        </w:rPr>
        <w:t>, Dropless Therapy</w:t>
      </w:r>
      <w:r>
        <w:rPr>
          <w:rFonts w:ascii="Arial" w:cs="Arial" w:eastAsia="Arial" w:hAnsi="Arial"/>
          <w:sz w:val="29"/>
          <w:szCs w:val="29"/>
          <w:color w:val="auto"/>
          <w:vertAlign w:val="superscript"/>
        </w:rPr>
        <w:t>®</w:t>
      </w:r>
      <w:r>
        <w:rPr>
          <w:rFonts w:ascii="Arial" w:cs="Arial" w:eastAsia="Arial" w:hAnsi="Arial"/>
          <w:sz w:val="18"/>
          <w:szCs w:val="18"/>
          <w:color w:val="auto"/>
        </w:rPr>
        <w:t>, MKO Melt™, and Simple Drops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We may choose to pursue trademark protection in other jurisdictions for one or more of these or other marks in the future. All other trademarks, service marks and trade names included or incorporated by reference into this Annual Report, are the property of their respective owners.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business specializes in the development, production and sale of innovative medications that offer unique competitive advantages and serve unmet needs in the marketplace through our subsidiaries and deconsolidated companies. We own one of the nation’s leading ophthalmology pharmaceutical businesses, ImprimisRx. In addition to wholly owning ImprimisRx, we also have equity positions in Eton Pharmaceuticals, Inc. (“Eton”), Surface Pharmaceuticals, Inc. (“Surface”), Melt Pharmaceuticals, Inc. (“Melt”), all companies that began as subsidiaries of Harrow. More recently, we founded drug development subsidiaries Mayfield Pharmaceuticals, Inc. (“Mayfield”), Radley Pharmaceuticals, Inc. (“Radley”), and Stowe Pharmaceuticals, Inc. (“Stowe”). During 2020, we intend to launch a new business and subsidiary called Visionology. We also own royalty rights in various drug candidates being developed by Surface, Melt, Radley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ophthalmology focused pharmaceutical compounding business. We offer to over 7,000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U.S. Food and Drug Administration (“FDA”) guidance documents, in our FDA-registered NJOF outsourcing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Visionology is expected to be an online eye health platform, trusted by both physicians and patients. In addition to allowing physicians to communicate with pharmacists, and patients to communicate with physicians, it will offer a variety of high quality, affordable, chronic care ophthalmic pharmaceutical products using a state of the art proprietary IT platform. We expect to launch a proof-of-concept model for Visionology in the first half of 2020 within a certain region of the U.S., and if successful, expand the launch on a nationwide basis later in 2020 and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Ophthalmology Market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any ocular procedure, a surgeon may require drugs for sedation, dilation, and inflammation and infection prevention. The cataract surgery market continues to experience significant growth. According to a 2018 iData report, 3.7 million cataract surgeries were performed in the U.S. in 2017. The National Eye Institute estimates that over 24 million Americans currently have cataracts and that this number will grow to 38 million by 2030 and reach more than 50 million by 2050. In addition to the 3.7 million cataract surgeries performed annually in the U.S.,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According to the Glaucoma Research Foundation, there are over 3 million Americans with glaucoma but only half are aware they have it. Open-angle glaucoma (the most common type of glaucoma) is a condition of increased intraocular pressure that causes gradual loss of sight. Glaucoma is incurable, and if not managed can lead to blindness. Generally, the first line of treatment consists of a prostaglandin analogue (PGA) eye drop regimen. As the disease progresses, non-PGA products are generally added as a second line treatment. Topical agents, other than PGAs, include beta blockers, alpha agonists, miotics and steroids. According to a 2013 article in Glaucoma Today, up to 50 percent of glaucoma patients require more than one drug following a few months of initial treatment and there is a direct correlation between the number of glaucoma bottles and decreased adherence; however the FDA has</w:t>
      </w:r>
    </w:p>
    <w:p>
      <w:pPr>
        <w:spacing w:after="0" w:line="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yet to approve a PGA combination product despite combination products including a PGA (Xalacom</w:t>
      </w:r>
      <w:r>
        <w:rPr>
          <w:rFonts w:ascii="Arial" w:cs="Arial" w:eastAsia="Arial" w:hAnsi="Arial"/>
          <w:sz w:val="29"/>
          <w:szCs w:val="29"/>
          <w:color w:val="auto"/>
          <w:vertAlign w:val="superscript"/>
        </w:rPr>
        <w:t>®</w:t>
      </w:r>
      <w:r>
        <w:rPr>
          <w:rFonts w:ascii="Arial" w:cs="Arial" w:eastAsia="Arial" w:hAnsi="Arial"/>
          <w:sz w:val="18"/>
          <w:szCs w:val="18"/>
          <w:color w:val="auto"/>
        </w:rPr>
        <w:t>, DuoTrav</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Ganfort</w:t>
      </w:r>
      <w:r>
        <w:rPr>
          <w:rFonts w:ascii="Arial" w:cs="Arial" w:eastAsia="Arial" w:hAnsi="Arial"/>
          <w:sz w:val="29"/>
          <w:szCs w:val="29"/>
          <w:color w:val="auto"/>
          <w:vertAlign w:val="superscript"/>
        </w:rPr>
        <w:t>®</w:t>
      </w:r>
      <w:r>
        <w:rPr>
          <w:rFonts w:ascii="Arial" w:cs="Arial" w:eastAsia="Arial" w:hAnsi="Arial"/>
          <w:sz w:val="18"/>
          <w:szCs w:val="18"/>
          <w:color w:val="auto"/>
        </w:rPr>
        <w:t>) available outside of the U.S. According to a 2017 Market Scope report, the glaucoma pharmaceuticals market is expected to reach $5.3 billion in 2022.</w:t>
      </w:r>
    </w:p>
    <w:p>
      <w:pPr>
        <w:spacing w:after="0" w:line="20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Dry eye occurs when the eye does not produce enough tears, or when the tears are not of the correct consistency and evaporate too quickly. Inflammation of the surface of the eye may also occur. We believe that dry eye disease, or DED, affects over 30 million people in the U.S., and a major epidemiological study, the Beaver Dam Offspring Study, published in 2014 in the American Journal of Ophthalmology, reported that in a cohort of over 3,000 patients, DED was self-reported by 14.5% of the patients. According to a 2017 Market Scope report, the global dry eye treatments market is expected to grow from $3.7 billion in 2017 to $4.9 billion in 2022. Dry eye is among the most common conditions seen by eye care professionals.</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Presbyopia is the normal loss of near focusing ability that occurs with age. Most people begin to notice the effects of presbyopia sometime after age 40, when they start having trouble seeing small print clearly. According to an American Academy of Ophthalmology report from 2018, there are an estimated 1.8 billion people worldwide who suffer from presbyopia, with eye glasses (more commonly referred to as, “readers”) being the most common treatment option. Based on our understanding, there are currently four eyedrops currently undergoing clinical trials/development in the U.S. aiming to be first to market topical eye drops to treat the symptoms associated with presbyopia. We believe most of these are designed to enhance depth of field via a “pinhole effect” and in one case to reduce lens stiffening; and some of these medications could be synergistic with each other or combined with refractive surgery to enhance outcomes. However, as of the date of this Annual Report, none of these drug candidates has received market approval from the FDA.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more of our facilities to further their capacity and efficiencies. Also, we may seek to access greater pharmacy and production related redundancy and markets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ownership interests in Eton, Surface, Melt, Mayfield and Radley and hold royalty interests in certain of their drug candidates.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and 2019, we formed and created subsidiaries named Radley, Mayfield, and Stowe, which we intend to operate similar to Eton, Surface and Melt. In addition, we intend to create additional subsidiaries that will be focused on the development and FDA approval of certain proprietary drug formulations that we currently own, will in-license/acquire and/or otherwise develop.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Pharmaceuticals, Inc.</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Stowe is a consolidated subsidiary of Harrow that was formed in 2019, focused on the development of its proprietary ophthalmic drug candidate STE-006. STE-006 is a patented, new chemical entity, small molecule topical drug candidate intended to treat various bacterial, fungal, and viral infections in the eye. In initial preclinical models, STE-006 was shown to be significantly more effective compared to current conventional therapies against numerous bacterial and viral pathogens, including strains of methicillin-resistant staphylococcus aureus, or MRSA, and herpes simplex virus. STE-006 has several patents covering matter of composition, methods of production, methods of use and molecule, which are valid until 2038.</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own 2,500,000 shares of Stowe common stock, and control 70% of the equity and voting interests issued and outstanding of Stowe at December 31, 2019. We recently agreed to terms with an experienced, ophthalmology focused life science executive to be the CEO of Stowe which would be become effective following a deconsolidating transaction, which we are currently pursuing.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Mayfield, a consolidated subsidiary of Harrow, is a development-stage pharmaceutical company focused on consequential products that address the conspicuous unmet needs of patients. Its development programs focus on using known molecules in dosage forms for new indications, and by developing new chemical entities with known mechanisms of action. Mayfield recently licensed worldwide rights to a first-in-class antimicrobial drug candidate, called MAY-66, which is being studied to treat recurrent bacterial vaginosis. In February 2019, Mayfield acquired drug formulation assets and intellectual property, including three recently issued patents, for MAY-44, a drug candidate for the treatment of dyspareunia, or pain experienced by women during sexual intercourse. In addition to MAY-44, Mayfield is also developing MAY-88 for patients suffering from interstitial cystitis, which it will acquire from Harrow at the closing of a deconsolidating transaction.</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own 2,500,000 shares of Mayfield common stock, and control 70% of the equity and voting interests issued and outstanding of Mayfield at December 31, 2019. We are currently pursuing a deconsolidating transaction for Mayfield. Once deconsolidated, we expect Mayfield to be run by an experienced life science executive, that we have recently contracted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Radley Pharmaceuticals,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Radley, a consolidated subsidiary of Harrow, is a development-stage pharmaceutical company focused on the development of proprietary 505(b)</w:t>
      </w:r>
    </w:p>
    <w:p>
      <w:pPr>
        <w:spacing w:after="0" w:line="46" w:lineRule="exact"/>
        <w:rPr>
          <w:sz w:val="20"/>
          <w:szCs w:val="20"/>
          <w:color w:val="auto"/>
        </w:rPr>
      </w:pPr>
    </w:p>
    <w:p>
      <w:pPr>
        <w:jc w:val="both"/>
        <w:ind w:firstLine="8"/>
        <w:spacing w:after="0" w:line="288" w:lineRule="auto"/>
        <w:tabs>
          <w:tab w:leader="none" w:pos="287" w:val="left"/>
        </w:tabs>
        <w:numPr>
          <w:ilvl w:val="0"/>
          <w:numId w:val="2"/>
        </w:numPr>
        <w:rPr>
          <w:rFonts w:ascii="Arial" w:cs="Arial" w:eastAsia="Arial" w:hAnsi="Arial"/>
          <w:sz w:val="16"/>
          <w:szCs w:val="16"/>
          <w:color w:val="auto"/>
        </w:rPr>
      </w:pPr>
      <w:r>
        <w:rPr>
          <w:rFonts w:ascii="Arial" w:cs="Arial" w:eastAsia="Arial" w:hAnsi="Arial"/>
          <w:sz w:val="16"/>
          <w:szCs w:val="16"/>
          <w:color w:val="auto"/>
        </w:rPr>
        <w:t>drug candidates focused on rare diseases. Radley currently has three drug programs in its pipeline. During January 2020, and prior to initiating significant development activities and costs related to these drug programs, we met with the FDA to establish and understand the expected clinical and regulatory path to approval for Radley’s lead drug program. Conceptually, the FDA agreed with our clinical program design, and we are currently considering options related to the next steps of the drug candidates development. We are also pursuing investigator-initiated studies for some of Radley’s drug candidates with two well-known healthcare institutions based in the New York and Boston areas. We believe this approach will allow us to better understand and weigh the economic costs, clinical feasibility and potential benefits associated with pursuing development activities associated with these drug programs. Radley is also pursuing additional asset acquisition and licensing opportunities with a focus in oncology-related therapies.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De-Consolidated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Eton is a pharmaceutical company focused on developing and commercializing innovative products utilizing the FDA’s 505(b)(2) regulatory pathway. Its pipeline includes several products and drug candidates in various stages of development across a variety of dosage forms. Eton’s pipeline is focused on innovative 505(b)(2) products and obtaining FDA marketing approval for currently marketed but unapproved drugs.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2017, Eton closed an offering of its Series A Preferred Stock and we lost our controlling interest in it. In November 2018, Eton completed an initial public offering of its common stock. We own 3,500,000 shares of Eton common stock, which is less than 20% of the equity and voting interests issued and outstanding of Eton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Harrow board member and Surface’s chairman of the board, renowned ophthalmologist Dr. Richard Lindstrom. Klarity is designed to protect and rehabilitate the ocular surface pathology for patients with dry eye disease, or DED.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fourth quarter of 2019, Surface filed an Investigational New Drug Application (“IND”) for its drug program SURF-201. SURF-201 is a novel steroid topical eye drop drug candidate for treating pain and inflammation post-ocular surgery. Surface expects to submit an IND for its lead drug candidate, SURF-100, during the first half of 2020, for treating signs and symptoms associated with chronic dry eye disease. We expect Surface to release certain clinical data related to these programs near the end of 2020 and beginning of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and July 2018, Surface closed on an offering of its Series A Preferred Stock. At that time, we lost our controlling interest and deconsolidated Surface from our consolidated financial statements. We own 3,500,000 shares of Surface which we estimate is approximately 30% of the issued and outstanding equity and voting interests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Melt is a development-stage pharmaceutical company focused on the development and commercialization of proprietary non-intravenous, sedation and anesthesia therapeutics for human medical procedures in hospital, outpatient, and in-office settings. Melt intends to seek regulatory approval through the FDA’s 505(b)(2) regulatory pathway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 Pursuant to the terms of the Melt Asset Purchase Agreement, Melt is required to make royalty payments to the Company equal to five percent (5%) of net sales of MELT-100, while any patent rights remain outstanding, subject to other conditions.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MELT-100 is a novel, sublingually delivered, non-IV, opioid-free drug candidate being developed for procedural sedation. Melt is expecting to file an IND and begin its clinical program for MELT-100 in the summer of 2020, and if successful, begin enrollment for its Phase 3 studies for MELT-100 during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2019, Melt closed on an offering of its Series A Preferred Stock. At that time, we lost our controlling interest and deconsolidated Melt from our consolidated financial statements. We own 3,500,000 shares of Melt which we estimate is approximately 44% of the issued and outstanding equity and voting interests as of December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Section 505(b)(2) New Drug Applications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505(b)(2) path to approval are drugs that have a new dosage form, strength, route of administration, formulation or indication.</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w:t>
      </w:r>
    </w:p>
    <w:p>
      <w:pPr>
        <w:spacing w:after="0" w:line="2"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listed patent has expired; (iii) the listed patent has not expired, but will expire on a particular date and approval is sought after patent expiration; or</w:t>
      </w:r>
    </w:p>
    <w:p>
      <w:pPr>
        <w:spacing w:after="0" w:line="32" w:lineRule="exact"/>
        <w:rPr>
          <w:rFonts w:ascii="Arial" w:cs="Arial" w:eastAsia="Arial" w:hAnsi="Arial"/>
          <w:sz w:val="16"/>
          <w:szCs w:val="16"/>
          <w:color w:val="auto"/>
        </w:rPr>
      </w:pPr>
    </w:p>
    <w:p>
      <w:pPr>
        <w:jc w:val="both"/>
        <w:ind w:firstLine="8"/>
        <w:spacing w:after="0" w:line="253" w:lineRule="auto"/>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listed patent is invalid or will not be infringed by the new product. The Section 505(b)(2) application also will not be approved until any non-patent exclusivity, such as exclusivity for obtaining approval of a new chemical entity, listed in the Orange Book for the reference product has expired. Thus, the Section 505(b)(2) applicant may invest a significant amount of time and expense in the development of its products only to be subject to significant delay and patent litigation before its products may be commercialized.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focus of our sales and marketing is in the United States. We do, however, believe that our proprietary drug formulations could have commercial appeal in international markets, and we have engaged distributors and entered into out-licensing arrangements for certain of our proprietary formulations in certain non-U.S. markets, including Canada. Our sales and marketing efforts are currently organized into two teams, the larger of which focuses on our ophthalmology pharmaceutical compounding business and the other on our non-ophthalmology pharmaceutical compounding business. Our sales and marketing activities consist primarily of efforts to educate doctors, ambulatory surgery centers, healthcare systems, hospitals and other users throughout the U.S. about our compounded formulations. We expect that we may experience growth in the sales of our proprietary pharmaceutical compounded formulations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2017 through 2019, we entered various sales and marketing agreements, with certain organizations to provide exclusive sales and marketing representation services to ImprimisRx in select geographies in the U.S., in connection with our ophthalmic compounded formulations. Under the terms of the sales and marketing agreements, we are required to make commission payments to equal to 10% to 14% of net sales for products above and beyond the initial existing sales amounts. In addition, we are required to make periodic milestone payments to certain organizations in shares of the our restricted common stock if net sales in the assigned territory reach certain future levels by the end of their terms, as applicable. We believe these sales and marketing agreements will accelerate launches of our new ophthalmology programs and limit our initial capital requirements commonly associated with new product launches and increased sizes of sales forces.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some of our compounded formulations in accordance with cGMP standards and our other formulations are produced according to the standards provided by United States Pharmacopoeia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operating under Section 503A of the FDCA,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though we have registered NJOF with the FDA, our business may not be scalable on the scope available to our competitors that produce FDA-approved drugs, which may limit our potential for profitable operations. These facets of our operations may subject our business to limitations our competitors offering FDA-approved drugs may not face.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929" w:gutter="0" w:footer="0" w:header="0"/>
        </w:sectPr>
      </w:pPr>
    </w:p>
    <w:bookmarkStart w:id="8" w:name="page9"/>
    <w:bookmarkEnd w:id="8"/>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are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Options and Pricing Optimization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proprietary ophthalmic pharmaceutical compounded formulations are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the Centers for Medicare &amp; Medicaid Services (“CMS”), are increasingly attempting to contain health care costs by limiting coverage and the level of reimbursement for new drugs and by refusing, in some cases, to provide coverage for uses of approved products for disease indications for which the FDA has not granted formal labeling approval. Further, the Patient Protection and Affordable Care Act and the Health Care and Education Reconciliation Act of 2012 (collectively, the “Health Care Reform Law”) may have a considerable impact on the existing U.S. system for the delivery and financing of health care and could conceivably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are making efforts to receive reimbursement and/or optimize the pricing for some of our currently available pharmaceutical compounded formulations, including applying for transitional pass-through reimbursement status for one of our formulations. Pass-through status allows for separate payment (i.e., outside the bundled payment) under Medicare Part B for new drugs and other medical technologies that meet well-established criteria specified by federal regulations governing CMS spending. We expect to hear from CMS before July 1, 2020, if we will be granted pass-through status for these formulations. Any efforts to attain optimized pricing or reimbursement for these or any of our other proprietary formulations could fail, which could make our products less attractive or unavailable to some patients or could reduce our margins.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and ability to compete depends upon our ability to protect our intellectual property. We conduct a fulsome analysis of the intellectual property landscape prior to acquiring rights to formulations and filing patent applications. In addition, as of February 29, 2020, we owned and/or licensed fourteen U.S. issued patents, five international issued patents, and 30 U.S. patent applications, including 26 utility (including continuation, continuation-in-part and divisional) and three provisional patent applications, and we owned seven international patent applications filed under the Patent Cooperation Treaty and 42 foreign patent applications. We expect to file additional patent applications in the U.S. and pursue patent protection for certain of our formulations in other important international jurisdictions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ind w:firstLine="648"/>
        <w:spacing w:after="0" w:line="226" w:lineRule="auto"/>
        <w:rPr>
          <w:sz w:val="20"/>
          <w:szCs w:val="20"/>
          <w:color w:val="auto"/>
        </w:rPr>
      </w:pPr>
      <w:r>
        <w:rPr>
          <w:rFonts w:ascii="Arial" w:cs="Arial" w:eastAsia="Arial" w:hAnsi="Arial"/>
          <w:sz w:val="17"/>
          <w:szCs w:val="17"/>
          <w:color w:val="auto"/>
        </w:rPr>
        <w:t>As of February 29, 2020, we had, on a worldwide basis, 186 issued trademarks, pending trademark and copyright applications, or registered copyright and/or trademarks including, but not limited to: Imprimis</w:t>
      </w:r>
      <w:r>
        <w:rPr>
          <w:rFonts w:ascii="Arial" w:cs="Arial" w:eastAsia="Arial" w:hAnsi="Arial"/>
          <w:sz w:val="28"/>
          <w:szCs w:val="28"/>
          <w:color w:val="auto"/>
          <w:vertAlign w:val="superscript"/>
        </w:rPr>
        <w:t>®</w:t>
      </w:r>
      <w:r>
        <w:rPr>
          <w:rFonts w:ascii="Arial" w:cs="Arial" w:eastAsia="Arial" w:hAnsi="Arial"/>
          <w:sz w:val="17"/>
          <w:szCs w:val="17"/>
          <w:color w:val="auto"/>
        </w:rPr>
        <w:t>, ImprimisRx</w:t>
      </w:r>
      <w:r>
        <w:rPr>
          <w:rFonts w:ascii="Arial" w:cs="Arial" w:eastAsia="Arial" w:hAnsi="Arial"/>
          <w:sz w:val="28"/>
          <w:szCs w:val="28"/>
          <w:color w:val="auto"/>
          <w:vertAlign w:val="superscript"/>
        </w:rPr>
        <w:t>®</w:t>
      </w:r>
      <w:r>
        <w:rPr>
          <w:rFonts w:ascii="Arial" w:cs="Arial" w:eastAsia="Arial" w:hAnsi="Arial"/>
          <w:sz w:val="17"/>
          <w:szCs w:val="17"/>
          <w:color w:val="auto"/>
        </w:rPr>
        <w:t>, Harrow Health</w:t>
      </w:r>
      <w:r>
        <w:rPr>
          <w:rFonts w:ascii="Arial" w:cs="Arial" w:eastAsia="Arial" w:hAnsi="Arial"/>
          <w:sz w:val="28"/>
          <w:szCs w:val="28"/>
          <w:color w:val="auto"/>
          <w:vertAlign w:val="superscript"/>
        </w:rPr>
        <w:t>tm</w:t>
      </w:r>
      <w:r>
        <w:rPr>
          <w:rFonts w:ascii="Arial" w:cs="Arial" w:eastAsia="Arial" w:hAnsi="Arial"/>
          <w:sz w:val="17"/>
          <w:szCs w:val="17"/>
          <w:color w:val="auto"/>
        </w:rPr>
        <w:t>, Dropless</w:t>
      </w:r>
      <w:r>
        <w:rPr>
          <w:rFonts w:ascii="Arial" w:cs="Arial" w:eastAsia="Arial" w:hAnsi="Arial"/>
          <w:sz w:val="28"/>
          <w:szCs w:val="28"/>
          <w:color w:val="auto"/>
          <w:vertAlign w:val="superscript"/>
        </w:rPr>
        <w:t>®</w:t>
      </w:r>
      <w:r>
        <w:rPr>
          <w:rFonts w:ascii="Arial" w:cs="Arial" w:eastAsia="Arial" w:hAnsi="Arial"/>
          <w:sz w:val="17"/>
          <w:szCs w:val="17"/>
          <w:color w:val="auto"/>
        </w:rPr>
        <w:t>, LessDrops</w:t>
      </w:r>
      <w:r>
        <w:rPr>
          <w:rFonts w:ascii="Arial" w:cs="Arial" w:eastAsia="Arial" w:hAnsi="Arial"/>
          <w:sz w:val="28"/>
          <w:szCs w:val="28"/>
          <w:color w:val="auto"/>
          <w:vertAlign w:val="superscript"/>
        </w:rPr>
        <w:t>®</w:t>
      </w:r>
      <w:r>
        <w:rPr>
          <w:rFonts w:ascii="Arial" w:cs="Arial" w:eastAsia="Arial" w:hAnsi="Arial"/>
          <w:sz w:val="17"/>
          <w:szCs w:val="17"/>
          <w:color w:val="auto"/>
        </w:rPr>
        <w:t>, Dropless Cataract</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Surgery</w:t>
      </w:r>
      <w:r>
        <w:rPr>
          <w:rFonts w:ascii="Arial" w:cs="Arial" w:eastAsia="Arial" w:hAnsi="Arial"/>
          <w:sz w:val="29"/>
          <w:szCs w:val="29"/>
          <w:color w:val="auto"/>
          <w:vertAlign w:val="superscript"/>
        </w:rPr>
        <w:t>®</w:t>
      </w:r>
      <w:r>
        <w:rPr>
          <w:rFonts w:ascii="Arial" w:cs="Arial" w:eastAsia="Arial" w:hAnsi="Arial"/>
          <w:sz w:val="18"/>
          <w:szCs w:val="18"/>
          <w:color w:val="auto"/>
        </w:rPr>
        <w:t>, Dropless Cataract Therapy</w:t>
      </w:r>
      <w:r>
        <w:rPr>
          <w:rFonts w:ascii="Arial" w:cs="Arial" w:eastAsia="Arial" w:hAnsi="Arial"/>
          <w:sz w:val="29"/>
          <w:szCs w:val="29"/>
          <w:color w:val="auto"/>
          <w:vertAlign w:val="superscript"/>
        </w:rPr>
        <w:t>®</w:t>
      </w:r>
      <w:r>
        <w:rPr>
          <w:rFonts w:ascii="Arial" w:cs="Arial" w:eastAsia="Arial" w:hAnsi="Arial"/>
          <w:sz w:val="18"/>
          <w:szCs w:val="18"/>
          <w:color w:val="auto"/>
        </w:rPr>
        <w:t>, Dropless Therapy</w:t>
      </w:r>
      <w:r>
        <w:rPr>
          <w:rFonts w:ascii="Arial" w:cs="Arial" w:eastAsia="Arial" w:hAnsi="Arial"/>
          <w:sz w:val="29"/>
          <w:szCs w:val="29"/>
          <w:color w:val="auto"/>
          <w:vertAlign w:val="superscript"/>
        </w:rPr>
        <w:t>®</w:t>
      </w:r>
      <w:r>
        <w:rPr>
          <w:rFonts w:ascii="Arial" w:cs="Arial" w:eastAsia="Arial" w:hAnsi="Arial"/>
          <w:sz w:val="18"/>
          <w:szCs w:val="18"/>
          <w:color w:val="auto"/>
        </w:rPr>
        <w:t>, MKO Melt™, and Simple Drops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We may choose to pursue trademark protection in other jurisdictions for any one or more of these or other marks in the future.</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(“HIPAA”); the Health Care Reform Law; statutes and regulations of the FDA, the U.S. Federal Trade Commission, the U.S. Drug Enforcement Administration and the U.S. Consumer Product Safety Commission, as well as regulations promulgated by comparable state agencies concerning the sale, advertisement and promotion of the products we sell. The regulatory and quality compliance environment for compounded drugs has become significantly more rigorous, complex and strict since the passage of The Drug Quality and Security Act of 2013. The complexity of the current state and federal regulatory environment, as well as the expected continued evolution of state and federal laws governing pharmaceutical compounding, have and will continue to present potentially significant challenges to our business model and the fulfillment of our mission as a company. Below are descriptions of some of the various federal and state laws and regulations which may govern or impact our current and planned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Regulation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Federal law limits compounding pharmacies from engaging in the practice of anticipatory compounding, which involves preparing compounded medications before the actual receipt of a prescription or practitioner’s order, unless the compounding pharmacy has a history of filling certain prescriptions for a customer. In such cases, it is acceptable to engage in anticipatory compounding or the preparation of larger batches so that medications will be ready when they are needed. Anticipatory compounding also reduces the cost of compounded medications, as economies of scale can be realized by producing larger batches. Anticipatory compounding also leads to less wasted chemicals, dilutions, fillers, and other associated products are produced, and greater accuracy and uniformity in finished medications, as larger batches decrease the variation caused by preparing multiple, smaller batches. Based on our history of meeting the needs of our customers, we are able to anticipatorily compound batches of our formulations for our customers, per the applicable regulations.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distribute interstate. The interpretation and enforcement of this provision is dependent on the FDA entering into a standard Memorandum of Understanding (“MOU”) with each state setting forth limits on shipments of interstate compounding.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FDA’s plan to release a revised MOU (the “Revised MOU”). Pursuant to the statements in the 2018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the Revised MOU is issued and presented to states to consider, the extent of interstate distribution restrictions imposed by Section 503A is unknown. However, the FDA has continued to state its position that it does not intend to enforce the 5% out of state distribution limit set forth in the law for compounders until a final MOU is made available for a state’s signature. The FDA has proposed a 180 day grace period for states to agree to the final MOU after the final version is presented, which to date has not occurred, before it would begin to enforce the 5% rule. If the final Revised MOU contains a 50% limit on interstate distribution, dependent on the additional reporting requirements to be outlined in the Revised MOU, our pharmacy operations could be materially limited.</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provisions of the FDCA govern the preparation, handling, storage, marketing and distribution of pharmaceutical products. The Drug Quality and Security Act of 2013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DQSA also contained new Section 503B of the FDCA, which established an outsourcing facility as a new form of entity that is permitted to compound larger quantities of drug formulations without a prescription, thus permitting the practice of anticipatory compounding, and distributing them out of state without limitation, if the drug formulations appear on the FDA’s drug shortage list or the bulk drug substances contained in the formulations appear on a “clinical need” list to be established by the FDA. In January 2017, the FDA issued an </w:t>
      </w:r>
      <w:r>
        <w:rPr>
          <w:rFonts w:ascii="Arial" w:cs="Arial" w:eastAsia="Arial" w:hAnsi="Arial"/>
          <w:sz w:val="17"/>
          <w:szCs w:val="17"/>
          <w:i w:val="1"/>
          <w:iCs w:val="1"/>
          <w:color w:val="auto"/>
        </w:rPr>
        <w:t>Interim Policy on Compounding Using Bulk Drug Substances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Under Section 503B of the FFDCA </w:t>
      </w:r>
      <w:r>
        <w:rPr>
          <w:rFonts w:ascii="Arial" w:cs="Arial" w:eastAsia="Arial" w:hAnsi="Arial"/>
          <w:sz w:val="17"/>
          <w:szCs w:val="17"/>
          <w:color w:val="auto"/>
        </w:rPr>
        <w:t>(“Interim Policy”) that informs stakeholders about how the FDA intends to exercise its enforcement discretion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compounding with those substances on a “Category 1 list” while the agency compiles and evaluates its clinical needs list, as well as in March 2019 the FDA issued guidance for industry </w:t>
      </w:r>
      <w:r>
        <w:rPr>
          <w:rFonts w:ascii="Arial" w:cs="Arial" w:eastAsia="Arial" w:hAnsi="Arial"/>
          <w:sz w:val="17"/>
          <w:szCs w:val="17"/>
          <w:i w:val="1"/>
          <w:iCs w:val="1"/>
          <w:color w:val="auto"/>
        </w:rPr>
        <w:t>Evaluation of Bulk Substances Nominated for Use in Compounding Under Section 503B of the Federal Food, Drug and</w:t>
      </w:r>
      <w:r>
        <w:rPr>
          <w:rFonts w:ascii="Arial" w:cs="Arial" w:eastAsia="Arial" w:hAnsi="Arial"/>
          <w:sz w:val="17"/>
          <w:szCs w:val="17"/>
          <w:color w:val="auto"/>
        </w:rPr>
        <w:t xml:space="preserve"> </w:t>
      </w:r>
      <w:r>
        <w:rPr>
          <w:rFonts w:ascii="Arial" w:cs="Arial" w:eastAsia="Arial" w:hAnsi="Arial"/>
          <w:sz w:val="17"/>
          <w:szCs w:val="17"/>
          <w:i w:val="1"/>
          <w:iCs w:val="1"/>
          <w:color w:val="auto"/>
        </w:rPr>
        <w:t>Cosmetic Act</w:t>
      </w:r>
      <w:r>
        <w:rPr>
          <w:rFonts w:ascii="Arial" w:cs="Arial" w:eastAsia="Arial" w:hAnsi="Arial"/>
          <w:sz w:val="17"/>
          <w:szCs w:val="17"/>
          <w:color w:val="auto"/>
        </w:rPr>
        <w:t>, which further describes FDA’s policy for evaluating bulk drug substances nominated for use in compounding by outsourcing facilities.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voluntarily registering as outsourcing facilities are subject to cGMP requirements and regular FDA inspection, among other requirements. As described above, our current pharmacy operations in NJ are governed by Section 503A of the FDCA, and our NJ based outsourcing facility is governed by Section 503B of the FDCA.</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two recent California federal court decisions, </w:t>
      </w:r>
      <w:r>
        <w:rPr>
          <w:rFonts w:ascii="Arial" w:cs="Arial" w:eastAsia="Arial" w:hAnsi="Arial"/>
          <w:sz w:val="17"/>
          <w:szCs w:val="17"/>
          <w:i w:val="1"/>
          <w:iCs w:val="1"/>
          <w:color w:val="auto"/>
        </w:rPr>
        <w:t>Allergan USA, Inc. v. Prescribers Choice, Inc.</w:t>
      </w:r>
      <w:r>
        <w:rPr>
          <w:rFonts w:ascii="Arial" w:cs="Arial" w:eastAsia="Arial" w:hAnsi="Arial"/>
          <w:sz w:val="17"/>
          <w:szCs w:val="17"/>
          <w:color w:val="auto"/>
        </w:rPr>
        <w:t xml:space="preserve"> and </w:t>
      </w:r>
      <w:r>
        <w:rPr>
          <w:rFonts w:ascii="Arial" w:cs="Arial" w:eastAsia="Arial" w:hAnsi="Arial"/>
          <w:sz w:val="17"/>
          <w:szCs w:val="17"/>
          <w:i w:val="1"/>
          <w:iCs w:val="1"/>
          <w:color w:val="auto"/>
        </w:rPr>
        <w:t>Allergan USA, Inc. v. Imprimis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Inc., </w:t>
      </w:r>
      <w:r>
        <w:rPr>
          <w:rFonts w:ascii="Arial" w:cs="Arial" w:eastAsia="Arial" w:hAnsi="Arial"/>
          <w:sz w:val="17"/>
          <w:szCs w:val="17"/>
          <w:color w:val="auto"/>
        </w:rPr>
        <w:t>the Court made rulings which impact 503B and 503A facilities operating in and shipping to the state of California. In the</w:t>
      </w:r>
      <w:r>
        <w:rPr>
          <w:rFonts w:ascii="Arial" w:cs="Arial" w:eastAsia="Arial" w:hAnsi="Arial"/>
          <w:sz w:val="17"/>
          <w:szCs w:val="17"/>
          <w:i w:val="1"/>
          <w:iCs w:val="1"/>
          <w:color w:val="auto"/>
        </w:rPr>
        <w:t xml:space="preserve"> Prescribers Choice </w:t>
      </w:r>
      <w:r>
        <w:rPr>
          <w:rFonts w:ascii="Arial" w:cs="Arial" w:eastAsia="Arial" w:hAnsi="Arial"/>
          <w:sz w:val="17"/>
          <w:szCs w:val="17"/>
          <w:color w:val="auto"/>
        </w:rPr>
        <w:t>case, the Court determined that while the FDA’s interim policies do not override the statutory obligations of the DQSA, the Court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supported the FDA’s authority and flexibility as it determines what clinical needs exist and finalizes the bulk drug substances list. The Court would not hold a party liable under California’s Sherman Food, Drug and Cosmetic Law (“Sherman Law”) for selling, delivering, or giving away any new drug that has not been approved by the California Department of Health Services or FDA if that party has complied with the FDA’s Interim Policy. In other words, it is not unlawful in California to utilize bulk drugs appearing on the Category 1 list while the FDA finalizes its clinical needs list. In the </w:t>
      </w:r>
      <w:r>
        <w:rPr>
          <w:rFonts w:ascii="Arial" w:cs="Arial" w:eastAsia="Arial" w:hAnsi="Arial"/>
          <w:sz w:val="17"/>
          <w:szCs w:val="17"/>
          <w:i w:val="1"/>
          <w:iCs w:val="1"/>
          <w:color w:val="auto"/>
        </w:rPr>
        <w:t>Imprimis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w:t>
      </w:r>
      <w:r>
        <w:rPr>
          <w:rFonts w:ascii="Arial" w:cs="Arial" w:eastAsia="Arial" w:hAnsi="Arial"/>
          <w:sz w:val="17"/>
          <w:szCs w:val="17"/>
          <w:color w:val="auto"/>
        </w:rPr>
        <w:t>case, the Court made clear that its rulings related to violations of California’s Unfair Competition Law (“UCL”) (Cal. Bus. Prof. Code</w:t>
      </w:r>
      <w:r>
        <w:rPr>
          <w:rFonts w:ascii="Arial" w:cs="Arial" w:eastAsia="Arial" w:hAnsi="Arial"/>
          <w:sz w:val="17"/>
          <w:szCs w:val="17"/>
          <w:i w:val="1"/>
          <w:iCs w:val="1"/>
          <w:color w:val="auto"/>
        </w:rPr>
        <w:t xml:space="preserve"> </w:t>
      </w:r>
      <w:r>
        <w:rPr>
          <w:rFonts w:ascii="Arial" w:cs="Arial" w:eastAsia="Arial" w:hAnsi="Arial"/>
          <w:sz w:val="17"/>
          <w:szCs w:val="17"/>
          <w:color w:val="auto"/>
        </w:rPr>
        <w:t>§17200) were limited in geographical scope to drugs prepared in, dispensed from within or shipped to the State of California. With respect to 503A facilities, the Court followed FDA’s guidance allowing compounding pharmacies to ship more than 5% of its medications out of state while finalizing the MOUs. It further held that 503A facilities operating within or shipping into the state of California must follow statutory guidance found in 21 U.S.C. 353(a). With respect to the statutory guidance related to compounding in response to valid prescription orders, the Court added a requirement that the valid prescription order must contain language that “an FDA-approved drug is not medically appropriate.” The practical effect of these two rulings is that 503A and 503B facilities operating within or shipping drugs into the State of California now have clear guidance as to what is, and is not, lawful behavior with respect the California’s UCL and Sherman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Confidentiality, Privacy and HIPAA</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and certain other countries have enacted privacy and security laws that protect identifiable patient information that is not health-related. For example, California recently enacted the California Consumer Privacy Act, or CCPA, that creates new individual privacy rights for consumers and places increased privacy and security obligations on entities handling personal data of consumers or households. Effective January 1, 2020, the CCPA gives California residents expanded privacy rights and protections, and provides civil penalties for violations and a private right of action for data breaches. The CCPA will likely impact our business activities and exemplifies the vulnerability of our business to not only cyber threats but also the evolving regulatory environment related to personal data and protected health information. Other countries also have, or are developing, laws governing the collection, use and transmission of personal information, such as the General Data Protection Regulation (“GDPR”) in the European Union (the “EU”) that became effective in May 2018 and the Personal Information Protection and Electronic Documents Act that became effective in Canada in April 2000.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Medicaid Reimbursement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Medicare is a federally funded program that provides health insurance coverage for qualified persons age 65 or older and for some disabled persons with certain specific conditions. State-funded Medicaid programs provide medical benefits to groups of low-income and disabled individuals, some of whom may have inadequate or no medical insurance. Currently, most of our compounded formulations are sold in cash transactions and the customers decide whether or not to seek reimbursement opportunities from Medicare, Medicaid and other third parties.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In February 2020, we applied to CMS for transitional pass-through payment status for one of our compounded formulations, and may apply for transitional-pass through payment status of an additional compounded formulation later this year,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Care Reform Law may have a considerable impact on the existing U.S. system for the delivery and financing of health care and could conceivably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the extent we obtain third-party reimbursement for our compounded formulations, we may become subject to Medicare, Medicaid and other publicly financed health benefit plan regulations prohibiting kickbacks, beneficiary inducement and the submission of false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New Drug Application Process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discussed in other sections of this report, we are and may continue to, alone or with project partners, pursue FDA approval to market and sell one or more of our formulations through the FDA’s NDA process. 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pursue commercialization of our proprietary formulations in countries other than the United States,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Other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research and development expenses incurred in 2019 and 2018 primarily include expenses related to the development of intellectual property, researcher and investigator-initiated evaluations, and research and formulation development related primarily to our ophthalmic formulations and certain other assets, in addition to costs associated with our drug candidate development programs.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2019, we incurred $2,083,000 in research and development expenses, compared to $825,000 during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Beginning on January 1, 2019, the Company began evaluating performance of the Company based on operating segments. Segment performance for its two operating segments will be based on segment contribution. Our reportable segments consist of (i) our commercial stage pharmaceutical compounding business (Pharmaceutical Compounding), generally including the operations of our ImprimisRx business; and (ii) our start-up operations associated with pharmaceutical drug development business (Pharmaceutical Drug Development). Segment contribution for our segments represents net revenues less cost of sales, research and development, selling and marketing expenses, and select general and administrative expenses. The Company does not evaluate the following items at the segment level:</w:t>
      </w:r>
    </w:p>
    <w:p>
      <w:pPr>
        <w:spacing w:after="0" w:line="178" w:lineRule="exact"/>
        <w:rPr>
          <w:sz w:val="20"/>
          <w:szCs w:val="20"/>
          <w:color w:val="auto"/>
        </w:rPr>
      </w:pPr>
    </w:p>
    <w:p>
      <w:pPr>
        <w:ind w:left="1300" w:right="2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general and administrative expenses that result from shared infrastructure, including certain expenses associated with legal matters, our board of directors and principal executive officers, investor relations and other like shared expenses.</w:t>
      </w:r>
    </w:p>
    <w:p>
      <w:pPr>
        <w:spacing w:after="0" w:line="170" w:lineRule="exact"/>
        <w:rPr>
          <w:rFonts w:ascii="Arial" w:cs="Arial" w:eastAsia="Arial" w:hAnsi="Arial"/>
          <w:sz w:val="18"/>
          <w:szCs w:val="18"/>
          <w:color w:val="auto"/>
        </w:rPr>
      </w:pPr>
    </w:p>
    <w:p>
      <w:pPr>
        <w:ind w:left="1300" w:hanging="320"/>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defines segment net revenues as pharmaceutical compounded drug sales, revenues from licenses and other revenue derived from related agreements.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18 to our consolidated financial statements included in this Annual Report for more information about our reportable segments.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March 6, 2020, we employed 133 employees. Our employees are engaged in pharmacy operations, sales, marketing, research, development, and general and administrative functions. We expect to add additional employees in all departmental functions as we carry out our business plan in the next 12 months. We are not party to any collective bargaining agreements with any of our employees. We have never experienced a work stoppage, and we believe our employee relations are good. We hire independent contractor labor and consultants on an as-needed basis.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summer of 2019, we relocated our executive office previously based in San Diego, California to its current location at 102 Woodmont Blvd., Suite 610, Nashville, Tennessee and our telephone number at such office is (615) 733-4730. Our website address is harrowinc.com. Information contained on our website is not deemed part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Until 2018, we incurred losses in every year of our operations, and we may not be profitable in the future.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Until 2018, we incurred losses in every year of our operations. As of December 31, 2019, our accumulated deficit was $(74,043,000). Our current projections indicate that we will have operating income and/or net income during 2020;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sell our proprietary formulations primarily through pharmaceutical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two compounding facilities in New Jersey. We may plan to expand our pharmacy operations and personnel and developing our facilities into a unified group compounding pharmacy facilities. We have developed “ImprimisRx” as a uniform brand for our compounding facilities and ophthalmology focused pharmaceutical compounding business. We have limited experience acquiring, building or operating compounding pharmacies or other prescription dispensing facilities or commercializing our formulations through ownership of or licensing arrangements with pharmacies. In addition, as we have in the past, we have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7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relation to expansion efforts;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achieve or maintain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August 2017, the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been in communication with the FDA and are taking steps to address the items outlined in the FDA letter. In June 2019, our outsourcing facility was issued a warning letter related to an April 2017 inspection and our use of certain active pharmaceutical ingredients in our compounded medications. We responded to the warning letter in July 2019. We will continue to work with the FDA to assure that all allegations in the warning letters have been addressed. We believe, to date, we have addressed all of the material items of concern in the FDA’s warning letters and those related to the MedWatch notification (and any other requirements observed by FDA and noted to us), and we do not believe there will be any further action taken by FDA in these matters. Nonetheless, these items increased further scrutiny and negative publicity on us as a company. At times, we have become aware of negative views of regulators related to certain formulations, and as a result discontinued compounding certain drug formulations in an attempt help mitigate potential regulatory risk. As a result of the MedWatch notice, warning letters and other regulatory notifications, some physicians may be hesitant to prescribe and some patients may be hesitant to purchase and use non-FDA approved compounded formulations, particularly when an FDA-approved potential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w:t>
      </w:r>
    </w:p>
    <w:p>
      <w:pPr>
        <w:sectPr>
          <w:pgSz w:w="11900" w:h="16887" w:orient="portrait"/>
          <w:cols w:equalWidth="0" w:num="1">
            <w:col w:w="11240"/>
          </w:cols>
          <w:pgMar w:left="320" w:top="665" w:right="339" w:bottom="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one of our pharmacies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one of our pharmacies, or with which we may partner is found not to comply with state pharmacy and controlled substance laws and regulations, the pharmacy could be required to cease operations or become subject to burdensome restrictions and limitations on its business. For example, in March 2018, the California Board of Pharmacy filed an accusation against our subsidiary Park related to a compounded formulation we believe was legally dispensed and was, without our knowledge, inappropriately administered to a patient unknown to us, by the prescribing healthcare professionals. While we dispute all claims against Park, we did enter into a settlement agreement with the California Board of Pharmacy and surrendered Park’s pharmacy license and ceased its sterile compounding operations. We have transferred approximately half of Park’s business to our New Jersey based pharmacy. Although we distribute our proprietary formulations through other compounding pharmacies, and not solely through Park, the loss of Park’s ability to compound sterile formulations could have an adverse impact on our ability to implement our business plan in a timely manner.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Further, under federal law, Section 503A of the FDCA seeks to limit the amount of compounded products that a pharmacy can dispense interstate. The interpretation and enforcement of this provision is dependent on the FDA entering into a standard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the Revised MOU. Pursuant to the statements in the 2018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 Additionally, the permanent injunction entered on July 22, 2019, by the United States District Court of the Central District of California in the Allergan litigation (also referenced in Item. 3 Legal Proceedings), enjoins the Company from engaging in activities that are inconsistent with current FDA guidelines for 503A and 503B operations. While the Company believes its operations fully comply with the injunction, if the Court were to find the Company to be in violation of the injunction, further sanctions including fines and limitations on the pharmacies’ operations could occur.</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are many competitive risks related to marketing and selling our proprietary formulations and operating our compounding pharmacy business.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Care Reform Law may have a considerable impact on the existing U.S. system for the delivery and financing of health care and could conceivably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and corporate development opportunities since 2014,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 with SWK Funding LLC (“SWK”)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$59,000,000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For example, the CCPA became effective on January 1, 2020 and gave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clinical trials data, and HIPAA-protected health information, the law may increase our compliance costs and potential liability with respect to other personal information we collect about California residents. The CCPA has prompted a number of proposals for new federal and state privacy legislation. Other countries also have, or are developing, laws governing the collection, use and transmission of personal information, such as the GDPR in the EU that became effective in May 2018 and the Personal Information Protection and Electronic Documents Act that became effective in Canada in April 2000. We anticipate that over time we may expand our business to include operations outside of the United States. With such expansion, we would be subject to increased governmental regulation in the EU countries in which we might operate, including the GDPR. These laws and similar laws adopted in the future could increase our potential liability, increase our compliance costs and adversely affect our business.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such as drug candidates that we have royalty interests in that are being developed by Radley, Mayfield, Melt, and Surface, we may be unable to demonstrate the necessary safety and efficacy to obtain such FDA approval.</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In 2018 and 2019, and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drug candidates are in the early stages of clinical development. We do not generate revenues from any FDA approved drug products. We expect to submit an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any required regulatory approvals for our drug candidates, we will not be able to commercialize our drug candidate and our ability to generate revenue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(the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ind w:firstLine="648"/>
        <w:spacing w:after="0" w:line="291" w:lineRule="auto"/>
        <w:rPr>
          <w:sz w:val="20"/>
          <w:szCs w:val="20"/>
          <w:color w:val="auto"/>
        </w:rPr>
      </w:pPr>
      <w:r>
        <w:rPr>
          <w:rFonts w:ascii="Arial" w:cs="Arial" w:eastAsia="Arial" w:hAnsi="Arial"/>
          <w:sz w:val="16"/>
          <w:szCs w:val="16"/>
          <w:color w:val="auto"/>
        </w:rPr>
        <w:t>Excluding any activities through our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willingness of patients to pay out-of-pocket in the absence of third-party coverage or reimbursement or government pricing approvals.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firstLine="648"/>
        <w:spacing w:after="0" w:line="286" w:lineRule="auto"/>
        <w:rPr>
          <w:sz w:val="20"/>
          <w:szCs w:val="20"/>
          <w:color w:val="auto"/>
        </w:rPr>
      </w:pPr>
      <w:r>
        <w:rPr>
          <w:rFonts w:ascii="Arial" w:cs="Arial" w:eastAsia="Arial" w:hAnsi="Arial"/>
          <w:sz w:val="17"/>
          <w:szCs w:val="17"/>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4"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United States, the Medicare Modernization Act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NDAs for drugs containing the original active agent. Even if our drug candidates are considered to be reference products eligible for three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spacing w:after="0" w:line="311" w:lineRule="auto"/>
        <w:rPr>
          <w:sz w:val="20"/>
          <w:szCs w:val="20"/>
          <w:color w:val="auto"/>
        </w:rPr>
      </w:pPr>
      <w:r>
        <w:rPr>
          <w:rFonts w:ascii="Arial" w:cs="Arial" w:eastAsia="Arial" w:hAnsi="Arial"/>
          <w:sz w:val="16"/>
          <w:szCs w:val="16"/>
          <w:b w:val="1"/>
          <w:bCs w:val="1"/>
          <w:i w:val="1"/>
          <w:iCs w:val="1"/>
          <w:color w:val="auto"/>
        </w:rPr>
        <w:t>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4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existing and potential products. Any business interruptions resulting from geopolitical actions, including war and terrorism, adverse public health developments such as the outbreak of the COVID-19 coronavirus, or natural disasters including earthquakes, typhoons, floods and fires, could effect our supply chain.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ind w:firstLine="648"/>
        <w:spacing w:after="0" w:line="272" w:lineRule="auto"/>
        <w:rPr>
          <w:sz w:val="20"/>
          <w:szCs w:val="20"/>
          <w:color w:val="auto"/>
        </w:rPr>
      </w:pPr>
      <w:r>
        <w:rPr>
          <w:rFonts w:ascii="Arial" w:cs="Arial" w:eastAsia="Arial" w:hAnsi="Arial"/>
          <w:sz w:val="17"/>
          <w:szCs w:val="17"/>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1360" w:hanging="677"/>
        <w:spacing w:after="0"/>
        <w:tabs>
          <w:tab w:leader="none" w:pos="1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FDA or a comparable foreign regulatory authority failing to grant permission to proceed and placing the clinical study on hold;</w:t>
      </w:r>
    </w:p>
    <w:p>
      <w:pPr>
        <w:spacing w:after="0" w:line="236" w:lineRule="exact"/>
        <w:rPr>
          <w:rFonts w:ascii="Arial" w:cs="Arial" w:eastAsia="Arial" w:hAnsi="Arial"/>
          <w:sz w:val="17"/>
          <w:szCs w:val="17"/>
          <w:color w:val="auto"/>
        </w:rPr>
      </w:pPr>
    </w:p>
    <w:p>
      <w:pPr>
        <w:ind w:left="1360" w:hanging="677"/>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ind w:left="1360" w:hanging="677"/>
        <w:spacing w:after="0" w:line="263"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3" w:lineRule="exact"/>
        <w:rPr>
          <w:rFonts w:ascii="Arial" w:cs="Arial" w:eastAsia="Arial" w:hAnsi="Arial"/>
          <w:sz w:val="18"/>
          <w:szCs w:val="18"/>
          <w:color w:val="auto"/>
        </w:rPr>
      </w:pPr>
    </w:p>
    <w:p>
      <w:pPr>
        <w:ind w:left="1360" w:hanging="677"/>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1360" w:right="20" w:hanging="677"/>
        <w:spacing w:after="0" w:line="277"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1360" w:hanging="677"/>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1360" w:hanging="677"/>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1360" w:right="20" w:hanging="677"/>
        <w:spacing w:after="0" w:line="263"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3" w:lineRule="exact"/>
        <w:rPr>
          <w:rFonts w:ascii="Arial" w:cs="Arial" w:eastAsia="Arial" w:hAnsi="Arial"/>
          <w:sz w:val="18"/>
          <w:szCs w:val="18"/>
          <w:color w:val="auto"/>
        </w:rPr>
      </w:pPr>
    </w:p>
    <w:p>
      <w:pPr>
        <w:jc w:val="both"/>
        <w:ind w:left="1360" w:hanging="677"/>
        <w:spacing w:after="0" w:line="286" w:lineRule="auto"/>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65" w:lineRule="exact"/>
        <w:rPr>
          <w:rFonts w:ascii="Arial" w:cs="Arial" w:eastAsia="Arial" w:hAnsi="Arial"/>
          <w:sz w:val="17"/>
          <w:szCs w:val="17"/>
          <w:color w:val="auto"/>
        </w:rPr>
      </w:pPr>
    </w:p>
    <w:p>
      <w:pPr>
        <w:jc w:val="both"/>
        <w:ind w:left="1360" w:hanging="677"/>
        <w:spacing w:after="0" w:line="286" w:lineRule="auto"/>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65" w:lineRule="exact"/>
        <w:rPr>
          <w:rFonts w:ascii="Arial" w:cs="Arial" w:eastAsia="Arial" w:hAnsi="Arial"/>
          <w:sz w:val="17"/>
          <w:szCs w:val="17"/>
          <w:color w:val="auto"/>
        </w:rPr>
      </w:pPr>
    </w:p>
    <w:p>
      <w:pPr>
        <w:jc w:val="both"/>
        <w:ind w:left="1360" w:right="20" w:hanging="677"/>
        <w:spacing w:after="0" w:line="311" w:lineRule="auto"/>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48" w:lineRule="exact"/>
        <w:rPr>
          <w:rFonts w:ascii="Arial" w:cs="Arial" w:eastAsia="Arial" w:hAnsi="Arial"/>
          <w:sz w:val="16"/>
          <w:szCs w:val="16"/>
          <w:color w:val="auto"/>
        </w:rPr>
      </w:pPr>
    </w:p>
    <w:p>
      <w:pPr>
        <w:ind w:left="1360" w:hanging="677"/>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1360" w:hanging="677"/>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1360" w:hanging="677"/>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1360" w:hanging="677"/>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auto"/>
        </w:rPr>
        <w:t>We are dependent on our Chief Executive Officer, Mark L. Baum, and other key persons for the continued growth and development of our Company.</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the President of ImprimisRx, John P. Saharek.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 In addition, any staffing interruptions resulting from geopolitical actions, including war and terrorism, adverse public health developments such as the outbreak of the COVID-19 novel coronavirus, or natural disasters including earthquakes, typhoons, floods and fires, could have a material adverse effect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discussed in Item 9A of this Annual Report, our management concluded that our internal controls over financial reporting were effective as of December 31, 2019.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Any payment of dividends on our common stock would depend on contractual restrictions, such as those contained in our SWK loan agreement,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lease approximately 10,200 square feet of office space in San Diego, California, the current lease term for which expires on December 31, 2021 and includes an option to extend the lease through December 31, 2026. This office generally supports the sales, general and administrative functions of ImprimisRx.</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lease approximately 25,000 square feet of lab, warehouse and office space in Ledgewood, New Jersey, in two separate suites. The current lease term expires on July 31, 2024 and includes options to extend the lease term through 2034. This space serves as an outsourcing facility and pharmacy for ImprimisRx.</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4,500 square feet of lab and office space in Irvine, California. The current lease term expires on December 31, 2020. This space is currently vacant and we expect to sublease it during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5,500 square feet of office space in Nashville, Tennessee. The current lease term expires on December 31, 2024 and includes options to extend the lease term through 2034. This office serves as our corporate headquarters.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additional space will be required in the near-term.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the Company’s alleged transmittal of advertisements to its clients via facsimile. The Court approved the parties’ proposed settlement agreement in the spring of 2019. During the year ended December 31, 2018, the Company accrued $640,000 for expected damages related to this matter and the proposed settlement amount. As a result of the low claim rate of approximately 1.4%, the Company’s total damages were $571,000, which was paid in October 2019. This formally resolved all known disputes between the parties.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September 2017, Allergan USA, Inc. (“Allergan”) filed a lawsuit in the U.S. District Court for the Central District of California against the Company, primarily claiming violations under the federal Lanham Act and California’s Sherman Act. The Court granted in part and denied in part each parties’ motions for summary judgement, resolving all issues except for whether Allergan was entitled to damages related to the Company’s purported Lanham Act violations. The parties went to trial in May 2019 to litigate damages related to the Lanham Act, and a jury found the Company liable for only $48,500 in lost profit damages, which was accrued as an expense during the period ended December 31, 2019. In July 2019, the Court entered a permanent injunction, the scope of which is limited to compounded drugs prepared in, dispensed from within, or shipped to the state of California. The injunction requires the Company to: (1) only dispense drugs from a 503(a) facility with a “Valid Prescription Order”; (2) abide by the FDA’s anticipatory compounding guidelines; and (3) only use bulk drug substances identified on a list established by the Secretary of Health and Human Services or FDA’s interim “Category 1” list. The Company believes it was already in compliance with the order, prior to the injunction being ordered. On October 2, 2019, Allergan and the Company filed a joint stipulation to voluntarily dismiss each parties’ respective pending appeals arising out of the lawsuit. No economic consideration was exchanged between the parties related to the filing of the joint stipulation. This formally resolved all known disputes between the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2018, the California Board of Pharmacy filed an accusation against Park related to a compounded formulation the Company believes was legally dispensed and was, without its knowledge, inappropriately administered to a patient unknown to Park, by the prescribing healthcare professional. Park filed a response to the accusation and requested a formal hearing. In April 2019, Park agreed to, and the California State Board of Pharmacy approved terms of a settlement agreement (the “Settlement Agreement”) that became effective on May 29, 2019. Pursuant to the terms of the Settlement Agreement, Park was required to, and did, surrender its California pharmacy license by August 27, 2019. This formally resolved all known disputes between the parties.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post-termination obligations to be litigated. NDS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seeks indemnity and contribution from the Company and Spectrum. The Company answered the claims filed by Dr. Kelly in October 2018. The case is currently in the discovery phase. Erick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Anna Sue Gaukel et al.</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June 2019, Anna Sue Gaukel and Lawrence Gaukel served the Company with a lawsuit filed in state court in Idaho against Imprimis Pharmaceuticals, Inc. asserting class action allegations and product liability claims related to Mrs. Gaukel’s doctor’s use of a compounded drug injection in each of her eyes. In June 2019, the Company removed the case to Federal Court and subsequently answered the complaint. On January 24, 2020, the plaintiffs and the Company filed a joint stipulation, and the case was dismissed with prejudice. No economic consideration was exchanged between the parties related to the filing of the joint stipulation. This formally resolved all known disputes between the parties as connected to this matter.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281"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“HROW”.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6, 2020, there were approximately 103 stockholders of record (excluding an indeterminable number of stockholders whose shares are held in street or “nominee” name)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not paid any dividends on our common stock since our inception and do not expect to pay dividends on our common stock in the foreseeable future. Further, our SWK loan agreement, described in Note 12 to our consolidated financial statements included in this Annual Report, restricts our ability to pay cash dividends on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equity securities during the period covered by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the related notes contained in this annual report on Form 10-K (Annual Report). Our consolidated financial statements have been prepared and, unless otherwise stated, the information derived therefrom as presented in this discussion and analysis is presented, in accordance with accounting principles generally accepted in the United States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As used in this discussion and analysis, unless the context indicates otherwise, the terms the “Company”, “Harrow” “we”, “us” and “our” refer to Harrow Health, Inc. and its consolidated subsidiaries, consisting of Park Compounding, Inc., Imprimis Rx NJ, LLC, Imprimis NJOF, LLC, ImprimisRx, LLC, Radley Pharmaceuticals, Inc., Stowe Pharmaceuticals, Inc. and Mayfield Pharmaceuticals,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business specializes in the development, production and sale of innovative medications that offer unique competitive advantages and serve unmet needs in the marketplace through our subsidiaries and deconsolidated companies. We own one of the nation’s leading ophthalmology pharmaceutical businesses, ImprimisRx. In addition to wholly owning ImprimisRx, we also have equity positions in Eton Pharmaceuticals, Inc. (“Eton”), Surface Pharmaceuticals, Inc. (“Surface”), and Melt Pharmaceuticals, Inc. (“Melt”), all companies that began as subsidiaries of Harrow. More recently, we founded drug development subsidiaries Mayfield Pharmaceuticals, Inc. (“Mayfield”), Radley Pharmaceuticals, Inc. (“Radley”), and Stowe Pharmaceuticals, Inc. (“Stowe”). During 2020, we intend to launch a new business and subsidiary called Visionology. We also own royalty rights in various drug candidates being developed by Surface, Melt, Radley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ophthalmology focused pharmaceutical compounding business. We offer to over 7,000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U.S. Food and Drug Administration (“FDA”) guidance documents, in our FDA-registered NJOF outsourcing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Visionology is expected to be an online eye health platform, trusted by both physicians and patients. In addition to allowing physicians to communicate with pharmacists, and patients to communicate with physicians, it will offer a variety of high quality, affordable, chronic care ophthalmic pharmaceutical products using a state of the art proprietary IT platform. We expect to launch a proof-of-concept model for Visionology in the first half of 2020 within a certain region of the U.S., and if successful, expand the launch on a nationwide basis later in 2020 and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more of our facilities to further their capacity and efficiencies. Also, we may seek to access greater pharmacy and production related redundancy and markets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ownership interests in Eton, Surface, Melt, Mayfield, Stowe and Radley and hold royalty interests in certain of their drug candidates.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In 2018 and 2019, we formed and created subsidiaries named Radley, Mayfield, and Stowe, which we intend to operate similar to Eton, Surface and Melt. In addition, we intend to create additional subsidiaries that will be focused on the development and FDA approval of certain proprietary drug formulations that we currently own, will in-license/acquire and/or otherwise develop.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Pharmaceuticals, Inc.</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Stowe is a consolidated subsidiary of Harrow that was formed in 2019, focused on the development of its proprietary ophthalmic drug candidate STE-006. STE-006 is a patented, new chemical entity, small molecule topical drug candidate intended to treat various bacterial, fungal, and viral infections in the eye. In initial preclinical models, STE-006 was shown to be significantly more effective compared to current conventional therapies against numerous bacterial and viral pathogens, including strains of methicillin-resistant staphylococcus aureus, or MRSA, and herpes simplex virus. STE-006 has several patents covering matter of composition, methods of production, methods of use and molecule, which are valid until 2038.</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own 2,500,000 shares of Stowe common stock, and control 70% of the equity and voting interests issued and outstanding of Stowe at December 31, 2019. We recently agreed to terms with an experienced, ophthalmology focused life science executive to be the CEO of Stowe which would be become effective following a deconsolidating transaction, which we are currently pursuing.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Mayfield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Mayfield, a consolidated subsidiary of Harrow, is a development-stage pharmaceutical company focused on consequential products that address the conspicuous unmet needs of patients. Its development programs focus on using known molecules in dosage forms for new indications, and by developing new chemical entities with known mechanisms of action. Mayfield recently licensed worldwide rights to a first-in-class antimicrobial drug candidate, called MAY-66, which is being studied to treat recurrent bacterial vaginosis. In February 2019, Mayfield acquired drug formulation assets and intellectual property, including three recently issued patents, for MAY-44, a drug candidate for the treatment of dyspareunia, or pain experienced by women during sexual intercourse. In addition to MAY-44, Mayfield is also developing MAY-88 for patients suffering from interstitial cystitis, which it will acquire from Harrow at the closing of a deconsolidating transaction.</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own 2,500,000 shares of Mayfield common stock, and control 70% of the equity and voting interests issued and outstanding of Mayfield at December 31, 2019. We are currently pursuing a deconsolidating transaction for Mayfield. Once deconsolidated, we expect Mayfield to be run by an experienced life science executive, that we have recently contracted with.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Radley Pharmaceuticals,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Radley, a consolidated subsidiary of Harrow, is a development-stage pharmaceutical company focused on the development of proprietary 505(b)</w:t>
      </w:r>
    </w:p>
    <w:p>
      <w:pPr>
        <w:spacing w:after="0" w:line="46" w:lineRule="exact"/>
        <w:rPr>
          <w:sz w:val="20"/>
          <w:szCs w:val="20"/>
          <w:color w:val="auto"/>
        </w:rPr>
      </w:pPr>
    </w:p>
    <w:p>
      <w:pPr>
        <w:jc w:val="both"/>
        <w:ind w:firstLine="8"/>
        <w:spacing w:after="0" w:line="288" w:lineRule="auto"/>
        <w:tabs>
          <w:tab w:leader="none" w:pos="2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drug candidates focused on rare diseases. Radley currently has three drug programs in its pipeline. During January 2020, and prior to initiating significant development activities and costs related to these drug programs, we met with the FDA to establish and understand the expected clinical and regulatory path to approval for Radley’s lead drug program. Conceptually, the FDA agreed with our clinical program design, and we are currently considering options related to the next steps of the drug candidates development. We are also pursuing investigator-initiated studies for some of Radley’s drug candidates with two well-known healthcare institutions based in the New York and Boston areas. We believe this approach will allow us to better understand and weigh the economic costs, clinical feasibility and potential benefits associated with pursuing development activities associated with these drug programs. Radley is also pursuing additional asset acquisition and licensing opportunities with a focus in oncology-related therapies.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De-Consolidated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Eton is a pharmaceutical company focused on developing and commercializing innovative products utilizing the FDA’s 505(b)(2) regulatory pathway. Its pipeline includes several products and drug candidates in various stages of development across a variety of dosage forms. Eton’s pipeline is focused on innovative 505(b)(2) products and obtaining FDA marketing approval for currently marketed but unapproved drugs.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2017, Eton closed an offering of its Series A Preferred Stock and we lost our controlling interest in it. In November 2018, Eton completed an initial public offering of its common stock. We own 3,500,000 shares of Eton common stock, which we estimate is less than 20% of the equity and voting interests issued and outstanding of Eton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Harrow board member and Surface’s chairman of the board, renowned ophthalmologist Dr. Richard Lindstrom. Klarity is designed to protect and rehabilitate the ocular surface pathology for patients with dry eye disease, or DED.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fourth quarter of 2019, Surface filed an investigational new drug application (“IND”) for its drug program SURF-201. SURF-201 is a novel steroid topical eye drop drug candidate for treating pain and inflammation post-ocular surgery. Surface expects to submit an IND for its lead drug candidate, SURF-100, during the first half of 2020, for treating signs and symptoms associated with chronic dry eye disease. We expect Surface to release certain clinical data related to these programs near the end of 2020 and beginning of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and July 2018, Surface closed on an offering of its Series A Preferred Stock. At that time, we lost our controlling interest and deconsolidated Surface from our consolidated financial statements. We own 3,500,000 shares of Surface which we estimate is approximately 30% of the equity and voting interests as of December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Melt is a development-stage pharmaceutical company focused on the development and commercialization of proprietary non-intravenous, sedation and anesthesia therapeutics for human medical procedures in hospital, outpatient, and in-office settings. Melt intends to seek regulatory approval through the FDA’s 505(b)(2) regulatory pathway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 Pursuant to the terms of the Melt Asset Purchase Agreement, Melt is required to make royalty payments to the Company equal to five percent (5%) of net sales of MELT-100, while any patent rights remain outstanding, subject to other conditions.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MELT-100 is a novel, sublingually delivered, non-IV, opioid-free drug candidate being developed for procedural sedation. Melt is expecting to file an IND and begin its clinical program for MELT-100 in the summer of 2020, and if successful, begin enrollment for its Phase 3 studies for MELT-100 during 2021.</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January 2019, Melt closed an offering of its Series A Preferred Stock and we lost our controlling interest in it. We own 3,500,000 shares of Melt common stock, which we estimate is 44% of the equity and voting interests issued and outstanding of Melt as of December 31,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conceivably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third-payor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August 30, 2019, CMS issued an update to the Hospital Outpatient Prospective Payment System, with an effective date of October 1, 2019 (the “MLN Update”). The MLN Update included clarification on guidance for intraocular or periocular injections of combinations of anti-inflammatory drugs and antibiotics, including the family of Dropless® formulations made and sold by ImprimisRx. Specifically, the MLN Update stated that nothing in the current CMS policy is intended to preclude physicians or other professionals from discussing the potential benefits and drawbacks of Dropless Therapy® formulations with their patients, and to prescribe them if the patient so elects.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describes certain developments in 2019 to date that are important to understand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our consolidated financial statements included in this report for additional information about each of these developments.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 Pharmaceuticals Asset Purchase Agreement and Series A Round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more fully above under the sub-heading “Melt Pharmaceuticals, Inc.”, we entered into the Melt Asset Purchase Agreement with our previously wholly owned subsidiary, Melt. Following closing of the Melt Series A Round, in January 2019, we lost controlling interest in Melt. Pursuant to the terms of the Melt Asset Purchase Agreement, we assigned and licensed to Melt certain intellectual property and related rights to develop, formulate, make, sell, and sub-license its current drug candidate pipeline.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Mayfield Pharmaceuticals MAY-44 Asset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Mayfield and Harrow acquired the intellectual property associated with MAY-44 in January 2019 from Elle Pharmaceutical LLC in exchange for $25,000, with an additional $175,000 due upon third party financing of Mayfield, 1,000,000 shares of Mayfield common stock and a 7.5% royalty rate on sales of the product. In February 2020, Mayfield entered into a common stock purchase agreement with Elle to re-acquire 650,000 shares of Mayfield common stock from Elle for a total purchase price of $1,000.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SWK Refinance – May 2019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2019, we entered into a joinder and amendment (the “Amendment”) to our term loan and security agreement dated as of July 19, 2017 (the “SWK Loan”), with SWK Funding LLC and its partners (the “Lender”), as lender and collateral agent. A summary of the material changes contained in the Amendment are as follows:</w:t>
      </w:r>
    </w:p>
    <w:p>
      <w:pPr>
        <w:spacing w:after="0" w:line="184"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calculation that the loan bears is now equal to the three-month London Inter-Bank Offered Rate (subject to a minimum of 2.00%), plus an applicable margin of 10.00% (the “Margin Rate”) provided that, if, two days prior to a payment date, we provide the Lender evidence that we have achieved a leverage ratio as of such date of less than 4.00:1:00, the Margin Rate shall equal 9.00%; and if we have achieved a leverage ratio as of such date of less than 3.00:1:00, the Margin Rate shall equal 7.00%;</w:t>
      </w:r>
    </w:p>
    <w:p>
      <w:pPr>
        <w:spacing w:after="0" w:line="186"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Leverage ratio in the Amendment means, as of any date of determination, the ratio of: (a) indebtedness as of such date to (b) EBITDA (as defined in the SWK Loan), of us for the immediately preceding twelve (12) month period, adding-back (i) actual litigation expenses for the immediately preceding twelve (12) month period, minus (ii) actual litigation expenses for the immediately preceding three (3) month period multiplied by four</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21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May 14, 2020, permitting us to pay interest only on the principal amount loaned for the next four payments (payments are due on a quarterly basis) following the Amendment;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the satisfaction of certain revenue and market capitalization requirements and conditions, the Lender agreed to make available to us an additional principal amount of up to $5,000,000.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the terms described above, the Amendment joined our recently created subsidiaries to the SWK Loan and added definitions related to excluded subsidiaries that are not considered co-borrowers and are subsidiaries which we believe will eventually be deconsolidated from our financials and we will lose 50% or more of the equity interests of the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MAY-66 License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2019, Mayfield entered into a License Agreement (the “TGV License”) with TGV-Health, LLC and affiliated entities (collectively, “TGV”), to acquire intellectual property rights for use in the women’s health field, related to Mayfield’s proprietary drug candidate MAY-66. The TGV License provides that TGV will cooperate with Mayfield in transferring all embodiments of the intellectual property (including know-how) related to the TGV License, assist in obtaining and protecting its patent rights for the acquired intellectual property and that Mayfield will use commercially reasonable efforts to research, develop and commercialize products based on the acquired intellectual property. In connection with the TGV License, Mayfield is obligated to make royalty payments to TGV equal to a low single digit percentage of net sales received by Mayfield in connection with the sale or licensing of any product based on the licensed intellectual property. In addition, Mayfield issued 300,000 shares of its common stock to TGV and is required to make certain milestone payments to TGV over the development of MAY-66 and any related products based on the licensed intellectual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Stowe License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2019, Stowe entered into a License Agreement (the “Stowe License”) with TGV, to acquire intellectual property rights for use in the ophthalmology and optic health fields, related to Stowe’s proprietary drug candidate STE-006. The Stowe License provides that TGV will cooperate with Stowe in transferring all embodiments of the intellectual property (including know-how) related to the Stowe License, assist in obtaining and protecting its patent rights for the acquired intellectual property and that Stowe will use commercially reasonable efforts to research, develop and commercialize products based on the acquired intellectual property. In connection with the Stowe License, Stowe is obligated to make royalty payments to TGV equal to a low single digit percentage of net sales received by Stowe in connection with the sale or licensing of any product based on the licensed intellectual property. In addition, Stowe issued 1,750,000 shares of its common stock to TGV and is required to make certain milestone payments to TGV over the development of STE-006 and any related products based on the licensed intellectual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Restructuring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30, 2019, Park Compounding, Inc. (“Park”) a wholly owned subsidiary of Harrow Health, Inc., and Noice Rx, LLC (“Noice”) terminated the Asset Purchase Agreement, dated July 26, 2019 (the “Purchase Agreement”), between the parties. Under the terms of the Purchase Agreement, Park had agreed to sell substantially all its assets associated with its non-ophthalmology pharmaceutical compounding business to Noice, including its pharmacy facility and equipment located in Irvine, California. The closing of the sale transaction was dependent on the California State Board of Pharmacy approving of the sale and issuing a temporary pharmacy and sterile license permit to Noice, which did not occur and led to Park ceasing operations at the close of business on August 27,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ind w:firstLine="648"/>
        <w:spacing w:after="0" w:line="273" w:lineRule="auto"/>
        <w:rPr>
          <w:sz w:val="20"/>
          <w:szCs w:val="20"/>
          <w:color w:val="auto"/>
        </w:rPr>
      </w:pPr>
      <w:r>
        <w:rPr>
          <w:rFonts w:ascii="Arial" w:cs="Arial" w:eastAsia="Arial" w:hAnsi="Arial"/>
          <w:sz w:val="17"/>
          <w:szCs w:val="17"/>
          <w:color w:val="auto"/>
        </w:rPr>
        <w:t>Following closure of the Park pharmacy, the Company elected to restructure the Park business and facilitate the transition of certain compounded formulations and related equipment from Park to the Company’s New Jersey-based compounded pharmaceutical production facilities (the “Park Restructuring”). As a result of the Park Restructuring, the Company incurred non-cash impairment costs of approximately $3,781,000 related to assets held at Park, primarily associated with property, plant, equipment, goodwill and other intangible assets and, in addition, to incur approximately $480,000 in one-time costs related to severance packages and other costs associated with the Park Restructuring, during the year ended December 31, 2019. Since the Park Restructuring, all compounding business has been consolidated into the Company’s ImprimisRx business.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reduced the Park compounded product formulary to seven base formulations, based on factors including unit order volumes, revenues and gross margin percentages. During the first quarter of 2020, we believe ImprimisRx was able to retain and re-acquire approximately half of Park’s historical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and non-proprietary pharmaceutical compounded drug formulations and revenues received from royalty and milestone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years ended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 ended</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6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6"/>
        </w:trPr>
        <w:tc>
          <w:tcPr>
            <w:tcW w:w="6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6080" w:type="dxa"/>
            <w:vAlign w:val="bottom"/>
            <w:tcBorders>
              <w:top w:val="single" w:sz="8" w:color="CCEEFF"/>
            </w:tcBorders>
            <w:shd w:val="clear" w:color="auto" w:fill="CCEEFF"/>
          </w:tcPr>
          <w:p>
            <w:pPr>
              <w:jc w:val="right"/>
              <w:ind w:right="4630"/>
              <w:spacing w:after="0"/>
              <w:rPr>
                <w:sz w:val="20"/>
                <w:szCs w:val="20"/>
                <w:color w:val="auto"/>
              </w:rPr>
            </w:pPr>
            <w:r>
              <w:rPr>
                <w:rFonts w:ascii="Arial" w:cs="Arial" w:eastAsia="Arial" w:hAnsi="Arial"/>
                <w:sz w:val="18"/>
                <w:szCs w:val="18"/>
                <w:b w:val="1"/>
                <w:bCs w:val="1"/>
                <w:color w:val="auto"/>
                <w:w w:val="86"/>
              </w:rPr>
              <w:t>Product sales, net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51,137,000</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41,334,000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080" w:type="dxa"/>
            <w:vAlign w:val="bottom"/>
          </w:tcPr>
          <w:p>
            <w:pPr>
              <w:jc w:val="right"/>
              <w:ind w:right="4690"/>
              <w:spacing w:after="0"/>
              <w:rPr>
                <w:sz w:val="20"/>
                <w:szCs w:val="20"/>
                <w:color w:val="auto"/>
              </w:rPr>
            </w:pPr>
            <w:r>
              <w:rPr>
                <w:rFonts w:ascii="Arial" w:cs="Arial" w:eastAsia="Arial" w:hAnsi="Arial"/>
                <w:sz w:val="18"/>
                <w:szCs w:val="18"/>
                <w:b w:val="1"/>
                <w:bCs w:val="1"/>
                <w:color w:val="auto"/>
                <w:w w:val="84"/>
              </w:rPr>
              <w:t>License revenues</w:t>
            </w:r>
          </w:p>
        </w:tc>
        <w:tc>
          <w:tcPr>
            <w:tcW w:w="3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28,000</w:t>
            </w:r>
          </w:p>
        </w:tc>
        <w:tc>
          <w:tcPr>
            <w:tcW w:w="56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38,000</w:t>
            </w:r>
          </w:p>
        </w:tc>
        <w:tc>
          <w:tcPr>
            <w:tcW w:w="2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30"/>
        </w:trPr>
        <w:tc>
          <w:tcPr>
            <w:tcW w:w="6080" w:type="dxa"/>
            <w:vAlign w:val="bottom"/>
            <w:tcBorders>
              <w:top w:val="single" w:sz="8" w:color="CCEEFF"/>
              <w:bottom w:val="single" w:sz="8" w:color="CCEEFF"/>
            </w:tcBorders>
            <w:shd w:val="clear" w:color="auto" w:fill="CCEEFF"/>
          </w:tcPr>
          <w:p>
            <w:pPr>
              <w:jc w:val="right"/>
              <w:ind w:right="469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51,165,000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41,372,000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increase in revenue between periods was largely attributable to increased sales of our proprietary formulations and furtherance of our ophthalmology related compounded formulations. Our gross ophthalmology related sales were approximately $47,692,000 for the year ended December 31, 2019, compared to $34,135,000 in 2018. Net revenues generated from our New Jersey based outsourcing facility (“NJOF”) (which include certain ophthalmology related sales) totaled $33,240,000 for the year ended December 31, 2019, compared to $22,490,000 in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years ended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6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For the year ended</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26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37"/>
        </w:trPr>
        <w:tc>
          <w:tcPr>
            <w:tcW w:w="4580" w:type="dxa"/>
            <w:vAlign w:val="bottom"/>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Variance</w:t>
            </w:r>
          </w:p>
        </w:tc>
      </w:tr>
      <w:tr>
        <w:trPr>
          <w:trHeight w:val="22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16,749,000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16,521,000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9"/>
              </w:rPr>
              <w:t>228,000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 sales of our formulations and products and our associated costs of such sales.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4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For the year ended</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4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c>
          <w:tcPr>
            <w:tcW w:w="11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Variance</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34,416,000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24,851,000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9,565,000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128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67.3</w:t>
            </w:r>
          </w:p>
        </w:tc>
        <w:tc>
          <w:tcPr>
            <w:tcW w:w="3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60.1</w:t>
            </w: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w:t>
            </w:r>
          </w:p>
        </w:tc>
        <w:tc>
          <w:tcPr>
            <w:tcW w:w="18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0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44" w:name="page45"/>
    <w:bookmarkEnd w:id="44"/>
    <w:p>
      <w:pPr>
        <w:jc w:val="both"/>
        <w:ind w:firstLine="648"/>
        <w:spacing w:after="0" w:line="263" w:lineRule="auto"/>
        <w:rPr>
          <w:sz w:val="20"/>
          <w:szCs w:val="20"/>
          <w:color w:val="auto"/>
        </w:rPr>
      </w:pPr>
      <w:r>
        <w:rPr>
          <w:rFonts w:ascii="Arial" w:cs="Arial" w:eastAsia="Arial" w:hAnsi="Arial"/>
          <w:sz w:val="18"/>
          <w:szCs w:val="18"/>
          <w:color w:val="auto"/>
        </w:rPr>
        <w:t>The increase in gross profit and gross margin between periods is largely attributable to increased efficiencies in our production process and increased utilization of capacities as a result of increased output, in particular, at NJOF and increased per unit sales prices. We estimate gross margins at NJOF were greater than 70% during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year ended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5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For the year ended</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25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36"/>
        </w:trPr>
        <w:tc>
          <w:tcPr>
            <w:tcW w:w="4580" w:type="dxa"/>
            <w:vAlign w:val="bottom"/>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Variance</w:t>
            </w:r>
          </w:p>
        </w:tc>
      </w:tr>
      <w:tr>
        <w:trPr>
          <w:trHeight w:val="23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33,096,000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29,243,000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3,853,000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general and administrative expenses between periods was largely attributable to increased sales commission amounts and costs related to the operations of Mayfield, Radley and Stowe.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years ended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For the year ended</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36"/>
        </w:trPr>
        <w:tc>
          <w:tcPr>
            <w:tcW w:w="4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Variance</w:t>
            </w:r>
          </w:p>
        </w:tc>
      </w:tr>
      <w:tr>
        <w:trPr>
          <w:trHeight w:val="23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2,083,000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1,258,000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research and development expenses between periods was primarily attributable to the increase in formulation development studies with our ImprimisRx subsidiary and the clinical development programs for our subsidiaries Radley, Mayfield and Stowe that occurred during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and Disposal of Long-Lived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2019, we recorded a loss of $4,040,000 related to the impairment and disposal of long-lived assets. $3,781,000 of these costs were related to the Park Restructuring and $259,000 of these expenses were related to the impairment of patents and patent-applications related to a terminated asset purchase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net was $2,500,000 for year ended December 31, 2019 compared to $2,728,000 in 2018. The decrease during the year ending December 31, 2019 compared to 2018 was primarily due to interest expense recognition related to a decrease in the amortization of our finance lease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Melt,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2019, we recorded a net gain of $3,968,000 related to our investment in Melt. We recorded a gain of $5,810,000 for the deconsolidation of Melt, and a loss of $(1,842,000) for our share of losses based on our ownership of Melt after its deconsolidation. We began using equity method accounting for our investment in Melt beginning on January 30, 2019, the date we no longer had a controlling interest. Prior to that date, Melt’s losses were consolidated within our statements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Investment Gain (Loss) from Surface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December 31, 2019, we recorded a loss of $1,200,000 for our share of losses based on our ownership of Surface. During the year ended December 31, 2018, we recorded a loss of $(373,000) for our share of losses based on our ownership of Surface prior to its deconsolidation. During the year ended December 31, 2018, we recorded a gain of $5,320,000 in the deconsolidation of Surface. We began using equity method accounting for our investment in Surface beginning on June 11, 2018, the date we no longer had a controlling interest. Prior to that date, Surface’s losses were consolidated within our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Eton, net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year ended December 31, 2018, our ownership of Eton fell below 20% and we ceased accounting for our investment in Eton under equity method accounting, and we recorded investment income of $21,420,000 related to the fair market value of the 3,500,000 shares of Eton common stock we hold, based on the closing price of Eton common stock of $6.12 per share as of December 31, 2018. Prior to the November 2018 IPO, we recorded a loss of $3,507,000 for our share of losses based on our ownership of Eton. We recorded a gain of $3,780,000 related to the change in fair market value of Eton’s common stock based on the closing price of Eton common stock of $7.20 per share as of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2019, we recorded other income, net of $630,000. This was the result of expenses that were paid by us during 2018 and will be reimbursed by Melt following its deconsolidation. During year ended December 31, 2018, we recorded other expense, net of $(290,000). This was due to a loss of $393,000 related to the impairment and write-off of a note receivable, and income of $103,000 related to expenses that were paid by us and reimbursed by Surface following its deconsolidation.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income for the years ended December 31, 2019 and 2018:</w:t>
      </w:r>
    </w:p>
    <w:p>
      <w:pPr>
        <w:spacing w:after="0" w:line="221" w:lineRule="exact"/>
        <w:rPr>
          <w:sz w:val="20"/>
          <w:szCs w:val="20"/>
          <w:color w:val="auto"/>
        </w:rPr>
      </w:pPr>
    </w:p>
    <w:p>
      <w:pPr>
        <w:jc w:val="center"/>
        <w:ind w:right="204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right="2040"/>
        <w:spacing w:after="0"/>
        <w:rPr>
          <w:sz w:val="20"/>
          <w:szCs w:val="20"/>
          <w:color w:val="auto"/>
        </w:rPr>
      </w:pPr>
      <w:r>
        <w:rPr>
          <w:rFonts w:ascii="Arial" w:cs="Arial" w:eastAsia="Arial" w:hAnsi="Arial"/>
          <w:sz w:val="18"/>
          <w:szCs w:val="18"/>
          <w:b w:val="1"/>
          <w:bCs w:val="1"/>
          <w:color w:val="auto"/>
        </w:rPr>
        <w:t>Year Ended</w:t>
      </w:r>
    </w:p>
    <w:p>
      <w:pPr>
        <w:spacing w:after="0" w:line="9" w:lineRule="exact"/>
        <w:rPr>
          <w:sz w:val="20"/>
          <w:szCs w:val="20"/>
          <w:color w:val="auto"/>
        </w:rPr>
      </w:pPr>
    </w:p>
    <w:p>
      <w:pPr>
        <w:jc w:val="center"/>
        <w:ind w:right="20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168,000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14,625,000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Net income per share, basic</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share, diluted</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0.61</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(including restricted cash) at December 31, 2019 was $4,949,000, compared to $6,838,000 at December 31, 2018. Since inception through December 31, 2019, we have incurred aggregate losses of $74,043,000.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the date of this Annual Report, we believe that cash and cash equivalents of $4,749,000 and restricted investments of $200,000, totaling approximately $4,949,000 at December 31, 2019, will be sufficient to sustain our planned level of operations and capital expenditures for at least the next 12 months. We also may consider the sale of certain assets including, but not limited to, part of, or all of, our ownership interest in Eton, Surface, Melt, and/or any of our consolidated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years ended December 31, 2019 and 2018:</w:t>
      </w:r>
    </w:p>
    <w:p>
      <w:pPr>
        <w:spacing w:after="0" w:line="221"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Year Ended</w:t>
      </w:r>
    </w:p>
    <w:p>
      <w:pPr>
        <w:spacing w:after="0" w:line="9"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(1,833,000)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(2,199,000)</w:t>
            </w:r>
          </w:p>
        </w:tc>
      </w:tr>
      <w:tr>
        <w:trPr>
          <w:trHeight w:val="25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(1,006,000)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4,131,000</w:t>
            </w:r>
          </w:p>
        </w:tc>
        <w:tc>
          <w:tcPr>
            <w:tcW w:w="60" w:type="dxa"/>
            <w:vAlign w:val="bottom"/>
            <w:shd w:val="clear" w:color="auto" w:fill="CCEEFF"/>
          </w:tcPr>
          <w:p>
            <w:pPr>
              <w:spacing w:after="0"/>
              <w:rPr>
                <w:sz w:val="21"/>
                <w:szCs w:val="21"/>
                <w:color w:val="auto"/>
              </w:rPr>
            </w:pPr>
          </w:p>
        </w:tc>
      </w:tr>
      <w:tr>
        <w:trPr>
          <w:trHeight w:val="203"/>
        </w:trPr>
        <w:tc>
          <w:tcPr>
            <w:tcW w:w="4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3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(1,889,000)</w:t>
            </w: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2,619,000</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6,838,000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4,219,000</w:t>
            </w:r>
          </w:p>
        </w:tc>
        <w:tc>
          <w:tcPr>
            <w:tcW w:w="60" w:type="dxa"/>
            <w:vAlign w:val="bottom"/>
            <w:shd w:val="clear" w:color="auto" w:fill="CCEEFF"/>
          </w:tcPr>
          <w:p>
            <w:pPr>
              <w:spacing w:after="0"/>
              <w:rPr>
                <w:sz w:val="21"/>
                <w:szCs w:val="21"/>
                <w:color w:val="auto"/>
              </w:rPr>
            </w:pPr>
          </w:p>
        </w:tc>
      </w:tr>
      <w:tr>
        <w:trPr>
          <w:trHeight w:val="216"/>
        </w:trPr>
        <w:tc>
          <w:tcPr>
            <w:tcW w:w="4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1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4,949,000</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6,838,000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was $950,000 in 2019, compared to $687,000 in the prior year. Net cash provided by operating activities during the years ended December 31, 2019 and 2018 was the result of increased unit volumes and sales, production efficiencies and management of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in 2019 and 2018 was $(1,833,000) and $(2,199,000), respectively. Cash used in investing activities in 2019 compared to 2018 were primarily associated with additional equipment purchases, facility expansions and upgrades, and investments in our intellectual property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provided by financing activities in 2019 and 2018 was $(1,006,000) and $4,131,000, respectively. The cash used in financing activities during 2019 is primarily attributable to the principal and interest paid on the long-term debt. The cash provided by financing activities during 2018 is primarily attributable to proceeds received from the exercise of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principal sources of cash consist of cash provided by operating activities from our pharmaceutical compounding business. We may also sell some or all of our ownership interests in Eton, Surface, Melt or our other subsidiaries. We began producing cash from our operations during 2018, however historically, we haven’t received sufficient revenues to support our operations and may not be able to continue to do so.</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1, 2018, we adopted ASU 2014-09, using the modified retrospective transition method. There was no effect or any adjustments to retained earnings upon adoption of the standard on January 1, 2018. We have two primary streams of revenue: (1) revenue recognized from our sale of products within our pharmacy services and (2) revenue recognized from intellectual property license and asset purchase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sell prescription drugs directly through our pharmacy and outsourcing facility network. Revenue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ASU 2014-09, we have identified the following:</w:t>
      </w:r>
    </w:p>
    <w:p>
      <w:pPr>
        <w:spacing w:after="0" w:line="1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We record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We will defer any revenues received for a product that has not been delivered or is subject to refund until such time that we and the customer jointly determine that the product has been delivered and no refund will be required.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hold four intellectual property license and related agreements in which we have promised to grant a license or sale which provides a customer with right to access our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each of which revenue is recognized at the point of time the performance obligation is met.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Non-refundable fees that are not contingent on any future performance by us and require no consequential continuing involvement on our part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it has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its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Eton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April 2017, we formed Eton as a wholly owned subsidiary. In June 2017 we lost voting and ownership control of Eton and ceased consolidating Eton’s financial statements. At the time of deconsolidation, we recorded a gain of $5,725,000 and adjusted the carrying value in Eton to reflect the increased valuation of Eton and our new ownership percent in accordance with Accounting Standard Codification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 At the time of deconsolidation, we used the equity method of accounting as management determined that we had the ability to exercise significant influence over the operating and financial decisions of Eton. Under this method, we recognized earnings and losses of Eton in its consolidated financial statements and adjusted the carrying amount of its investment in Eton accordingly. During the year ended December 31, 2018, the Company recorded equity in net loss of Eton of $3,507,000.</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Following the close of the Eton IPO we estimate our common stock position in Eton equaled approximately 19.98% of the equity and voting interests issued and outstanding of Eton, and we ceased using the equity method of accounting for our investment in Eton. We recognize earnings and losses of Eton in our consolidated financial statements based on the fair market value of the shares owned and adjust the carrying amount of our investment in Eton accordingly. Eton’s common stock currently trades on the NASDAQ Global Market exchange. In accordance with the Accounting Standards Update (“ASU”) 2016-01, </w:t>
      </w:r>
      <w:r>
        <w:rPr>
          <w:rFonts w:ascii="Arial" w:cs="Arial" w:eastAsia="Arial" w:hAnsi="Arial"/>
          <w:sz w:val="17"/>
          <w:szCs w:val="17"/>
          <w:i w:val="1"/>
          <w:iCs w:val="1"/>
          <w:color w:val="auto"/>
        </w:rPr>
        <w:t>Financial Instruments-Overall (Subtopic 825-10): Recognition and Measurement of Financial Assets and Financial Liabilities</w:t>
      </w:r>
      <w:r>
        <w:rPr>
          <w:rFonts w:ascii="Arial" w:cs="Arial" w:eastAsia="Arial" w:hAnsi="Arial"/>
          <w:sz w:val="17"/>
          <w:szCs w:val="17"/>
          <w:color w:val="auto"/>
        </w:rPr>
        <w:t>, for the year ended December 31, 2019, we recorded an investment gain from its Eton common stock position of $3,780,000 related to the change in fair market value of our investment in Eton during the measurement period. For the year ended December 31, 2018, we recorded an investment gain from our Eton common stock position of $21,420,000 related to the change in fair market value of our investment in Eton during the measurement period. As of December 31, 2019, the fair market value of our investment in Eton was $25,200,000.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Surface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April 2017, we formed Surface as a wholly owned subsidiary. In May and July 2018, Surface entered into and closed on a definitive stock purchase agreement with an institutional investor for the purchase of Surface’s Series A Preferred Stock (the “Surface Series A Stock”) that resulted in total proceeds to Surface of approximately $21 million. At the time of the first closing in May 2018, we lost voting and ownership control of Surface and ceased consolidating Surface’s financial statements.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(“IPO”) of Surface common stock or similar transaction.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At the time of deconsolidation, we recorded a gain of $5,320,000 and adjusted the carrying value in Surface to reflect the increased valuation of Surface and our new ownership percent in accordance with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own 3,500,000 common shares (which is approximately 30% of the equity interest as of December 31, 2019) of Surface and use the equity method of accounting for this investment, as management has determined that we have the ability to exercise significant influence over the operating and financial decisions of Surface. Under this method, we recognize earnings and losses of Surface in our consolidated financial statements and adjust the carrying amount of our investment in Surface accordingly. Our share of earnings and losses are based on the shares of common stock and in-substance common stock of Surface held by us. Any intra-entity profits and losses are eliminated. We recorded equity in net loss of Surface of $1,200,000 during the year ended December 31, 2019. As of December 31, 2019, the carrying value of our investment in Surface was $3,747,000.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Investment in Melt Pharmaceuticals, Inc.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April 2018, we formed Melt as a wholly owned subsidiary. In January and March of 2019, Melt entered into definitive stock purchase agreements (collectively, the “Melt Series A Preferred Stock Agreement”) with certain investors and closed on the purchase and sale of Melt’s Series A Preferred Stock (the “Melt Series A Stock”), totaling approximately $11,400,000 of proceeds (collectively the “Melt Series A Round”) at a purchase price of $5.00 per share. As a result, we lost voting and ownership control of Melt and ceased consolidating Melt’s financial statements. In connection with the Melt Series A Preferred Stock Agreement, Melt also entered into a Registration Rights Agreement and agreed to use commercially reasonable efforts to file, or confidentially submit, a registration statement on Form S-1 with the United States Securities and Exchange Commission (“SEC”) by September 30, 2020 relating to an initial public offering of its common stock.</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At the time of deconsolidation, we recorded a gain of $5,810,000 and adjusted the carrying value in Melt to reflect the increased valuation of Melt and our new ownership interest in accordance with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own 3,500,000 common shares (which is approximately 44% of the equity interest as of December 31, 2019) of Melt and uses the equity method of accounting for this investment, as management has determined that we have the ability to exercise significant influence over the operating and financial decisions of Melt. Under this method, we recognize earnings and losses of Melt in its consolidated financial statements and adjusts the carrying amount of its investment in Melt accordingly. Our share of earnings and losses are based on our ownership interest of Melt. Any intra-entity profits and losses are eliminated. We recorded equity in net loss of Melt of $1,842,000 during the year ended December 31, 2019. As of December 31, 2019, the carrying value of our investment in Melt was $3,968,000.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stock-based payments to employees, directors and consultants, including grants of stock options, warrants, restricted stock units and restricted stock, are recognized in the consolidated financial statements based upon their estimated fair values. We use the Black-Scholes option pricing model and Monte-Carlo simulation to estimate the fair value of stock-based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accounting policy for equity instruments issued to consultants and vendors in exchange for goods and services follows the Financial Accounting Standards Board (“FASB”) guidance. The measurement date for the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stock-based consulting expenses in our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part of the process of preparing our consolidated financial statements, we must estimate our actual current tax liabilities and assess permanent and temporary differences that result from differing treatment of items for tax and accounting purposes. The temporary differences result in deferred tax assets and liabilities, which are included within the balance sheet. We must assess the likelihood that the deferred tax assets will be recovered from future taxable income and, to the extent we believe that recovery is not more likely than not, a valuation allowance must be established which reduces the amount of deferred tax assets recorded on the consolidated balance sheets. To the extent we establish a valuation allowance or increase or decrease this allowance in a period, the impact will be included in income tax expense in the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expense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below). We began capitalizing certain costs associated with acquiring intellectual property rights during 2015, if costs are not capitalized they are expensed as incurred.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we capitalize third 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underperformance of the our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decline in the our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Step 2. If further analysis is required, we compare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issuance costs and the debt discount are recorded net of note payable in the consolidated balance sheet. Amortization expense of debt issuance costs and the debt discount is calculated using the effective interest method over the term of the debt and is recorded in interest expense in the accompanying consolidated statement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2019, the end of the period covered by this Annual Report, pursuant to Rules 13a-15(b) and 15d-15(b) under the Securities Exchange Act of 1934, as amended (the “Exchange Act”).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that evaluation, our CEO and CFO concluded that, as of December 31, 2019,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Based on such evaluation, management concluded that our internal control over financial reporting was effective as of December 31, 2019.</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independent registered public accounting firm also reported on the effectiveness of internal control over financial reporting. The independent registered public accounting firm ‘s attestation report is included in our consolidated financial statements beginning on page F-2 of this report under the caption entitled “Report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year ended December 31, 2019,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including our CEO and CFO,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29"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“Election of Directors,” “Executive Officers,” “Corporate Governance,” “Corporate Governance — Delinquent Section 16(a) Reports,” and “Corporate Governance — Code of Business Conduct and Ethics” in the Company’s Proxy Statement for the 2020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“Executive Compensation” and “Director Compensation” in the Company’s Proxy Statement for the 2020 Annual Meeting of Stockholders.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“Security Ownership of Certain Beneficial Owners and Management and Related Stockholder Matters” and “Executive Compensation — Securities Authorized for Issuance Under Equity Compensation Plans” in the Company’s Proxy Statement for the 2020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under the captions “Corporate Governance — Transactions with Related Persons” and “Corporate Governance — Director Independence” in the Company’s Proxy Statement for the 2020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set forth under the caption “Ratification of Selection of Independent Registered Public Accounting Firm” in the Company’s Proxy Statement for the 2020 Annual Meeting of Stockholders.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List of the following documents filed as part of the report: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See the index to our consolidated financial statements on page F-1 for a list of the financial statements being filed in this Annual Report.</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required information is shown in the consolidated financial statements or the notes thereto.</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See Item 15(b) below for all exhibits being filed or incorporated by reference herein.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20" w:type="dxa"/>
            <w:vAlign w:val="bottom"/>
            <w:gridSpan w:val="8"/>
          </w:tcPr>
          <w:p>
            <w:pPr>
              <w:jc w:val="center"/>
              <w:ind w:right="462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00" w:type="dxa"/>
            <w:vAlign w:val="bottom"/>
            <w:gridSpan w:val="15"/>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200" w:type="dxa"/>
            <w:vAlign w:val="bottom"/>
            <w:tcBorders>
              <w:top w:val="single" w:sz="8" w:color="auto"/>
              <w:bottom w:val="single" w:sz="8" w:color="0000EE"/>
            </w:tcBorders>
            <w:gridSpan w:val="15"/>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Agreement and Plan of Merger, dated as of September 17, 2007, by and among Imprimis Pharmaceuticals, Inc., Transdel Pharmaceuticals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Holdings, Inc. and Trans-Pharma Acquisition Corp. Incorporation (incorporated herein by reference to Exhibit 2.1 to the Current Report on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Form 8-K of Imprimis Pharmaceuticals, Inc. filed with the Securities and Exchange Commission on September 21, 2007)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Amended and Restated Certificate of Incorporation, as amended by the Certificate of Amendment to Amended and Restated Certificate of</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64">
              <w:r>
                <w:rPr>
                  <w:rFonts w:ascii="Arial" w:cs="Arial" w:eastAsia="Arial" w:hAnsi="Arial"/>
                  <w:sz w:val="18"/>
                  <w:szCs w:val="18"/>
                  <w:color w:val="0000EE"/>
                  <w:w w:val="94"/>
                </w:rPr>
                <w:t>Incorporation effective February 28, 2012, as further amended by the Certificate of Amendment to Amended and Restated Certificate of</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Incorporation effective February 7, 2013, and as further amended by the Certificate of Amendment to Amended and Restated Certificate of</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Incorporation effective September 10, 2014</w:t>
              </w:r>
            </w:hyperlink>
          </w:p>
        </w:tc>
        <w:tc>
          <w:tcPr>
            <w:tcW w:w="7060" w:type="dxa"/>
            <w:vAlign w:val="bottom"/>
            <w:gridSpan w:val="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Amended and Restated Bylaws of Imprimis Pharmaceuticals, Inc. (incorporated herein by reference to Exhibit 3.2 to the Annual Report on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Form 8-K of Imprimis Pharmaceuticals, Inc. filed with the Securities and Exchange Commission on March 28, 2014)</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66">
              <w:r>
                <w:rPr>
                  <w:rFonts w:ascii="Arial" w:cs="Arial" w:eastAsia="Arial" w:hAnsi="Arial"/>
                  <w:sz w:val="18"/>
                  <w:szCs w:val="18"/>
                  <w:color w:val="0000EE"/>
                  <w:w w:val="94"/>
                </w:rPr>
                <w:t>Certificate of Designation of Series A Convertible Preferred Stock of Imprimis Pharmaceuticals, Inc. (incorporated herein by reference to</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66">
              <w:r>
                <w:rPr>
                  <w:rFonts w:ascii="Arial" w:cs="Arial" w:eastAsia="Arial" w:hAnsi="Arial"/>
                  <w:sz w:val="18"/>
                  <w:szCs w:val="18"/>
                  <w:color w:val="0000EE"/>
                  <w:w w:val="95"/>
                </w:rPr>
                <w:t>Exhibit 3.1 to the Current Report on Form 8-K of Imprimis Pharmaceuticals, Inc. filed with the Securities and Exchange Commission on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December 20, 2011)</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Amended and Restated Certificate of Incorporation, filed July 2, 2018 (incorporated herein by reference to Exhibit 3.1 to the Current Report</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on Form 8-K of Imprimis Pharmaceuticals, Inc. filed with the Securities and Exchange Commission on July 2, 2018)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Amendment to the Restated Certificate of Incorporation for the name change, filed as of December 27, 2018 (incorporated herein by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68">
              <w:r>
                <w:rPr>
                  <w:rFonts w:ascii="Arial" w:cs="Arial" w:eastAsia="Arial" w:hAnsi="Arial"/>
                  <w:sz w:val="18"/>
                  <w:szCs w:val="18"/>
                  <w:color w:val="0000EE"/>
                  <w:w w:val="97"/>
                </w:rPr>
                <w:t>reference to Exhibit 3.1 to the Current Report on Form 8-K of Imprimis Pharmaceuticals, Inc. filed with the Securities and Exchange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Commission on December 31, 2018)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29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Description of the Company’s Securities</w:t>
              </w:r>
            </w:hyperlink>
          </w:p>
        </w:tc>
        <w:tc>
          <w:tcPr>
            <w:tcW w:w="7280" w:type="dxa"/>
            <w:vAlign w:val="bottom"/>
            <w:gridSpan w:val="1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Form of Directors and Officers Indemnification Agreement (incorporated herein by reference to Exhibit 10.8 to the Current Report on Form</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8-K of Imprimis Pharmaceuticals, Inc. filed with the Securities and Exchange Commission on September 21, 2007)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Imprimis Pharmaceuticals, Inc. Amended and Restated 2007 Stock Incentive and Awards Plan (incorporated herein by reference to Exhibit</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r>
                <w:rPr>
                  <w:rFonts w:ascii="Arial" w:cs="Arial" w:eastAsia="Arial" w:hAnsi="Arial"/>
                  <w:sz w:val="18"/>
                  <w:szCs w:val="18"/>
                  <w:color w:val="0000EE"/>
                  <w:w w:val="91"/>
                </w:rPr>
                <w:t xml:space="preserve"> to the Quarterly Report on Form 10-Q of Imprimis Pharmaceuticals, Inc. filed with the Securities and Exchange Commission on May 8,</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70">
              <w:r>
                <w:rPr>
                  <w:rFonts w:ascii="Arial" w:cs="Arial" w:eastAsia="Arial" w:hAnsi="Arial"/>
                  <w:sz w:val="18"/>
                  <w:szCs w:val="18"/>
                  <w:color w:val="0000EE"/>
                  <w:w w:val="86"/>
                </w:rPr>
                <w:t>2013)</w:t>
              </w:r>
            </w:hyperlink>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Amendment No. 1 to Imprimis Pharmaceuticals, Inc. Amended and Restated 2007 Incentive Stock and Awards Plan (incorporated herein by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71">
              <w:r>
                <w:rPr>
                  <w:rFonts w:ascii="Arial" w:cs="Arial" w:eastAsia="Arial" w:hAnsi="Arial"/>
                  <w:sz w:val="18"/>
                  <w:szCs w:val="18"/>
                  <w:color w:val="0000EE"/>
                  <w:w w:val="94"/>
                </w:rPr>
                <w:t>reference to Exhibit 10.3 to the Quarterly Report on Form 10-Q of Imprimis Pharmaceuticals, Inc. filed with the Securities and Exchange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Commission on November 6, 2013)</w:t>
              </w:r>
            </w:hyperlink>
          </w:p>
        </w:tc>
        <w:tc>
          <w:tcPr>
            <w:tcW w:w="7560" w:type="dxa"/>
            <w:vAlign w:val="bottom"/>
            <w:gridSpan w:val="11"/>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w w:val="97"/>
              </w:rPr>
            </w:pPr>
            <w:hyperlink r:id="rId72">
              <w:r>
                <w:rPr>
                  <w:rFonts w:ascii="Arial" w:cs="Arial" w:eastAsia="Arial" w:hAnsi="Arial"/>
                  <w:sz w:val="18"/>
                  <w:szCs w:val="18"/>
                  <w:color w:val="0000EE"/>
                  <w:w w:val="97"/>
                </w:rPr>
                <w:t>Form of Incentive Stock Option Agreement (incorporated herein by reference to Exhibit 10.12 to the Current Report on Form 8-K of</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Imprimis Pharmaceuticals, Inc. filed with the Securities and Exchange Commission on September 21, 2007)</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73">
              <w:r>
                <w:rPr>
                  <w:rFonts w:ascii="Arial" w:cs="Arial" w:eastAsia="Arial" w:hAnsi="Arial"/>
                  <w:sz w:val="18"/>
                  <w:szCs w:val="18"/>
                  <w:color w:val="0000EE"/>
                  <w:w w:val="94"/>
                </w:rPr>
                <w:t>Form of Non-Qualified Stock Option Agreement (incorporated herein by reference to Exhibit 10.13 to the Current Report on Form 8-K of</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Imprimis Pharmaceuticals, Inc. filed with the Securities and Exchange Commission on September 21, 2007)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74">
              <w:r>
                <w:rPr>
                  <w:rFonts w:ascii="Arial" w:cs="Arial" w:eastAsia="Arial" w:hAnsi="Arial"/>
                  <w:sz w:val="18"/>
                  <w:szCs w:val="18"/>
                  <w:color w:val="0000EE"/>
                  <w:w w:val="97"/>
                </w:rPr>
                <w:t>Form of Restricted Stock Unit Agreement (incorporated herein by reference to Exhibit 10.4 to the Quarterly Report on Form 10-Q of</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Imprimis Pharmaceuticals, Inc. filed with the Securities and Exchange Commission on May 8, 2013)</w:t>
              </w:r>
            </w:hyperlink>
          </w:p>
        </w:tc>
        <w:tc>
          <w:tcPr>
            <w:tcW w:w="294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Stand-alone Restricted Stock Unit Agreement, dated July 18, 2012, granted by Imprimis Pharmaceuticals, Inc. to Mark L. Baum</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(incorporated herein by reference to Exhibit 10.40 to the Company’s Registration Statement on Form S-1 (File No. 333-182846) filed on July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75">
              <w:r>
                <w:rPr>
                  <w:rFonts w:ascii="Arial" w:cs="Arial" w:eastAsia="Arial" w:hAnsi="Arial"/>
                  <w:sz w:val="18"/>
                  <w:szCs w:val="18"/>
                  <w:color w:val="0000EE"/>
                  <w:w w:val="86"/>
                </w:rPr>
                <w:t>25, 2012)</w:t>
              </w:r>
            </w:hyperlink>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r:id="rId76">
              <w:r>
                <w:rPr>
                  <w:rFonts w:ascii="Arial" w:cs="Arial" w:eastAsia="Arial" w:hAnsi="Arial"/>
                  <w:sz w:val="18"/>
                  <w:szCs w:val="18"/>
                  <w:color w:val="0000EE"/>
                  <w:w w:val="97"/>
                </w:rPr>
                <w:t>Stand-alone Restricted Stock Unit Agreement, dated July 18, 2012, granted by Imprimis Pharmaceuticals, Inc. to Robert J. Kammer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(incorporated herein by reference to Exhibit 10.41 to the Company’s Registration Statement on Form S-1 (File No. 333-182846) filed on July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76">
              <w:r>
                <w:rPr>
                  <w:rFonts w:ascii="Arial" w:cs="Arial" w:eastAsia="Arial" w:hAnsi="Arial"/>
                  <w:sz w:val="18"/>
                  <w:szCs w:val="18"/>
                  <w:color w:val="0000EE"/>
                  <w:w w:val="86"/>
                </w:rPr>
                <w:t>25, 2012)</w:t>
              </w:r>
            </w:hyperlink>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Form of Underwriter’s Warrant (incorporated herein by reference to Exhibit 10.41 to the Company’s Registration Statement on Form S-1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(File No. 333-182846) filed on October 26, 2012)</w:t>
              </w:r>
            </w:hyperlink>
          </w:p>
        </w:tc>
        <w:tc>
          <w:tcPr>
            <w:tcW w:w="66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Amended and Restated Employment Agreement, dated May 2, 2013, by and between Imprimis Pharmaceuticals, Inc. and Mark L. Baum</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78">
              <w:r>
                <w:rPr>
                  <w:rFonts w:ascii="Arial" w:cs="Arial" w:eastAsia="Arial" w:hAnsi="Arial"/>
                  <w:sz w:val="18"/>
                  <w:szCs w:val="18"/>
                  <w:color w:val="0000EE"/>
                  <w:w w:val="95"/>
                </w:rPr>
                <w:t>(incorporated herein by reference to Exhibit 10.2 to the Quarterly Report on Form 10-Q of Imprimis Pharmaceuticals, Inc. filed with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Securities and Exchange Commission on May 8, 2013)</w:t>
              </w:r>
            </w:hyperlink>
          </w:p>
        </w:tc>
      </w:tr>
      <w:tr>
        <w:trPr>
          <w:trHeight w:val="487"/>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top w:val="single" w:sz="8" w:color="0000EE"/>
              <w:bottom w:val="single" w:sz="8" w:color="auto"/>
            </w:tcBorders>
            <w:gridSpan w:val="8"/>
          </w:tcPr>
          <w:p>
            <w:pPr>
              <w:spacing w:after="0"/>
              <w:rPr>
                <w:sz w:val="24"/>
                <w:szCs w:val="24"/>
                <w:color w:val="auto"/>
              </w:rPr>
            </w:pPr>
          </w:p>
        </w:tc>
        <w:tc>
          <w:tcPr>
            <w:tcW w:w="330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51</w:t>
            </w: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200" w:type="dxa"/>
            <w:vAlign w:val="bottom"/>
            <w:gridSpan w:val="21"/>
          </w:tcPr>
          <w:p>
            <w:pPr>
              <w:spacing w:after="0"/>
              <w:rPr>
                <w:rFonts w:ascii="Arial" w:cs="Arial" w:eastAsia="Arial" w:hAnsi="Arial"/>
                <w:sz w:val="18"/>
                <w:szCs w:val="18"/>
                <w:color w:val="0000EE"/>
                <w:w w:val="92"/>
              </w:rPr>
            </w:pPr>
            <w:hyperlink r:id="rId79">
              <w:r>
                <w:rPr>
                  <w:rFonts w:ascii="Arial" w:cs="Arial" w:eastAsia="Arial" w:hAnsi="Arial"/>
                  <w:sz w:val="18"/>
                  <w:szCs w:val="18"/>
                  <w:color w:val="0000EE"/>
                  <w:w w:val="92"/>
                </w:rPr>
                <w:t>Performance Stock Units Agreement, dated May 2, 2013, by and between Imprimis Pharmaceuticals, Inc. and Mark L. Baum (incorporated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79">
              <w:r>
                <w:rPr>
                  <w:rFonts w:ascii="Arial" w:cs="Arial" w:eastAsia="Arial" w:hAnsi="Arial"/>
                  <w:sz w:val="18"/>
                  <w:szCs w:val="18"/>
                  <w:color w:val="0000EE"/>
                  <w:w w:val="94"/>
                </w:rPr>
                <w:t>herein by reference to Exhibit 10.4 to the Quarterly Report on Form 10-Q of Imprimis Pharmaceuticals, Inc. filed with the Securities and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Exchange Commission on August 14, 2013)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80">
              <w:r>
                <w:rPr>
                  <w:rFonts w:ascii="Arial" w:cs="Arial" w:eastAsia="Arial" w:hAnsi="Arial"/>
                  <w:sz w:val="18"/>
                  <w:szCs w:val="18"/>
                  <w:color w:val="0000EE"/>
                  <w:w w:val="96"/>
                </w:rPr>
                <w:t>Asset Purchase Agreement, dated June 11, 2013, by and between Imprimis Pharmaceuticals, Inc. and Buderer Drug Company, Inc.</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80">
              <w:r>
                <w:rPr>
                  <w:rFonts w:ascii="Arial" w:cs="Arial" w:eastAsia="Arial" w:hAnsi="Arial"/>
                  <w:sz w:val="18"/>
                  <w:szCs w:val="18"/>
                  <w:color w:val="0000EE"/>
                  <w:w w:val="95"/>
                </w:rPr>
                <w:t>(incorporated herein by reference to Exhibit 10.5 to the Quarterly Report on Form 10-Q of Imprimis Pharmaceuticals, Inc. filed with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Securities and Exchange Commission on August 14, 2013)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Asset Purchase Agreement, dated August 8, 2013, by and among Imprimis Pharmaceuticals, Inc., Novel Drug Solutions, LLC and Eye Care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Northwest, PA (incorporated herein by reference to Exhibit 10.1 to the Quarterly Report on Form 10-Q of Imprimis Pharmaceuticals, Inc.</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filed with the Securities and Exchange Commission on November 6, 2013)</w:t>
              </w:r>
            </w:hyperlink>
          </w:p>
        </w:tc>
        <w:tc>
          <w:tcPr>
            <w:tcW w:w="48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0200" w:type="dxa"/>
            <w:vAlign w:val="bottom"/>
            <w:gridSpan w:val="21"/>
          </w:tcPr>
          <w:p>
            <w:pPr>
              <w:spacing w:after="0" w:line="196" w:lineRule="exact"/>
              <w:rPr>
                <w:rFonts w:ascii="Arial" w:cs="Arial" w:eastAsia="Arial" w:hAnsi="Arial"/>
                <w:sz w:val="18"/>
                <w:szCs w:val="18"/>
                <w:color w:val="0000EE"/>
                <w:w w:val="96"/>
              </w:rPr>
            </w:pPr>
            <w:hyperlink r:id="rId82">
              <w:r>
                <w:rPr>
                  <w:rFonts w:ascii="Arial" w:cs="Arial" w:eastAsia="Arial" w:hAnsi="Arial"/>
                  <w:sz w:val="18"/>
                  <w:szCs w:val="18"/>
                  <w:color w:val="0000EE"/>
                  <w:w w:val="96"/>
                </w:rPr>
                <w:t>Amendment to Asset Purchase Agreement, dated as of October 14, 2013, by and among Imprimis Pharmaceuticals, Inc., Novel Drug</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82">
              <w:r>
                <w:rPr>
                  <w:rFonts w:ascii="Arial" w:cs="Arial" w:eastAsia="Arial" w:hAnsi="Arial"/>
                  <w:sz w:val="18"/>
                  <w:szCs w:val="18"/>
                  <w:color w:val="0000EE"/>
                  <w:w w:val="95"/>
                </w:rPr>
                <w:t>Solutions, LLC and EyeCare Northwest, PA (incorporated herein by reference to Exhibit 10.2 to the Quarterly Report on Form 10-Q of</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Imprimis Pharmaceuticals, Inc. filed with the Securities and Exchange Commission on November 6, 2013)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r:id="rId83">
              <w:r>
                <w:rPr>
                  <w:rFonts w:ascii="Arial" w:cs="Arial" w:eastAsia="Arial" w:hAnsi="Arial"/>
                  <w:sz w:val="18"/>
                  <w:szCs w:val="18"/>
                  <w:color w:val="0000EE"/>
                  <w:w w:val="97"/>
                </w:rPr>
                <w:t>Asset Purchase Agreement, dated October 8, 2013, by and between Imprimis Pharmaceuticals, Inc. and Novel Drug Solutions, LLC</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83">
              <w:r>
                <w:rPr>
                  <w:rFonts w:ascii="Arial" w:cs="Arial" w:eastAsia="Arial" w:hAnsi="Arial"/>
                  <w:sz w:val="18"/>
                  <w:szCs w:val="18"/>
                  <w:color w:val="0000EE"/>
                  <w:w w:val="96"/>
                </w:rPr>
                <w:t>(incorporated herein by reference to Exhibit 10.27 to the Annual Report on Form 10-K of Imprimis Pharmaceuticals, Inc. filed with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Securities and Exchange Commission on March 28, 2014)</w:t>
              </w:r>
            </w:hyperlink>
          </w:p>
        </w:tc>
        <w:tc>
          <w:tcPr>
            <w:tcW w:w="59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Amendment to Asset Purchase Agreement, dated as of October 21, 2013, by and between Imprimis Pharmaceuticals, Inc. and Buderer Drug</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Company, Inc. (incorporated herein by reference to Exhibit 10.28 to the Annual Report on Form 10-K of Imprimis Pharmaceuticals, Inc.</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2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filed with the Securities and Exchange Commission on March 28, 2014)</w:t>
              </w:r>
            </w:hyperlink>
          </w:p>
        </w:tc>
        <w:tc>
          <w:tcPr>
            <w:tcW w:w="50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Amendment to Asset Purchase Agreement, dated as of October 21, 2013, by and between Imprimis Pharmaceuticals, Inc. and Novel Drug</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85">
              <w:r>
                <w:rPr>
                  <w:rFonts w:ascii="Arial" w:cs="Arial" w:eastAsia="Arial" w:hAnsi="Arial"/>
                  <w:sz w:val="18"/>
                  <w:szCs w:val="18"/>
                  <w:color w:val="0000EE"/>
                  <w:w w:val="96"/>
                </w:rPr>
                <w:t>Solutions, LLC and EyeCare Northwest, PA (incorporated herein by reference to Exhibit 10.29 to the Annual Report on Form 10-K of</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Imprimis Pharmaceuticals, Inc. filed with the Securities and Exchange Commission on March 28, 2014)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86">
              <w:r>
                <w:rPr>
                  <w:rFonts w:ascii="Arial" w:cs="Arial" w:eastAsia="Arial" w:hAnsi="Arial"/>
                  <w:sz w:val="18"/>
                  <w:szCs w:val="18"/>
                  <w:color w:val="0000EE"/>
                  <w:w w:val="94"/>
                </w:rPr>
                <w:t>Amended and Restated Employment Agreement, effective as of February 1, 2015, by and between Imprimis Pharmaceuticals, Inc. and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Andrew R. Boll (incorporated herein by reference to Exhibit 10.1 to the Current Report on Form 8-K of Imprimis Pharmaceuticals, Inc. filed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with the Securities and Exchange Commission on February 2, 2015)</w:t>
              </w:r>
            </w:hyperlink>
          </w:p>
        </w:tc>
        <w:tc>
          <w:tcPr>
            <w:tcW w:w="5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Performance Stock Units Award Agreement, effective as of February 1, 2015, by and between Imprimis Pharmaceuticals, Inc. and Andrew</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R. Boll (incorporated herein by reference to Exhibit 10.2 to the Current Report on Form 8-K of Imprimis Pharmaceuticals, Inc. filed with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Securities and Exchange Commission on February 2,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Employment Agreement, effective as of February 1, 2015, by and between Imprimis Pharmaceuticals, Inc. and John P. Saharek (incorporated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r:id="rId88">
              <w:r>
                <w:rPr>
                  <w:rFonts w:ascii="Arial" w:cs="Arial" w:eastAsia="Arial" w:hAnsi="Arial"/>
                  <w:sz w:val="18"/>
                  <w:szCs w:val="18"/>
                  <w:color w:val="0000EE"/>
                  <w:w w:val="97"/>
                </w:rPr>
                <w:t>herein by reference to Exhibit 10.3 to the Current Report on Form 8-K of Imprimis Pharmaceuticals, Inc. filed with the Securities and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Exchange Commission on February 2,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Warrant to Purchase Stock, dated May 11, 2015, issued by Imprimis Pharmaceuticals, Inc. (incorporated herein by reference to Exhibit 10.2</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to the Current Report on Form 8-K of Imprimis Pharmaceuticals, Inc. filed with the Securities and Exchange Commission on May 12,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90">
              <w:r>
                <w:rPr>
                  <w:rFonts w:ascii="Arial" w:cs="Arial" w:eastAsia="Arial" w:hAnsi="Arial"/>
                  <w:sz w:val="18"/>
                  <w:szCs w:val="18"/>
                  <w:color w:val="0000EE"/>
                  <w:w w:val="95"/>
                </w:rPr>
                <w:t>Loan and Security Agreement, dated May 11, 2015, by and between Imprimis Pharmaceuticals and IMMY Funding LLC. (incorporated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r:id="rId90">
              <w:r>
                <w:rPr>
                  <w:rFonts w:ascii="Arial" w:cs="Arial" w:eastAsia="Arial" w:hAnsi="Arial"/>
                  <w:sz w:val="18"/>
                  <w:szCs w:val="18"/>
                  <w:color w:val="0000EE"/>
                  <w:w w:val="97"/>
                </w:rPr>
                <w:t>herein by reference to Exhibit 10.1 to the Current Report on Form 8-Kof Imprimis Pharmaceuticals, Inc. filed with the Securities and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Exchange Commission on May 12, 2015)</w:t>
              </w:r>
            </w:hyperlink>
          </w:p>
        </w:tc>
        <w:tc>
          <w:tcPr>
            <w:tcW w:w="72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License Agreement dated as of August 11, 2015, between Imprimis Pharmaceuticals, Inc. and Advance Dosage Forms, Inc. and John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DiGenova (incorporated herein by reference to Exhibit 10.1 to the Current Report on Form 8-K of Imprimis Pharmaceuticals, Inc. filed with</w:t>
              </w:r>
            </w:hyperlink>
          </w:p>
        </w:tc>
        <w:tc>
          <w:tcPr>
            <w:tcW w:w="0" w:type="dxa"/>
            <w:vAlign w:val="bottom"/>
          </w:tcPr>
          <w:p>
            <w:pPr>
              <w:spacing w:after="0"/>
              <w:rPr>
                <w:sz w:val="1"/>
                <w:szCs w:val="1"/>
                <w:color w:val="auto"/>
              </w:rPr>
            </w:pPr>
          </w:p>
        </w:tc>
      </w:tr>
      <w:tr>
        <w:trPr>
          <w:trHeight w:val="196"/>
        </w:trPr>
        <w:tc>
          <w:tcPr>
            <w:tcW w:w="1040" w:type="dxa"/>
            <w:vAlign w:val="bottom"/>
            <w:vMerge w:val="restart"/>
          </w:tcPr>
          <w:p>
            <w:pPr>
              <w:spacing w:after="0"/>
              <w:rPr>
                <w:sz w:val="20"/>
                <w:szCs w:val="20"/>
                <w:color w:val="auto"/>
              </w:rPr>
            </w:pPr>
            <w:r>
              <w:rPr>
                <w:rFonts w:ascii="Arial" w:cs="Arial" w:eastAsia="Arial" w:hAnsi="Arial"/>
                <w:sz w:val="18"/>
                <w:szCs w:val="18"/>
                <w:color w:val="auto"/>
              </w:rPr>
              <w:t>10.24</w:t>
            </w:r>
          </w:p>
        </w:tc>
        <w:tc>
          <w:tcPr>
            <w:tcW w:w="10200" w:type="dxa"/>
            <w:vAlign w:val="bottom"/>
            <w:gridSpan w:val="21"/>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the Securities and Exchange Commission on August 12, 2015)</w:t>
              </w:r>
            </w:hyperlink>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vMerge w:val="continue"/>
          </w:tcPr>
          <w:p>
            <w:pPr>
              <w:spacing w:after="0"/>
              <w:rPr>
                <w:sz w:val="14"/>
                <w:szCs w:val="14"/>
                <w:color w:val="auto"/>
              </w:rPr>
            </w:pPr>
          </w:p>
        </w:tc>
        <w:tc>
          <w:tcPr>
            <w:tcW w:w="1980" w:type="dxa"/>
            <w:vAlign w:val="bottom"/>
            <w:gridSpan w:val="3"/>
            <w:vMerge w:val="restart"/>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Controlled Equity Offering</w:t>
              </w:r>
            </w:hyperlink>
          </w:p>
        </w:tc>
        <w:tc>
          <w:tcPr>
            <w:tcW w:w="220" w:type="dxa"/>
            <w:vAlign w:val="bottom"/>
            <w:tcBorders>
              <w:bottom w:val="single" w:sz="8" w:color="0000EE"/>
            </w:tcBorders>
            <w:gridSpan w:val="2"/>
          </w:tcPr>
          <w:p>
            <w:pPr>
              <w:spacing w:after="0" w:line="156" w:lineRule="exact"/>
              <w:rPr>
                <w:rFonts w:ascii="Arial" w:cs="Arial" w:eastAsia="Arial" w:hAnsi="Arial"/>
                <w:sz w:val="15"/>
                <w:szCs w:val="15"/>
                <w:color w:val="0000EE"/>
                <w:w w:val="88"/>
              </w:rPr>
            </w:pPr>
            <w:hyperlink r:id="rId92">
              <w:r>
                <w:rPr>
                  <w:rFonts w:ascii="Arial" w:cs="Arial" w:eastAsia="Arial" w:hAnsi="Arial"/>
                  <w:sz w:val="15"/>
                  <w:szCs w:val="15"/>
                  <w:color w:val="0000EE"/>
                  <w:w w:val="88"/>
                </w:rPr>
                <w:t>SM</w:t>
              </w:r>
            </w:hyperlink>
          </w:p>
        </w:tc>
        <w:tc>
          <w:tcPr>
            <w:tcW w:w="8000" w:type="dxa"/>
            <w:vAlign w:val="bottom"/>
            <w:gridSpan w:val="16"/>
            <w:vMerge w:val="restart"/>
          </w:tcPr>
          <w:p>
            <w:pPr>
              <w:ind w:left="140"/>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Sales Agreement, dated November 27, 2015, by and between Imprimis Pharmaceuticals, Inc. and Cantor</w:t>
              </w:r>
            </w:hyperlink>
          </w:p>
        </w:tc>
        <w:tc>
          <w:tcPr>
            <w:tcW w:w="0" w:type="dxa"/>
            <w:vAlign w:val="bottom"/>
          </w:tcPr>
          <w:p>
            <w:pPr>
              <w:spacing w:after="0"/>
              <w:rPr>
                <w:sz w:val="1"/>
                <w:szCs w:val="1"/>
                <w:color w:val="auto"/>
              </w:rPr>
            </w:pPr>
          </w:p>
        </w:tc>
      </w:tr>
      <w:tr>
        <w:trPr>
          <w:trHeight w:val="48"/>
        </w:trPr>
        <w:tc>
          <w:tcPr>
            <w:tcW w:w="1040" w:type="dxa"/>
            <w:vAlign w:val="bottom"/>
            <w:vMerge w:val="continue"/>
          </w:tcPr>
          <w:p>
            <w:pPr>
              <w:spacing w:after="0"/>
              <w:rPr>
                <w:sz w:val="4"/>
                <w:szCs w:val="4"/>
                <w:color w:val="auto"/>
              </w:rPr>
            </w:pPr>
          </w:p>
        </w:tc>
        <w:tc>
          <w:tcPr>
            <w:tcW w:w="1980" w:type="dxa"/>
            <w:vAlign w:val="bottom"/>
            <w:tcBorders>
              <w:bottom w:val="single" w:sz="8" w:color="0000EE"/>
            </w:tcBorders>
            <w:gridSpan w:val="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00" w:type="dxa"/>
            <w:vAlign w:val="bottom"/>
            <w:tcBorders>
              <w:bottom w:val="single" w:sz="8" w:color="0000EE"/>
            </w:tcBorders>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Fitzgerald &amp; Co (incorporated herein by reference to Exhibit 1.1 to the Current Report on Form 8-K of Imprimis Pharmaceuticals, Inc. filed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with the Securities and Exchange Commission on November 27, 2015)</w:t>
              </w:r>
            </w:hyperlink>
          </w:p>
        </w:tc>
        <w:tc>
          <w:tcPr>
            <w:tcW w:w="50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PCCA Commission Agreement, dated December 21, 2015, by and between Imprimis Pharmaceuticals, Inc. and Professional Compounding</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Centers of America, Inc.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7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8.</w:t>
              </w:r>
              <w:r>
                <w:rPr>
                  <w:rFonts w:ascii="Arial" w:cs="Arial" w:eastAsia="Arial" w:hAnsi="Arial"/>
                  <w:sz w:val="18"/>
                  <w:szCs w:val="18"/>
                  <w:u w:val="single" w:color="auto"/>
                  <w:color w:val="0000EE"/>
                  <w:w w:val="91"/>
                </w:rPr>
                <w:t>00%</w:t>
              </w:r>
              <w:r>
                <w:rPr>
                  <w:rFonts w:ascii="Arial" w:cs="Arial" w:eastAsia="Arial" w:hAnsi="Arial"/>
                  <w:sz w:val="18"/>
                  <w:szCs w:val="18"/>
                  <w:color w:val="0000EE"/>
                  <w:w w:val="91"/>
                </w:rPr>
                <w:t xml:space="preserve"> Convertible Senior Secured Note issued on January 22, 2016 by Imprimis Pharmaceuticals, Inc. (incorporated herein by reference to</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w w:val="94"/>
              </w:rPr>
            </w:pPr>
            <w:hyperlink r:id="rId94">
              <w:r>
                <w:rPr>
                  <w:rFonts w:ascii="Arial" w:cs="Arial" w:eastAsia="Arial" w:hAnsi="Arial"/>
                  <w:sz w:val="18"/>
                  <w:szCs w:val="18"/>
                  <w:color w:val="0000EE"/>
                  <w:w w:val="94"/>
                </w:rPr>
                <w:t>Exhibit 10.1 to the Current Report on Form 8-K of Imprimis Pharmaceuticals, Inc. filed with the Securities and Exchange Commission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January 25,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77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Note Purchase Agreement dated January 22, 2016 between Imprimis Pharmaceuticals, Inc. and IMMY Funding LLC (incorporated herein by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reference to Exhibit 10.2 to the Current Report on Form 8-K of Imprimis Pharmaceuticals, Inc. filed with the Securities and Exchange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Commission on January 25, 2016)</w:t>
              </w:r>
            </w:hyperlink>
          </w:p>
        </w:tc>
        <w:tc>
          <w:tcPr>
            <w:tcW w:w="0" w:type="dxa"/>
            <w:vAlign w:val="bottom"/>
          </w:tcPr>
          <w:p>
            <w:pPr>
              <w:spacing w:after="0"/>
              <w:rPr>
                <w:sz w:val="1"/>
                <w:szCs w:val="1"/>
                <w:color w:val="auto"/>
              </w:rPr>
            </w:pPr>
          </w:p>
        </w:tc>
      </w:tr>
      <w:tr>
        <w:trPr>
          <w:trHeight w:val="486"/>
        </w:trPr>
        <w:tc>
          <w:tcPr>
            <w:tcW w:w="1040" w:type="dxa"/>
            <w:vAlign w:val="bottom"/>
            <w:tcBorders>
              <w:bottom w:val="single" w:sz="8" w:color="auto"/>
            </w:tcBorders>
          </w:tcPr>
          <w:p>
            <w:pPr>
              <w:spacing w:after="0"/>
              <w:rPr>
                <w:sz w:val="24"/>
                <w:szCs w:val="24"/>
                <w:color w:val="auto"/>
              </w:rPr>
            </w:pPr>
          </w:p>
        </w:tc>
        <w:tc>
          <w:tcPr>
            <w:tcW w:w="2460" w:type="dxa"/>
            <w:vAlign w:val="bottom"/>
            <w:tcBorders>
              <w:top w:val="single" w:sz="8" w:color="0000EE"/>
              <w:bottom w:val="single" w:sz="8" w:color="auto"/>
            </w:tcBorders>
            <w:gridSpan w:val="6"/>
          </w:tcPr>
          <w:p>
            <w:pPr>
              <w:spacing w:after="0"/>
              <w:rPr>
                <w:sz w:val="24"/>
                <w:szCs w:val="24"/>
                <w:color w:val="auto"/>
              </w:rPr>
            </w:pPr>
          </w:p>
        </w:tc>
        <w:tc>
          <w:tcPr>
            <w:tcW w:w="24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1440" w:gutter="0" w:footer="0" w:header="0"/>
        </w:sectPr>
      </w:pPr>
    </w:p>
    <w:bookmarkStart w:id="56" w:name="page57"/>
    <w:bookmarkEnd w:id="56"/>
    <w:p>
      <w:pPr>
        <w:jc w:val="both"/>
        <w:ind w:left="1040" w:hanging="1025"/>
        <w:spacing w:after="0" w:line="255"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96">
        <w:r>
          <w:rPr>
            <w:rFonts w:ascii="Arial" w:cs="Arial" w:eastAsia="Arial" w:hAnsi="Arial"/>
            <w:sz w:val="18"/>
            <w:szCs w:val="18"/>
            <w:u w:val="single" w:color="auto"/>
            <w:color w:val="0000EE"/>
          </w:rPr>
          <w:t>Second Amendment to Loan and Security Agreement dated January 22, 2016 between Imprimis Pharmaceuticals, Inc. and IMMY Funding</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LLC (incorporated herein by reference to Exhibit 10.3 to the Current Report on Form 8-K of Imprimis Pharmaceuticals, Inc. filed with the</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Securities and Exchange Commission on January 25, 2016)</w:t>
        </w:r>
      </w:hyperlink>
    </w:p>
    <w:p>
      <w:pPr>
        <w:spacing w:after="0" w:line="3"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97">
        <w:r>
          <w:rPr>
            <w:rFonts w:ascii="Arial" w:cs="Arial" w:eastAsia="Arial" w:hAnsi="Arial"/>
            <w:sz w:val="18"/>
            <w:szCs w:val="18"/>
            <w:u w:val="single" w:color="auto"/>
            <w:color w:val="0000EE"/>
          </w:rPr>
          <w:t>Amendment to Warrant to Purchase Stock dated January 22, 2016 between Imprimis Pharmaceuticals, Inc. and IMMY Funding LLC</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(incorporated herein by reference to Exhibit 10.4 to the Current Report on Form 8-K of Imprimis Pharmaceuticals, Inc. filed with the</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Securities and Exchange Commission on January 25, 2016)</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98">
        <w:r>
          <w:rPr>
            <w:rFonts w:ascii="Arial" w:cs="Arial" w:eastAsia="Arial" w:hAnsi="Arial"/>
            <w:sz w:val="18"/>
            <w:szCs w:val="18"/>
            <w:u w:val="single" w:color="auto"/>
            <w:color w:val="0000EE"/>
          </w:rPr>
          <w:t>Third Amendment to Loan and Security Agreement, dated December 27, 2016, by and between Imprimis Pharmaceuticals and IMMY</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Funding LLC (incorporated herein by reference to Exhibit 10.1 to the Current Report on Form 8-K of Imprimis Pharmaceuticals, Inc. filed</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with the Securities and Exchange Commission on December 29, 2016)</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99">
        <w:r>
          <w:rPr>
            <w:rFonts w:ascii="Arial" w:cs="Arial" w:eastAsia="Arial" w:hAnsi="Arial"/>
            <w:sz w:val="18"/>
            <w:szCs w:val="18"/>
            <w:u w:val="single" w:color="auto"/>
            <w:color w:val="0000EE"/>
          </w:rPr>
          <w:t>Exchange and Discharge Agreement, dated December 27, 2016, by and between Imprimis Pharmaceuticals and IMMY Funding LLC</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(incorporated herein by reference to Exhibit 10.2 to the Current Report on Form 8-K of Imprimis Pharmaceuticals, Inc. filed with the</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Securities and Exchange Commission on December 29, 2016)</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00">
        <w:r>
          <w:rPr>
            <w:rFonts w:ascii="Arial" w:cs="Arial" w:eastAsia="Arial" w:hAnsi="Arial"/>
            <w:sz w:val="18"/>
            <w:szCs w:val="18"/>
            <w:u w:val="single" w:color="auto"/>
            <w:color w:val="0000EE"/>
          </w:rPr>
          <w:t>Warrant Amendment to Purchase Stock, dated December 27, 2016, issued by Imprimis Pharmaceuticals, Inc. (incorporated herein by</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reference to Exhibit 10.3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Commission on December 29, 2016)</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01">
        <w:r>
          <w:rPr>
            <w:rFonts w:ascii="Arial" w:cs="Arial" w:eastAsia="Arial" w:hAnsi="Arial"/>
            <w:sz w:val="18"/>
            <w:szCs w:val="18"/>
            <w:u w:val="single" w:color="auto"/>
            <w:color w:val="0000EE"/>
          </w:rPr>
          <w:t>Form of Securities Purchase Agreement, dated March 21, 2017, between the Registrant and the Investors (incorporated herein by reference to</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Exhibit 10.1 to the Current Report on Form 8-K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March 22,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02">
        <w:r>
          <w:rPr>
            <w:rFonts w:ascii="Arial" w:cs="Arial" w:eastAsia="Arial" w:hAnsi="Arial"/>
            <w:sz w:val="18"/>
            <w:szCs w:val="18"/>
            <w:u w:val="single" w:color="auto"/>
            <w:color w:val="0000EE"/>
          </w:rPr>
          <w:t>License Agreement dated April 1, 2017 between Imprimis Pharmaceuticals, Inc. and Richard L. Lindstrom, M.D. (incorporated herein by</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reference to Exhibit 10.1 to the Current Report on Form 8-K of Imprimis Pharmaceuticals, Inc. filed with the Securities and Exchange</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Commission on April 6,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03">
        <w:r>
          <w:rPr>
            <w:rFonts w:ascii="Arial" w:cs="Arial" w:eastAsia="Arial" w:hAnsi="Arial"/>
            <w:sz w:val="18"/>
            <w:szCs w:val="18"/>
            <w:u w:val="single" w:color="auto"/>
            <w:color w:val="0000EE"/>
          </w:rPr>
          <w:t>Strategic Sales &amp; Marketing Agreement dated April 13, 2017 between Imprimis Pharmaceuticals, Inc. and Cameron Ehlen Group, Inc.</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(incorporated herein by reference to Exhibit 10.1 to the Current Report on Form 8-K of Imprimis Pharmaceuticals, Inc. filed with the</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Securities and Exchange Commission on April 17,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04">
        <w:r>
          <w:rPr>
            <w:rFonts w:ascii="Arial" w:cs="Arial" w:eastAsia="Arial" w:hAnsi="Arial"/>
            <w:sz w:val="18"/>
            <w:szCs w:val="18"/>
            <w:u w:val="single" w:color="auto"/>
            <w:color w:val="0000EE"/>
          </w:rPr>
          <w:t>Strategic Sales &amp; Marketing Agreement dated April 28, 2017 between Imprimis Pharmaceuticals, Inc. and SightLife Surgical, Inc.</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(incorporated herein by reference to Exhibit 10.1 to the Current Report on Form 8-K of Imprimis Pharmaceuticals, Inc. filed with the</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Securities and Exchange Commission on May 2,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05">
        <w:r>
          <w:rPr>
            <w:rFonts w:ascii="Arial" w:cs="Arial" w:eastAsia="Arial" w:hAnsi="Arial"/>
            <w:sz w:val="18"/>
            <w:szCs w:val="18"/>
            <w:u w:val="single" w:color="auto"/>
            <w:color w:val="0000EE"/>
          </w:rPr>
          <w:t>Consulting Agreement dated May 1, 2017 between Eton Pharmaceuticals, Inc. and Mark L. Baum (incorporated herein by reference to</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Exhibit 10.8 to the Quarterly Report on Form 10-Q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August 10,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06">
        <w:r>
          <w:rPr>
            <w:rFonts w:ascii="Arial" w:cs="Arial" w:eastAsia="Arial" w:hAnsi="Arial"/>
            <w:sz w:val="18"/>
            <w:szCs w:val="18"/>
            <w:u w:val="single" w:color="auto"/>
            <w:color w:val="0000EE"/>
          </w:rPr>
          <w:t>Consulting Agreement dated May 1, 2017 between Eton Pharmaceuticals, Inc. and Andrew R. Boll (incorporated herein by reference to</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Exhibit 10.9 to the Quarterly Report on Form 10-Q of Imprimis Pharmaceuticals, Inc. filed with the Securities and Exchange Commission on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August 10,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07">
        <w:r>
          <w:rPr>
            <w:rFonts w:ascii="Arial" w:cs="Arial" w:eastAsia="Arial" w:hAnsi="Arial"/>
            <w:sz w:val="18"/>
            <w:szCs w:val="18"/>
            <w:u w:val="single" w:color="auto"/>
            <w:color w:val="0000EE"/>
          </w:rPr>
          <w:t>Consulting Agreement dated May 1, 2017 between Eton Pharmaceuticals, Inc. and John P. Saharek (incorporated herein by reference to</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Exhibit 10.10 to the Quarterly Report on Form 10-Q of Imprimis Pharmaceuticals, Inc. filed with the Securities and Exchange Commission</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on August 10,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08">
        <w:r>
          <w:rPr>
            <w:rFonts w:ascii="Arial" w:cs="Arial" w:eastAsia="Arial" w:hAnsi="Arial"/>
            <w:sz w:val="18"/>
            <w:szCs w:val="18"/>
            <w:u w:val="single" w:color="auto"/>
            <w:color w:val="0000EE"/>
          </w:rPr>
          <w:t>Asset Purchase and License Agreement (pentoxifylline) dated May 9, 2017 between Imprimis Pharmaceuticals, Inc. and Eton</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Pharmaceuticals, Inc. (incorporated herein by reference to Exhibit 10.1 to the Current Report on Form 8-K of Imprimis Pharmaceuticals, Inc.</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filed with the Securities and Exchange Commission on June 20,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109">
        <w:r>
          <w:rPr>
            <w:rFonts w:ascii="Arial" w:cs="Arial" w:eastAsia="Arial" w:hAnsi="Arial"/>
            <w:sz w:val="18"/>
            <w:szCs w:val="18"/>
            <w:u w:val="single" w:color="auto"/>
            <w:color w:val="0000EE"/>
          </w:rPr>
          <w:t>Asset Purchase and License Agreement (corticotropin) dated May 9, 2017 between Imprimis Pharmaceuticals, Inc. and Eton</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Pharmaceuticals, Inc. (incorporated herein by reference to Exhibit 10.2 to the Current Report on Form 8-K of Imprimis Pharmaceuticals, Inc.</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filed with the Securities and Exchange Commission on June 20,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r:id="rId110">
        <w:r>
          <w:rPr>
            <w:rFonts w:ascii="Arial" w:cs="Arial" w:eastAsia="Arial" w:hAnsi="Arial"/>
            <w:sz w:val="18"/>
            <w:szCs w:val="18"/>
            <w:u w:val="single" w:color="auto"/>
            <w:color w:val="0000EE"/>
          </w:rPr>
          <w:t>Management Services Agreement dated May 1, 2017 between Imprimis Pharmaceuticals, Inc. and Eton Pharmaceuticals, Inc. (incorporated</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herein by reference to Exhibit 10.4 to the Current Report on Form 8-K of Imprimis Pharmaceuticals, Inc. filed with the Securities and</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Exchange Commission on June 20,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0"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10.43#</w:t>
      </w:r>
      <w:r>
        <w:rPr>
          <w:sz w:val="20"/>
          <w:szCs w:val="20"/>
          <w:color w:val="auto"/>
        </w:rPr>
        <w:tab/>
      </w:r>
      <w:hyperlink r:id="rId111">
        <w:r>
          <w:rPr>
            <w:rFonts w:ascii="Arial" w:cs="Arial" w:eastAsia="Arial" w:hAnsi="Arial"/>
            <w:sz w:val="18"/>
            <w:szCs w:val="18"/>
            <w:u w:val="single" w:color="auto"/>
            <w:color w:val="0000EE"/>
          </w:rPr>
          <w:t>Consulting Agreement dated October 27, 2017 between Surface Pharmaceuticals, Inc. and Mark L. Baum (incorporated herein by reference</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to Exhibit 10.53 to the Annual Report on Form 10-K of Imprimis Pharmaceuticals, Inc. filed with the Securities and Exchange Commission</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on March 8, 2017)</w:t>
        </w:r>
      </w:hyperlink>
    </w:p>
    <w:p>
      <w:pPr>
        <w:spacing w:after="0" w:line="1" w:lineRule="exact"/>
        <w:rPr>
          <w:rFonts w:ascii="Arial" w:cs="Arial" w:eastAsia="Arial" w:hAnsi="Arial"/>
          <w:sz w:val="18"/>
          <w:szCs w:val="18"/>
          <w:u w:val="single" w:color="auto"/>
          <w:color w:val="0000EE"/>
        </w:rPr>
      </w:pPr>
    </w:p>
    <w:p>
      <w:pPr>
        <w:jc w:val="both"/>
        <w:ind w:left="1040" w:hanging="1025"/>
        <w:spacing w:after="0" w:line="255"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r:id="rId112">
        <w:r>
          <w:rPr>
            <w:rFonts w:ascii="Arial" w:cs="Arial" w:eastAsia="Arial" w:hAnsi="Arial"/>
            <w:sz w:val="18"/>
            <w:szCs w:val="18"/>
            <w:u w:val="single" w:color="auto"/>
            <w:color w:val="0000EE"/>
          </w:rPr>
          <w:t>Consulting Agreement dated October 27, 2017 between Surface Pharmaceuticals, Inc. and Andrew R. Boll (incorporated herein by reference</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to Exhibit 10.54 to the Annual Report on Form 10-K of Imprimis Pharmaceuticals, Inc. filed with the Securities and Exchange Commission</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on March 8, 2017)</w:t>
        </w:r>
      </w:hyperlink>
    </w:p>
    <w:p>
      <w:pPr>
        <w:spacing w:after="0" w:line="217"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10.45#</w:t>
            </w:r>
          </w:p>
        </w:tc>
        <w:tc>
          <w:tcPr>
            <w:tcW w:w="10200" w:type="dxa"/>
            <w:vAlign w:val="bottom"/>
            <w:tcBorders>
              <w:bottom w:val="single" w:sz="8" w:color="0000EE"/>
            </w:tcBorders>
            <w:gridSpan w:val="16"/>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Consulting Agreement dated October 27, 2017 between Surface Pharmaceuticals, Inc. and John P. Saharek (incorporated herein by reference</w:t>
              </w:r>
            </w:hyperlink>
          </w:p>
        </w:tc>
      </w:tr>
      <w:tr>
        <w:trPr>
          <w:trHeight w:val="196"/>
        </w:trPr>
        <w:tc>
          <w:tcPr>
            <w:tcW w:w="10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to Exhibit 10.55 to the Annual Report on Form 10-K of Imprimis Pharmaceuticals, Inc. filed with the Securities and Exchange Commission</w:t>
              </w:r>
            </w:hyperlink>
          </w:p>
        </w:tc>
      </w:tr>
      <w:tr>
        <w:trPr>
          <w:trHeight w:val="196"/>
        </w:trPr>
        <w:tc>
          <w:tcPr>
            <w:tcW w:w="10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on March 8, 2017)</w:t>
              </w:r>
            </w:hyperlink>
          </w:p>
        </w:tc>
        <w:tc>
          <w:tcPr>
            <w:tcW w:w="88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10.46</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Asset Purchase and License Agreement dated September 28, 2017 between Imprimis Pharmaceuticals, Inc. and Surface Pharmaceuticals, Inc.</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115">
              <w:r>
                <w:rPr>
                  <w:rFonts w:ascii="Arial" w:cs="Arial" w:eastAsia="Arial" w:hAnsi="Arial"/>
                  <w:sz w:val="18"/>
                  <w:szCs w:val="18"/>
                  <w:color w:val="0000EE"/>
                  <w:w w:val="97"/>
                </w:rPr>
                <w:t>(incorporated herein by reference to Exhibit 10.1 to the Current Report on Form 8-K of Imprimis Pharmaceuticals, Inc. filed with the</w:t>
              </w:r>
            </w:hyperlink>
          </w:p>
        </w:tc>
      </w:tr>
      <w:tr>
        <w:trPr>
          <w:trHeight w:val="196"/>
        </w:trPr>
        <w:tc>
          <w:tcPr>
            <w:tcW w:w="1040" w:type="dxa"/>
            <w:vAlign w:val="bottom"/>
          </w:tcPr>
          <w:p>
            <w:pPr>
              <w:spacing w:after="0"/>
              <w:rPr>
                <w:sz w:val="17"/>
                <w:szCs w:val="17"/>
                <w:color w:val="auto"/>
              </w:rPr>
            </w:pPr>
          </w:p>
        </w:tc>
        <w:tc>
          <w:tcPr>
            <w:tcW w:w="4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Securities and Exchange Commission on May 15, 2018)</w:t>
              </w:r>
            </w:hyperlink>
          </w:p>
        </w:tc>
        <w:tc>
          <w:tcPr>
            <w:tcW w:w="6140" w:type="dxa"/>
            <w:vAlign w:val="bottom"/>
            <w:gridSpan w:val="6"/>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10.47</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Amended and Restated Asset Purchase and License Agreement dated April 10, 2018 between Imprimis Pharmaceuticals, Inc. and Surface</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Pharmaceuticals, Inc. (incorporated herein by reference to Exhibit 10.2 to the Current Report on Form 8-K of Imprimis Pharmaceuticals, Inc.</w:t>
              </w:r>
            </w:hyperlink>
          </w:p>
        </w:tc>
      </w:tr>
      <w:tr>
        <w:trPr>
          <w:trHeight w:val="196"/>
        </w:trPr>
        <w:tc>
          <w:tcPr>
            <w:tcW w:w="1040" w:type="dxa"/>
            <w:vAlign w:val="bottom"/>
          </w:tcPr>
          <w:p>
            <w:pPr>
              <w:spacing w:after="0"/>
              <w:rPr>
                <w:sz w:val="17"/>
                <w:szCs w:val="17"/>
                <w:color w:val="auto"/>
              </w:rPr>
            </w:pPr>
          </w:p>
        </w:tc>
        <w:tc>
          <w:tcPr>
            <w:tcW w:w="50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filed with the Securities and Exchange Commission on May 15, 2018)</w:t>
              </w:r>
            </w:hyperlink>
          </w:p>
        </w:tc>
        <w:tc>
          <w:tcPr>
            <w:tcW w:w="5140" w:type="dxa"/>
            <w:vAlign w:val="bottom"/>
            <w:gridSpan w:val="3"/>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10.48</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Amended and Restated License Agreement dated April 10, 2018 between Imprimis Pharmaceuticals, Inc. and Richard L. Lindstrom, M.D.</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(incorporated herein by reference to Exhibit 10.3 to the Quarterly Report on Form 10-Q of Imprimis Pharmaceuticals, Inc. filed with the</w:t>
              </w:r>
            </w:hyperlink>
          </w:p>
        </w:tc>
      </w:tr>
      <w:tr>
        <w:trPr>
          <w:trHeight w:val="196"/>
        </w:trPr>
        <w:tc>
          <w:tcPr>
            <w:tcW w:w="1040" w:type="dxa"/>
            <w:vAlign w:val="bottom"/>
          </w:tcPr>
          <w:p>
            <w:pPr>
              <w:spacing w:after="0"/>
              <w:rPr>
                <w:sz w:val="17"/>
                <w:szCs w:val="17"/>
                <w:color w:val="auto"/>
              </w:rPr>
            </w:pPr>
          </w:p>
        </w:tc>
        <w:tc>
          <w:tcPr>
            <w:tcW w:w="4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Securities and Exchange Commission on August 6, 2018)</w:t>
              </w:r>
            </w:hyperlink>
          </w:p>
        </w:tc>
        <w:tc>
          <w:tcPr>
            <w:tcW w:w="6040" w:type="dxa"/>
            <w:vAlign w:val="bottom"/>
            <w:gridSpan w:val="5"/>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10.49</w:t>
            </w:r>
          </w:p>
        </w:tc>
        <w:tc>
          <w:tcPr>
            <w:tcW w:w="10200" w:type="dxa"/>
            <w:vAlign w:val="bottom"/>
            <w:gridSpan w:val="16"/>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Consulting Agreement dated March 1, 2018 between Surface Pharmaceuticals, Inc. and Richard L. Lindstrom, M.D. (incorporated herein by</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reference to Exhibit 10.4 to the Quarterly Report on Form 10-Q of Imprimis Pharmaceuticals, Inc. filed with the Securities and Exchange</w:t>
              </w:r>
            </w:hyperlink>
          </w:p>
        </w:tc>
      </w:tr>
      <w:tr>
        <w:trPr>
          <w:trHeight w:val="196"/>
        </w:trPr>
        <w:tc>
          <w:tcPr>
            <w:tcW w:w="104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Commission on August 6, 2018)</w:t>
              </w:r>
            </w:hyperlink>
          </w:p>
        </w:tc>
        <w:tc>
          <w:tcPr>
            <w:tcW w:w="7860" w:type="dxa"/>
            <w:vAlign w:val="bottom"/>
            <w:gridSpan w:val="8"/>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10.50#</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19">
              <w:r>
                <w:rPr>
                  <w:rFonts w:ascii="Arial" w:cs="Arial" w:eastAsia="Arial" w:hAnsi="Arial"/>
                  <w:sz w:val="18"/>
                  <w:szCs w:val="18"/>
                  <w:color w:val="0000EE"/>
                  <w:w w:val="95"/>
                </w:rPr>
                <w:t>Consulting Agreement dated May 1, 2018 between Melt Pharmaceuticals, Inc. and Mark L. Baum (incorporated herein by reference to</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Exhibit 10.1 to the Quarterly Report on Form 10-Q of Imprimis Pharmaceuticals, Inc. filed with the Securities and Exchange Commission on</w:t>
              </w:r>
            </w:hyperlink>
          </w:p>
        </w:tc>
      </w:tr>
      <w:tr>
        <w:trPr>
          <w:trHeight w:val="196"/>
        </w:trPr>
        <w:tc>
          <w:tcPr>
            <w:tcW w:w="10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November 13, 2018)</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10.51#</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20">
              <w:r>
                <w:rPr>
                  <w:rFonts w:ascii="Arial" w:cs="Arial" w:eastAsia="Arial" w:hAnsi="Arial"/>
                  <w:sz w:val="18"/>
                  <w:szCs w:val="18"/>
                  <w:color w:val="0000EE"/>
                  <w:w w:val="95"/>
                </w:rPr>
                <w:t>Consulting Agreement dated May 1, 2018 between Melt Pharmaceuticals, Inc. and Andrew R. Boll (incorporated herein by reference to</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Exhibit 10.2 to the Quarterly Report on Form 10-Q of Imprimis Pharmaceuticals, Inc. filed with the Securities and Exchange Commission on</w:t>
              </w:r>
            </w:hyperlink>
          </w:p>
        </w:tc>
      </w:tr>
      <w:tr>
        <w:trPr>
          <w:trHeight w:val="196"/>
        </w:trPr>
        <w:tc>
          <w:tcPr>
            <w:tcW w:w="10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November 13, 2018)</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10.52#</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Consulting Agreement dated May 1, 2018 between Melt Pharmaceuticals, Inc. and John P. Saharek (incorporated herein by reference to</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Exhibit 10.3 to the Quarterly Report on Form 10-Q of Imprimis Pharmaceuticals, Inc. filed with the Securities and Exchange Commission on</w:t>
              </w:r>
            </w:hyperlink>
          </w:p>
        </w:tc>
      </w:tr>
      <w:tr>
        <w:trPr>
          <w:trHeight w:val="196"/>
        </w:trPr>
        <w:tc>
          <w:tcPr>
            <w:tcW w:w="10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November 13, 2018)</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10.53</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8"/>
              </w:rPr>
            </w:pPr>
            <w:hyperlink r:id="rId122">
              <w:r>
                <w:rPr>
                  <w:rFonts w:ascii="Arial" w:cs="Arial" w:eastAsia="Arial" w:hAnsi="Arial"/>
                  <w:sz w:val="18"/>
                  <w:szCs w:val="18"/>
                  <w:color w:val="0000EE"/>
                  <w:w w:val="98"/>
                </w:rPr>
                <w:t>Asset Purchase Agreement dated December 11, 2018 between Harrow Health, Inc. (fka Imprimis Pharmaceuticals, Inc.) and Melt</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Pharmaceuticals, Inc. (incorporated herein by reference to Exhibit 10.1 to the Current Report on Form 8-K of Harrow Health, Inc. filed with</w:t>
              </w:r>
            </w:hyperlink>
          </w:p>
        </w:tc>
      </w:tr>
      <w:tr>
        <w:trPr>
          <w:trHeight w:val="196"/>
        </w:trPr>
        <w:tc>
          <w:tcPr>
            <w:tcW w:w="10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the Securities and Exchange Commission on February 5, 2019)</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10.54</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Asset Purchase Agreement dated February 1, 2019 between Harrow Health, Inc. and Mayfield Pharmaceuticals, Inc. (incorporated herein by</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reference to Exhibit 10.2 to the Quarterly Report on Form 10-Q of Harrow Health, Inc. filed with the Securities and Exchange Commission</w:t>
              </w:r>
            </w:hyperlink>
          </w:p>
        </w:tc>
      </w:tr>
      <w:tr>
        <w:trPr>
          <w:trHeight w:val="196"/>
        </w:trPr>
        <w:tc>
          <w:tcPr>
            <w:tcW w:w="1040" w:type="dxa"/>
            <w:vAlign w:val="bottom"/>
          </w:tcPr>
          <w:p>
            <w:pPr>
              <w:spacing w:after="0"/>
              <w:rPr>
                <w:sz w:val="17"/>
                <w:szCs w:val="17"/>
                <w:color w:val="auto"/>
              </w:rPr>
            </w:pPr>
          </w:p>
        </w:tc>
        <w:tc>
          <w:tcPr>
            <w:tcW w:w="12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on May 9, 2019)</w:t>
              </w:r>
            </w:hyperlink>
          </w:p>
        </w:tc>
        <w:tc>
          <w:tcPr>
            <w:tcW w:w="9000" w:type="dxa"/>
            <w:vAlign w:val="bottom"/>
            <w:gridSpan w:val="1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10.55</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Asset Purchase Agreement dated February 1, 2019 between Harrow Health, Inc. and Elle Pharmaceuticals, Inc.  (incorporated herein by</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reference to Exhibit 10.3 to the Quarterly Report on Form 10-Q of Harrow Health, Inc. filed with the Securities and Exchange Commission</w:t>
              </w:r>
            </w:hyperlink>
          </w:p>
        </w:tc>
      </w:tr>
      <w:tr>
        <w:trPr>
          <w:trHeight w:val="196"/>
        </w:trPr>
        <w:tc>
          <w:tcPr>
            <w:tcW w:w="1040" w:type="dxa"/>
            <w:vAlign w:val="bottom"/>
          </w:tcPr>
          <w:p>
            <w:pPr>
              <w:spacing w:after="0"/>
              <w:rPr>
                <w:sz w:val="17"/>
                <w:szCs w:val="17"/>
                <w:color w:val="auto"/>
              </w:rPr>
            </w:pPr>
          </w:p>
        </w:tc>
        <w:tc>
          <w:tcPr>
            <w:tcW w:w="12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on May 9, 2019)</w:t>
              </w:r>
            </w:hyperlink>
          </w:p>
        </w:tc>
        <w:tc>
          <w:tcPr>
            <w:tcW w:w="9000" w:type="dxa"/>
            <w:vAlign w:val="bottom"/>
            <w:gridSpan w:val="1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10.56</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Joinder and Amendment to Loan and Security Agreement, dated May 24, 2019, by and between Harrow Health, Inc., each of its wholly</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owned subsidiaries and SWK Funding LLC. (incorporated herein by reference to Exhibit 10.1 to the Current Report on Form 8-K of Harrow</w:t>
              </w:r>
            </w:hyperlink>
          </w:p>
        </w:tc>
      </w:tr>
      <w:tr>
        <w:trPr>
          <w:trHeight w:val="196"/>
        </w:trPr>
        <w:tc>
          <w:tcPr>
            <w:tcW w:w="10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Health, Inc. filed with the Securities and Exchange Commission on May 29, 2019)</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10.57#</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Consulting Agreement dated June 3, 2019 between Mayfield Pharmaceuticals, Inc. and Mark L. Baum (incorporated herein by reference to</w:t>
              </w:r>
            </w:hyperlink>
          </w:p>
        </w:tc>
      </w:tr>
      <w:tr>
        <w:trPr>
          <w:trHeight w:val="196"/>
        </w:trPr>
        <w:tc>
          <w:tcPr>
            <w:tcW w:w="10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Exhibit 10.3 to the Quarterly Report on Form 10-Q of Harrow Health, Inc. filed with the Securities and Exchange Commission on August 14,</w:t>
              </w:r>
            </w:hyperlink>
          </w:p>
        </w:tc>
      </w:tr>
      <w:tr>
        <w:trPr>
          <w:trHeight w:val="196"/>
        </w:trPr>
        <w:tc>
          <w:tcPr>
            <w:tcW w:w="104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2019)</w:t>
              </w:r>
            </w:hyperlink>
          </w:p>
        </w:tc>
        <w:tc>
          <w:tcPr>
            <w:tcW w:w="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10.58#</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Consulting Agreement dated June 3, 2019 between Mayfield Pharmaceuticals, Inc. and Andrew R. Boll (incorporated herein by reference to</w:t>
              </w:r>
            </w:hyperlink>
          </w:p>
        </w:tc>
      </w:tr>
      <w:tr>
        <w:trPr>
          <w:trHeight w:val="196"/>
        </w:trPr>
        <w:tc>
          <w:tcPr>
            <w:tcW w:w="10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Exhibit 10.2 to the Quarterly Report on Form 10-Q of Harrow Health, Inc. filed with the Securities and Exchange Commission on August 14,</w:t>
              </w:r>
            </w:hyperlink>
          </w:p>
        </w:tc>
      </w:tr>
      <w:tr>
        <w:trPr>
          <w:trHeight w:val="196"/>
        </w:trPr>
        <w:tc>
          <w:tcPr>
            <w:tcW w:w="104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2019)</w:t>
              </w:r>
            </w:hyperlink>
          </w:p>
        </w:tc>
        <w:tc>
          <w:tcPr>
            <w:tcW w:w="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10.59#</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Consulting Agreement dated June 3, 2019 between Mayfield Pharmaceuticals, Inc. and John P. Saharek (incorporated herein by reference to</w:t>
              </w:r>
            </w:hyperlink>
          </w:p>
        </w:tc>
      </w:tr>
      <w:tr>
        <w:trPr>
          <w:trHeight w:val="196"/>
        </w:trPr>
        <w:tc>
          <w:tcPr>
            <w:tcW w:w="1040" w:type="dxa"/>
            <w:vAlign w:val="bottom"/>
          </w:tcPr>
          <w:p>
            <w:pPr>
              <w:spacing w:after="0"/>
              <w:rPr>
                <w:sz w:val="17"/>
                <w:szCs w:val="17"/>
                <w:color w:val="auto"/>
              </w:rPr>
            </w:pPr>
          </w:p>
        </w:tc>
        <w:tc>
          <w:tcPr>
            <w:tcW w:w="10200" w:type="dxa"/>
            <w:vAlign w:val="bottom"/>
            <w:gridSpan w:val="16"/>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Exhibit 10.4 to the Quarterly Report on Form 10-Q of Harrow Health, Inc. filed with the Securities and Exchange Commission on August 14,</w:t>
              </w:r>
            </w:hyperlink>
          </w:p>
        </w:tc>
      </w:tr>
      <w:tr>
        <w:trPr>
          <w:trHeight w:val="196"/>
        </w:trPr>
        <w:tc>
          <w:tcPr>
            <w:tcW w:w="10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8">
              <w:r>
                <w:rPr>
                  <w:rFonts w:ascii="Arial" w:cs="Arial" w:eastAsia="Arial" w:hAnsi="Arial"/>
                  <w:sz w:val="18"/>
                  <w:szCs w:val="18"/>
                  <w:color w:val="0000EE"/>
                  <w:w w:val="86"/>
                </w:rPr>
                <w:t>2019)</w:t>
              </w:r>
            </w:hyperlink>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10.60</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29">
              <w:r>
                <w:rPr>
                  <w:rFonts w:ascii="Arial" w:cs="Arial" w:eastAsia="Arial" w:hAnsi="Arial"/>
                  <w:sz w:val="18"/>
                  <w:szCs w:val="18"/>
                  <w:color w:val="0000EE"/>
                  <w:w w:val="95"/>
                </w:rPr>
                <w:t>Asset Purchase Agreement, dated July 26, 2019, by and between Park Compounding, Inc. and Noice Rx, LLC (incorporated herein by</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reference to Exhibit 10.1 to the Quarterly Report on Form 10-Q of Harrow Health, Inc. filed with the Securities and Exchange Commission</w:t>
              </w:r>
            </w:hyperlink>
          </w:p>
        </w:tc>
      </w:tr>
      <w:tr>
        <w:trPr>
          <w:trHeight w:val="196"/>
        </w:trPr>
        <w:tc>
          <w:tcPr>
            <w:tcW w:w="104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on November 13, 2019)</w:t>
              </w:r>
            </w:hyperlink>
          </w:p>
        </w:tc>
        <w:tc>
          <w:tcPr>
            <w:tcW w:w="8480" w:type="dxa"/>
            <w:vAlign w:val="bottom"/>
            <w:gridSpan w:val="9"/>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10.61</w:t>
            </w:r>
          </w:p>
        </w:tc>
        <w:tc>
          <w:tcPr>
            <w:tcW w:w="10200" w:type="dxa"/>
            <w:vAlign w:val="bottom"/>
            <w:gridSpan w:val="16"/>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Loan Agreement, dated July 26, 2019, by and between Park Compounding, Inc. and Noice Rx, LLC (incorporated herein by reference to</w:t>
              </w:r>
            </w:hyperlink>
          </w:p>
        </w:tc>
      </w:tr>
      <w:tr>
        <w:trPr>
          <w:trHeight w:val="20"/>
        </w:trPr>
        <w:tc>
          <w:tcPr>
            <w:tcW w:w="10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74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Exhibit 10.2 to the Quarterly Report on Form 10-Q of Harrow Health, Inc. filed with the Securities and Exchange Commission on November</w:t>
              </w:r>
            </w:hyperlink>
          </w:p>
        </w:tc>
      </w:tr>
      <w:tr>
        <w:trPr>
          <w:trHeight w:val="196"/>
        </w:trPr>
        <w:tc>
          <w:tcPr>
            <w:tcW w:w="104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130">
              <w:r>
                <w:rPr>
                  <w:rFonts w:ascii="Arial" w:cs="Arial" w:eastAsia="Arial" w:hAnsi="Arial"/>
                  <w:sz w:val="18"/>
                  <w:szCs w:val="18"/>
                  <w:color w:val="0000EE"/>
                  <w:w w:val="86"/>
                </w:rPr>
                <w:t>13, 2019)</w:t>
              </w:r>
            </w:hyperlink>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10.62</w:t>
            </w: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License Agreement, dated July 28, 2019, among Mayfield Pharmaceuticals, Inc., TGV-Health, LLC and TGV-Gyneconix, LLC (incorporated</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herein by reference to Exhibit 10.3 to the Quarterly Report on Form 10-Q of Harrow Health, Inc. filed with the Securities and Exchange</w:t>
              </w:r>
            </w:hyperlink>
          </w:p>
        </w:tc>
      </w:tr>
      <w:tr>
        <w:trPr>
          <w:trHeight w:val="196"/>
        </w:trPr>
        <w:tc>
          <w:tcPr>
            <w:tcW w:w="1040" w:type="dxa"/>
            <w:vAlign w:val="bottom"/>
          </w:tcPr>
          <w:p>
            <w:pPr>
              <w:spacing w:after="0"/>
              <w:rPr>
                <w:sz w:val="17"/>
                <w:szCs w:val="17"/>
                <w:color w:val="auto"/>
              </w:rPr>
            </w:pPr>
          </w:p>
        </w:tc>
        <w:tc>
          <w:tcPr>
            <w:tcW w:w="27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Commission on November 13, 2019).</w:t>
              </w:r>
            </w:hyperlink>
          </w:p>
        </w:tc>
        <w:tc>
          <w:tcPr>
            <w:tcW w:w="7480" w:type="dxa"/>
            <w:vAlign w:val="bottom"/>
            <w:gridSpan w:val="7"/>
          </w:tcPr>
          <w:p>
            <w:pPr>
              <w:spacing w:after="0"/>
              <w:rPr>
                <w:sz w:val="17"/>
                <w:szCs w:val="17"/>
                <w:color w:val="auto"/>
              </w:rPr>
            </w:pPr>
          </w:p>
        </w:tc>
      </w:tr>
      <w:tr>
        <w:trPr>
          <w:trHeight w:val="486"/>
        </w:trPr>
        <w:tc>
          <w:tcPr>
            <w:tcW w:w="10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13"/>
          </w:tcPr>
          <w:p>
            <w:pPr>
              <w:ind w:left="4500"/>
              <w:spacing w:after="0"/>
              <w:rPr>
                <w:sz w:val="20"/>
                <w:szCs w:val="20"/>
                <w:color w:val="auto"/>
              </w:rPr>
            </w:pPr>
            <w:r>
              <w:rPr>
                <w:rFonts w:ascii="Arial" w:cs="Arial" w:eastAsia="Arial" w:hAnsi="Arial"/>
                <w:sz w:val="18"/>
                <w:szCs w:val="18"/>
                <w:color w:val="auto"/>
              </w:rPr>
              <w:t>54</w:t>
            </w:r>
          </w:p>
        </w:tc>
        <w:tc>
          <w:tcPr>
            <w:tcW w:w="8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10.63</w:t>
            </w:r>
          </w:p>
        </w:tc>
        <w:tc>
          <w:tcPr>
            <w:tcW w:w="10200" w:type="dxa"/>
            <w:vAlign w:val="bottom"/>
            <w:tcBorders>
              <w:bottom w:val="single" w:sz="8" w:color="0000EE"/>
            </w:tcBorders>
            <w:gridSpan w:val="12"/>
          </w:tcPr>
          <w:p>
            <w:pPr>
              <w:spacing w:after="0"/>
              <w:rPr>
                <w:rFonts w:ascii="Arial" w:cs="Arial" w:eastAsia="Arial" w:hAnsi="Arial"/>
                <w:sz w:val="18"/>
                <w:szCs w:val="18"/>
                <w:color w:val="0000EE"/>
                <w:w w:val="93"/>
              </w:rPr>
            </w:pPr>
            <w:hyperlink r:id="rId132">
              <w:r>
                <w:rPr>
                  <w:rFonts w:ascii="Arial" w:cs="Arial" w:eastAsia="Arial" w:hAnsi="Arial"/>
                  <w:sz w:val="18"/>
                  <w:szCs w:val="18"/>
                  <w:color w:val="0000EE"/>
                  <w:w w:val="93"/>
                </w:rPr>
                <w:t>License Agreement, dated July 29, 2019, among Stowe Pharmaceuticals, Inc., TGV-Health, LLC and TGV-Ophthalnix, LLC (incorporated</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herein by reference to Exhibit 10.4 to the Quarterly Report on Form 10-Q of Harrow Health, Inc. filed with the Securities and Exchange</w:t>
              </w:r>
            </w:hyperlink>
          </w:p>
        </w:tc>
      </w:tr>
      <w:tr>
        <w:trPr>
          <w:trHeight w:val="196"/>
        </w:trPr>
        <w:tc>
          <w:tcPr>
            <w:tcW w:w="1040" w:type="dxa"/>
            <w:vAlign w:val="bottom"/>
          </w:tcPr>
          <w:p>
            <w:pPr>
              <w:spacing w:after="0"/>
              <w:rPr>
                <w:sz w:val="17"/>
                <w:szCs w:val="17"/>
                <w:color w:val="auto"/>
              </w:rPr>
            </w:pPr>
          </w:p>
        </w:tc>
        <w:tc>
          <w:tcPr>
            <w:tcW w:w="27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Commission on November 13, 2019).</w:t>
              </w:r>
            </w:hyperlink>
          </w:p>
        </w:tc>
        <w:tc>
          <w:tcPr>
            <w:tcW w:w="2880" w:type="dxa"/>
            <w:vAlign w:val="bottom"/>
            <w:gridSpan w:val="4"/>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10.64#*</w:t>
            </w:r>
          </w:p>
        </w:tc>
        <w:tc>
          <w:tcPr>
            <w:tcW w:w="7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Consulting Agreement dated February 13, 2020 between Stowe Pharmaceuticals, Inc. and Mark L. Baum</w:t>
              </w:r>
            </w:hyperlink>
          </w:p>
        </w:tc>
        <w:tc>
          <w:tcPr>
            <w:tcW w:w="2620" w:type="dxa"/>
            <w:vAlign w:val="bottom"/>
            <w:gridSpan w:val="4"/>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10.65#*</w:t>
            </w:r>
          </w:p>
        </w:tc>
        <w:tc>
          <w:tcPr>
            <w:tcW w:w="76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Consulting Agreement dated February 13, 2020 between Stowe Pharmaceuticals, Inc. and Andrew R. Boll</w:t>
              </w:r>
            </w:hyperlink>
          </w:p>
        </w:tc>
        <w:tc>
          <w:tcPr>
            <w:tcW w:w="2540" w:type="dxa"/>
            <w:vAlign w:val="bottom"/>
            <w:gridSpan w:val="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10.66#*</w:t>
            </w:r>
          </w:p>
        </w:tc>
        <w:tc>
          <w:tcPr>
            <w:tcW w:w="10200" w:type="dxa"/>
            <w:vAlign w:val="bottom"/>
            <w:gridSpan w:val="12"/>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Consulting Agreement dated February 13, 2020 between Stowe Pharmaceuticals, Inc. and John P. Saharek</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37">
              <w:r>
                <w:rPr>
                  <w:rFonts w:ascii="Arial" w:cs="Arial" w:eastAsia="Arial" w:hAnsi="Arial"/>
                  <w:sz w:val="18"/>
                  <w:szCs w:val="18"/>
                  <w:color w:val="0000EE"/>
                  <w:w w:val="91"/>
                </w:rPr>
                <w:t>List of Subsidiaries</w:t>
              </w:r>
            </w:hyperlink>
          </w:p>
        </w:tc>
        <w:tc>
          <w:tcPr>
            <w:tcW w:w="4200" w:type="dxa"/>
            <w:vAlign w:val="bottom"/>
            <w:tcBorders>
              <w:top w:val="single" w:sz="8" w:color="0000EE"/>
            </w:tcBorders>
            <w:gridSpan w:val="6"/>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Consent of Independent Registered Public Accounting Firm</w:t>
              </w:r>
            </w:hyperlink>
          </w:p>
        </w:tc>
        <w:tc>
          <w:tcPr>
            <w:tcW w:w="128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53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Power of Attorney (included on the signature page to this Annual Report)</w:t>
              </w:r>
            </w:hyperlink>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5600" w:type="dxa"/>
            <w:vAlign w:val="bottom"/>
            <w:tcBorders>
              <w:bottom w:val="single" w:sz="8" w:color="0000EE"/>
            </w:tcBorders>
            <w:gridSpan w:val="7"/>
          </w:tcPr>
          <w:p>
            <w:pPr>
              <w:spacing w:after="0" w:line="196" w:lineRule="exact"/>
              <w:rPr>
                <w:rFonts w:ascii="Arial" w:cs="Arial" w:eastAsia="Arial" w:hAnsi="Arial"/>
                <w:sz w:val="18"/>
                <w:szCs w:val="18"/>
                <w:color w:val="0000EE"/>
                <w:w w:val="98"/>
              </w:rPr>
            </w:pPr>
            <w:hyperlink w:anchor="page139">
              <w:r>
                <w:rPr>
                  <w:rFonts w:ascii="Arial" w:cs="Arial" w:eastAsia="Arial" w:hAnsi="Arial"/>
                  <w:sz w:val="18"/>
                  <w:szCs w:val="18"/>
                  <w:color w:val="0000EE"/>
                  <w:w w:val="98"/>
                </w:rPr>
                <w:t>Certification of Mark L. Baum, Chief Executive Officer, pursuant to Rule</w:t>
              </w:r>
            </w:hyperlink>
          </w:p>
        </w:tc>
        <w:tc>
          <w:tcPr>
            <w:tcW w:w="46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39">
              <w:r>
                <w:rPr>
                  <w:rFonts w:ascii="Arial" w:cs="Arial" w:eastAsia="Arial" w:hAnsi="Arial"/>
                  <w:sz w:val="18"/>
                  <w:szCs w:val="18"/>
                  <w:color w:val="0000EE"/>
                  <w:w w:val="93"/>
                </w:rPr>
                <w:t>13a-14(a) or 15d-14(a) of the Securities and Exchange Act of</w:t>
              </w:r>
            </w:hyperlink>
          </w:p>
        </w:tc>
      </w:tr>
      <w:tr>
        <w:trPr>
          <w:trHeight w:val="196"/>
        </w:trPr>
        <w:tc>
          <w:tcPr>
            <w:tcW w:w="1040" w:type="dxa"/>
            <w:vAlign w:val="bottom"/>
          </w:tcPr>
          <w:p>
            <w:pPr>
              <w:spacing w:after="0"/>
              <w:rPr>
                <w:sz w:val="17"/>
                <w:szCs w:val="17"/>
                <w:color w:val="auto"/>
              </w:rPr>
            </w:pPr>
          </w:p>
        </w:tc>
        <w:tc>
          <w:tcPr>
            <w:tcW w:w="5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1934, as adopted pursuant to Section 302 of the Sarbanes-Oxley Act of 2002.</w:t>
              </w:r>
            </w:hyperlink>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00" w:type="dxa"/>
            <w:vAlign w:val="bottom"/>
            <w:gridSpan w:val="7"/>
          </w:tcPr>
          <w:p>
            <w:pPr>
              <w:spacing w:after="0" w:line="196" w:lineRule="exact"/>
              <w:rPr>
                <w:rFonts w:ascii="Arial" w:cs="Arial" w:eastAsia="Arial" w:hAnsi="Arial"/>
                <w:sz w:val="18"/>
                <w:szCs w:val="18"/>
                <w:color w:val="0000EE"/>
                <w:w w:val="98"/>
              </w:rPr>
            </w:pPr>
            <w:hyperlink w:anchor="page140">
              <w:r>
                <w:rPr>
                  <w:rFonts w:ascii="Arial" w:cs="Arial" w:eastAsia="Arial" w:hAnsi="Arial"/>
                  <w:sz w:val="18"/>
                  <w:szCs w:val="18"/>
                  <w:color w:val="0000EE"/>
                  <w:w w:val="98"/>
                </w:rPr>
                <w:t>Certification of Andrew R. Boll, Chief Financial Officer, pursuant to Rule</w:t>
              </w:r>
            </w:hyperlink>
          </w:p>
        </w:tc>
        <w:tc>
          <w:tcPr>
            <w:tcW w:w="4600" w:type="dxa"/>
            <w:vAlign w:val="bottom"/>
            <w:gridSpan w:val="5"/>
          </w:tcPr>
          <w:p>
            <w:pPr>
              <w:ind w:left="20"/>
              <w:spacing w:after="0" w:line="196"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13a-14(a) or 15d-14(a) of the Securities and Exchange Act of</w:t>
              </w:r>
            </w:hyperlink>
          </w:p>
        </w:tc>
      </w:tr>
      <w:tr>
        <w:trPr>
          <w:trHeight w:val="196"/>
        </w:trPr>
        <w:tc>
          <w:tcPr>
            <w:tcW w:w="1040" w:type="dxa"/>
            <w:vAlign w:val="bottom"/>
          </w:tcPr>
          <w:p>
            <w:pPr>
              <w:spacing w:after="0"/>
              <w:rPr>
                <w:sz w:val="17"/>
                <w:szCs w:val="17"/>
                <w:color w:val="auto"/>
              </w:rPr>
            </w:pPr>
          </w:p>
        </w:tc>
        <w:tc>
          <w:tcPr>
            <w:tcW w:w="5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1934, as adopted pursuant to Section 302 of the Sarbanes-Oxley Act of 2002.</w:t>
              </w:r>
            </w:hyperlink>
          </w:p>
        </w:tc>
        <w:tc>
          <w:tcPr>
            <w:tcW w:w="1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41">
              <w:r>
                <w:rPr>
                  <w:rFonts w:ascii="Arial" w:cs="Arial" w:eastAsia="Arial" w:hAnsi="Arial"/>
                  <w:sz w:val="18"/>
                  <w:szCs w:val="18"/>
                  <w:color w:val="0000EE"/>
                  <w:w w:val="91"/>
                </w:rPr>
                <w:t>Certification pursuant to 18 U.S.C. Section 1350, as adopted pursuant to Section 906 of the Sarbanes-Oxley Act of 2002, executed by Mark</w:t>
              </w:r>
            </w:hyperlink>
          </w:p>
        </w:tc>
      </w:tr>
      <w:tr>
        <w:trPr>
          <w:trHeight w:val="196"/>
        </w:trPr>
        <w:tc>
          <w:tcPr>
            <w:tcW w:w="1040" w:type="dxa"/>
            <w:vAlign w:val="bottom"/>
          </w:tcPr>
          <w:p>
            <w:pPr>
              <w:spacing w:after="0"/>
              <w:rPr>
                <w:sz w:val="17"/>
                <w:szCs w:val="17"/>
                <w:color w:val="auto"/>
              </w:rPr>
            </w:pPr>
          </w:p>
        </w:tc>
        <w:tc>
          <w:tcPr>
            <w:tcW w:w="24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41">
              <w:r>
                <w:rPr>
                  <w:rFonts w:ascii="Arial" w:cs="Arial" w:eastAsia="Arial" w:hAnsi="Arial"/>
                  <w:sz w:val="18"/>
                  <w:szCs w:val="18"/>
                  <w:color w:val="0000EE"/>
                  <w:w w:val="92"/>
                </w:rPr>
                <w:t>L. Baum, Chief Executive Officer.</w:t>
              </w:r>
            </w:hyperlink>
          </w:p>
        </w:tc>
        <w:tc>
          <w:tcPr>
            <w:tcW w:w="3120" w:type="dxa"/>
            <w:vAlign w:val="bottom"/>
            <w:gridSpan w:val="5"/>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200" w:type="dxa"/>
            <w:vAlign w:val="bottom"/>
            <w:gridSpan w:val="12"/>
          </w:tcPr>
          <w:p>
            <w:pPr>
              <w:spacing w:after="0" w:line="196" w:lineRule="exact"/>
              <w:rPr>
                <w:rFonts w:ascii="Arial" w:cs="Arial" w:eastAsia="Arial" w:hAnsi="Arial"/>
                <w:sz w:val="18"/>
                <w:szCs w:val="18"/>
                <w:color w:val="0000EE"/>
                <w:w w:val="94"/>
              </w:rPr>
            </w:pPr>
            <w:hyperlink w:anchor="page142">
              <w:r>
                <w:rPr>
                  <w:rFonts w:ascii="Arial" w:cs="Arial" w:eastAsia="Arial" w:hAnsi="Arial"/>
                  <w:sz w:val="18"/>
                  <w:szCs w:val="18"/>
                  <w:color w:val="0000EE"/>
                  <w:w w:val="94"/>
                </w:rPr>
                <w:t>Certification pursuant to 18 U.S.C. Section  1350, as adopted pursuant to Section  906 of the Sarbanes-Oxley Act of 2002, executed by</w:t>
              </w:r>
            </w:hyperlink>
          </w:p>
        </w:tc>
      </w:tr>
      <w:tr>
        <w:trPr>
          <w:trHeight w:val="196"/>
        </w:trPr>
        <w:tc>
          <w:tcPr>
            <w:tcW w:w="10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Andrew R. Boll, Chief Financial Officer.</w:t>
              </w:r>
            </w:hyperlink>
          </w:p>
        </w:tc>
        <w:tc>
          <w:tcPr>
            <w:tcW w:w="2660" w:type="dxa"/>
            <w:vAlign w:val="bottom"/>
            <w:tcBorders>
              <w:top w:val="single" w:sz="8" w:color="0000EE"/>
            </w:tcBorders>
            <w:gridSpan w:val="3"/>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12"/>
          </w:tcPr>
          <w:p>
            <w:pPr>
              <w:spacing w:after="0"/>
              <w:rPr>
                <w:sz w:val="20"/>
                <w:szCs w:val="20"/>
                <w:color w:val="auto"/>
              </w:rPr>
            </w:pPr>
            <w:r>
              <w:rPr>
                <w:rFonts w:ascii="Arial" w:cs="Arial" w:eastAsia="Arial" w:hAnsi="Arial"/>
                <w:sz w:val="18"/>
                <w:szCs w:val="18"/>
                <w:color w:val="auto"/>
                <w:w w:val="92"/>
              </w:rPr>
              <w:t>XBRL Instant Document - the instance document does not appear in the Interactive Data File because its XBRL tags are embedded within</w:t>
            </w:r>
          </w:p>
        </w:tc>
      </w:tr>
      <w:tr>
        <w:trPr>
          <w:trHeight w:val="216"/>
        </w:trPr>
        <w:tc>
          <w:tcPr>
            <w:tcW w:w="1040" w:type="dxa"/>
            <w:vAlign w:val="bottom"/>
          </w:tcPr>
          <w:p>
            <w:pPr>
              <w:spacing w:after="0"/>
              <w:rPr>
                <w:sz w:val="18"/>
                <w:szCs w:val="18"/>
                <w:color w:val="auto"/>
              </w:rPr>
            </w:pPr>
          </w:p>
        </w:tc>
        <w:tc>
          <w:tcPr>
            <w:tcW w:w="5600" w:type="dxa"/>
            <w:vAlign w:val="bottom"/>
            <w:gridSpan w:val="7"/>
          </w:tcPr>
          <w:p>
            <w:pPr>
              <w:spacing w:after="0"/>
              <w:rPr>
                <w:sz w:val="20"/>
                <w:szCs w:val="20"/>
                <w:color w:val="auto"/>
              </w:rPr>
            </w:pPr>
            <w:r>
              <w:rPr>
                <w:rFonts w:ascii="Arial" w:cs="Arial" w:eastAsia="Arial" w:hAnsi="Arial"/>
                <w:sz w:val="18"/>
                <w:szCs w:val="18"/>
                <w:color w:val="auto"/>
              </w:rPr>
              <w:t>the Inline XBRL document.</w:t>
            </w: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1040" w:hanging="1032"/>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cover page from the Company’s Annual Report on Form 10-K for the year ended December 31, 2019 has been formatted in Inline</w:t>
      </w:r>
    </w:p>
    <w:p>
      <w:pPr>
        <w:spacing w:after="0" w:line="20"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XBRL</w:t>
      </w:r>
    </w:p>
    <w:p>
      <w:pPr>
        <w:spacing w:after="0" w:line="211" w:lineRule="exact"/>
        <w:rPr>
          <w:sz w:val="20"/>
          <w:szCs w:val="20"/>
          <w:color w:val="auto"/>
        </w:rPr>
      </w:pPr>
    </w:p>
    <w:p>
      <w:pPr>
        <w:ind w:right="6560" w:firstLine="8"/>
        <w:spacing w:after="0" w:line="258"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9" w:lineRule="exact"/>
        <w:rPr>
          <w:rFonts w:ascii="Arial" w:cs="Arial" w:eastAsia="Arial" w:hAnsi="Arial"/>
          <w:sz w:val="18"/>
          <w:szCs w:val="18"/>
          <w:color w:val="auto"/>
        </w:rPr>
      </w:pPr>
    </w:p>
    <w:p>
      <w:pPr>
        <w:ind w:left="340" w:hanging="324"/>
        <w:spacing w:after="0" w:line="255" w:lineRule="auto"/>
        <w:rPr>
          <w:rFonts w:ascii="Arial" w:cs="Arial" w:eastAsia="Arial" w:hAnsi="Arial"/>
          <w:sz w:val="18"/>
          <w:szCs w:val="18"/>
          <w:color w:val="auto"/>
        </w:rPr>
      </w:pPr>
      <w:r>
        <w:rPr>
          <w:rFonts w:ascii="Arial" w:cs="Arial" w:eastAsia="Arial" w:hAnsi="Arial"/>
          <w:sz w:val="18"/>
          <w:szCs w:val="18"/>
          <w:color w:val="auto"/>
        </w:rPr>
        <w:t>+ 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 (Principal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March 13, 2020</w:t>
      </w:r>
    </w:p>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2"/>
                <w:szCs w:val="22"/>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2"/>
                <w:szCs w:val="22"/>
                <w:color w:val="auto"/>
              </w:rPr>
            </w:pPr>
          </w:p>
        </w:tc>
        <w:tc>
          <w:tcPr>
            <w:tcW w:w="202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5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Andrew R. Boll</w:t>
            </w:r>
          </w:p>
        </w:tc>
        <w:tc>
          <w:tcPr>
            <w:tcW w:w="24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Robert J. Kammer</w:t>
            </w:r>
          </w:p>
        </w:tc>
        <w:tc>
          <w:tcPr>
            <w:tcW w:w="24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240" w:type="dxa"/>
            <w:vAlign w:val="bottom"/>
          </w:tcPr>
          <w:p>
            <w:pPr>
              <w:spacing w:after="0"/>
              <w:rPr>
                <w:sz w:val="24"/>
                <w:szCs w:val="24"/>
                <w:color w:val="auto"/>
              </w:rPr>
            </w:pPr>
          </w:p>
        </w:tc>
        <w:tc>
          <w:tcPr>
            <w:tcW w:w="54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Stephen G. Austin</w:t>
            </w:r>
          </w:p>
        </w:tc>
        <w:tc>
          <w:tcPr>
            <w:tcW w:w="240" w:type="dxa"/>
            <w:vAlign w:val="bottom"/>
          </w:tcPr>
          <w:p>
            <w:pPr>
              <w:spacing w:after="0"/>
              <w:rPr>
                <w:sz w:val="20"/>
                <w:szCs w:val="20"/>
                <w:color w:val="auto"/>
              </w:rPr>
            </w:pPr>
          </w:p>
        </w:tc>
        <w:tc>
          <w:tcPr>
            <w:tcW w:w="5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40" w:type="dxa"/>
            <w:vAlign w:val="bottom"/>
          </w:tcPr>
          <w:p>
            <w:pPr>
              <w:spacing w:after="0"/>
              <w:rPr>
                <w:sz w:val="24"/>
                <w:szCs w:val="24"/>
                <w:color w:val="auto"/>
              </w:rPr>
            </w:pPr>
          </w:p>
        </w:tc>
        <w:tc>
          <w:tcPr>
            <w:tcW w:w="54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Richard L. Lindstrom</w:t>
            </w:r>
          </w:p>
        </w:tc>
        <w:tc>
          <w:tcPr>
            <w:tcW w:w="240" w:type="dxa"/>
            <w:vAlign w:val="bottom"/>
          </w:tcPr>
          <w:p>
            <w:pPr>
              <w:spacing w:after="0"/>
              <w:rPr>
                <w:sz w:val="20"/>
                <w:szCs w:val="20"/>
                <w:color w:val="auto"/>
              </w:rPr>
            </w:pPr>
          </w:p>
        </w:tc>
        <w:tc>
          <w:tcPr>
            <w:tcW w:w="5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J. Principi</w:t>
            </w:r>
          </w:p>
        </w:tc>
        <w:tc>
          <w:tcPr>
            <w:tcW w:w="240" w:type="dxa"/>
            <w:vAlign w:val="bottom"/>
          </w:tcPr>
          <w:p>
            <w:pPr>
              <w:spacing w:after="0"/>
              <w:rPr>
                <w:sz w:val="24"/>
                <w:szCs w:val="24"/>
                <w:color w:val="auto"/>
              </w:rPr>
            </w:pPr>
          </w:p>
        </w:tc>
        <w:tc>
          <w:tcPr>
            <w:tcW w:w="54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Anthony J. Principi</w:t>
            </w:r>
          </w:p>
        </w:tc>
        <w:tc>
          <w:tcPr>
            <w:tcW w:w="240" w:type="dxa"/>
            <w:vAlign w:val="bottom"/>
          </w:tcPr>
          <w:p>
            <w:pPr>
              <w:spacing w:after="0"/>
              <w:rPr>
                <w:sz w:val="20"/>
                <w:szCs w:val="20"/>
                <w:color w:val="auto"/>
              </w:rPr>
            </w:pPr>
          </w:p>
        </w:tc>
        <w:tc>
          <w:tcPr>
            <w:tcW w:w="5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2"/>
          </w:tcPr>
          <w:p>
            <w:pPr>
              <w:jc w:val="right"/>
              <w:ind w:right="3210"/>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0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9"/>
              </w:rPr>
              <w:t>FINANCIAL STATEMENTS</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5"/>
              </w:rPr>
              <w:t>Harrow Health, Inc.</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5720" w:type="dxa"/>
            <w:vAlign w:val="bottom"/>
            <w:gridSpan w:val="6"/>
          </w:tcPr>
          <w:p>
            <w:pPr>
              <w:jc w:val="center"/>
              <w:ind w:right="132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Reports of Independent Registered Public Accounting Firm</w:t>
              </w:r>
            </w:hyperlink>
          </w:p>
        </w:tc>
        <w:tc>
          <w:tcPr>
            <w:tcW w:w="2100" w:type="dxa"/>
            <w:vAlign w:val="bottom"/>
            <w:shd w:val="clear" w:color="auto" w:fill="CCEEFF"/>
          </w:tcPr>
          <w:p>
            <w:pPr>
              <w:ind w:left="1860"/>
              <w:spacing w:after="0" w:line="176" w:lineRule="exact"/>
              <w:rPr>
                <w:sz w:val="20"/>
                <w:szCs w:val="20"/>
                <w:color w:val="auto"/>
              </w:rPr>
            </w:pPr>
            <w:r>
              <w:rPr>
                <w:rFonts w:ascii="Arial" w:cs="Arial" w:eastAsia="Arial" w:hAnsi="Arial"/>
                <w:sz w:val="18"/>
                <w:szCs w:val="18"/>
                <w:color w:val="auto"/>
                <w:w w:val="81"/>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at December 31, 2019 and 2018</w:t>
              </w:r>
            </w:hyperlink>
          </w:p>
        </w:tc>
        <w:tc>
          <w:tcPr>
            <w:tcW w:w="2100" w:type="dxa"/>
            <w:vAlign w:val="bottom"/>
            <w:shd w:val="clear" w:color="auto" w:fill="CCEEFF"/>
          </w:tcPr>
          <w:p>
            <w:pPr>
              <w:ind w:left="1860"/>
              <w:spacing w:after="0" w:line="176" w:lineRule="exact"/>
              <w:rPr>
                <w:sz w:val="20"/>
                <w:szCs w:val="20"/>
                <w:color w:val="auto"/>
              </w:rPr>
            </w:pPr>
            <w:r>
              <w:rPr>
                <w:rFonts w:ascii="Arial" w:cs="Arial" w:eastAsia="Arial" w:hAnsi="Arial"/>
                <w:sz w:val="18"/>
                <w:szCs w:val="18"/>
                <w:color w:val="auto"/>
                <w:w w:val="81"/>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 for the years ended December 31, 2019 and 2018</w:t>
              </w:r>
            </w:hyperlink>
          </w:p>
        </w:tc>
        <w:tc>
          <w:tcPr>
            <w:tcW w:w="2100" w:type="dxa"/>
            <w:vAlign w:val="bottom"/>
            <w:shd w:val="clear" w:color="auto" w:fill="CCEEFF"/>
          </w:tcPr>
          <w:p>
            <w:pPr>
              <w:ind w:left="1860"/>
              <w:spacing w:after="0" w:line="176" w:lineRule="exact"/>
              <w:rPr>
                <w:sz w:val="20"/>
                <w:szCs w:val="20"/>
                <w:color w:val="auto"/>
              </w:rPr>
            </w:pPr>
            <w:r>
              <w:rPr>
                <w:rFonts w:ascii="Arial" w:cs="Arial" w:eastAsia="Arial" w:hAnsi="Arial"/>
                <w:sz w:val="18"/>
                <w:szCs w:val="18"/>
                <w:color w:val="auto"/>
                <w:w w:val="81"/>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Stockholders’ Equity for the years ended December 31, 2019 and 2018</w:t>
              </w:r>
            </w:hyperlink>
          </w:p>
        </w:tc>
        <w:tc>
          <w:tcPr>
            <w:tcW w:w="2100" w:type="dxa"/>
            <w:vAlign w:val="bottom"/>
            <w:shd w:val="clear" w:color="auto" w:fill="CCEEFF"/>
          </w:tcPr>
          <w:p>
            <w:pPr>
              <w:ind w:left="1860"/>
              <w:spacing w:after="0" w:line="176" w:lineRule="exact"/>
              <w:rPr>
                <w:sz w:val="20"/>
                <w:szCs w:val="20"/>
                <w:color w:val="auto"/>
              </w:rPr>
            </w:pPr>
            <w:r>
              <w:rPr>
                <w:rFonts w:ascii="Arial" w:cs="Arial" w:eastAsia="Arial" w:hAnsi="Arial"/>
                <w:sz w:val="18"/>
                <w:szCs w:val="18"/>
                <w:color w:val="auto"/>
                <w:w w:val="81"/>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the years ended December 31, 2019 and 2018</w:t>
              </w:r>
            </w:hyperlink>
          </w:p>
        </w:tc>
        <w:tc>
          <w:tcPr>
            <w:tcW w:w="2100" w:type="dxa"/>
            <w:vAlign w:val="bottom"/>
            <w:shd w:val="clear" w:color="auto" w:fill="CCEEFF"/>
          </w:tcPr>
          <w:p>
            <w:pPr>
              <w:ind w:left="1860"/>
              <w:spacing w:after="0" w:line="176" w:lineRule="exact"/>
              <w:rPr>
                <w:sz w:val="20"/>
                <w:szCs w:val="20"/>
                <w:color w:val="auto"/>
              </w:rPr>
            </w:pPr>
            <w:r>
              <w:rPr>
                <w:rFonts w:ascii="Arial" w:cs="Arial" w:eastAsia="Arial" w:hAnsi="Arial"/>
                <w:sz w:val="18"/>
                <w:szCs w:val="18"/>
                <w:color w:val="auto"/>
                <w:w w:val="81"/>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Notes to the Consolidated Financial Statements</w:t>
              </w:r>
            </w:hyperlink>
          </w:p>
        </w:tc>
        <w:tc>
          <w:tcPr>
            <w:tcW w:w="2100" w:type="dxa"/>
            <w:vAlign w:val="bottom"/>
            <w:shd w:val="clear" w:color="auto" w:fill="CCEEFF"/>
          </w:tcPr>
          <w:p>
            <w:pPr>
              <w:ind w:left="1860"/>
              <w:spacing w:after="0" w:line="176" w:lineRule="exact"/>
              <w:rPr>
                <w:sz w:val="20"/>
                <w:szCs w:val="20"/>
                <w:color w:val="auto"/>
              </w:rPr>
            </w:pPr>
            <w:r>
              <w:rPr>
                <w:rFonts w:ascii="Arial" w:cs="Arial" w:eastAsia="Arial" w:hAnsi="Arial"/>
                <w:sz w:val="18"/>
                <w:szCs w:val="18"/>
                <w:color w:val="auto"/>
                <w:w w:val="81"/>
              </w:rPr>
              <w:t>F-8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CCEEFF"/>
              <w:bottom w:val="single" w:sz="8" w:color="auto"/>
            </w:tcBorders>
            <w:gridSpan w:val="4"/>
          </w:tcPr>
          <w:p>
            <w:pPr>
              <w:jc w:val="center"/>
              <w:ind w:right="2340"/>
              <w:spacing w:after="0"/>
              <w:rPr>
                <w:sz w:val="20"/>
                <w:szCs w:val="20"/>
                <w:color w:val="auto"/>
              </w:rPr>
            </w:pPr>
            <w:r>
              <w:rPr>
                <w:rFonts w:ascii="Arial" w:cs="Arial" w:eastAsia="Arial" w:hAnsi="Arial"/>
                <w:sz w:val="18"/>
                <w:szCs w:val="18"/>
                <w:color w:val="auto"/>
                <w:w w:val="88"/>
              </w:rPr>
              <w:t>F-1</w:t>
            </w:r>
          </w:p>
        </w:tc>
        <w:tc>
          <w:tcPr>
            <w:tcW w:w="21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61" w:name="page62"/>
    <w:bookmarkEnd w:id="6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Harrow Health, Inc. and subsidiaries (the “Company”) as of December 31, 2019 and 2018, the related consolidated statements of operations, stockholders’ equity and cash flows for each of the two years in the period ended December 31, 2019, and the related notes (collectively referred to as the “consolidated financial statements”). In our opinion, the consolidated financial statements referred to above present fairly, in all material respects, the financial position of the Company as of December 31, 2019 and 2018, and the results of their operations and their cash flows for each of the two years in the period ended December 31, 2019, in conformity with accounting principles generally accepted in the United States of America.</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March 13,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as of January 1, 2019 due to the adoption of ASU No. 2016-02, Leases (Topic 842).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Harrow Health, Inc. and subsidiaries’ (the “Company”)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the COSO criteria.</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operations, stockholders’ equity and cash flows for each of the two years in the period ended December 31, 2019, and the related notes (collectively referred to as the “consolidated financial statements”), and our report dated March 13, 2020 expressed an unqualified opinion on those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4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4,949</w:t>
            </w: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25,200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3,301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1,308</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36,767</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32,843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6,559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Investment in Surface Pharmaceuticals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3,747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740"/>
              <w:spacing w:after="0"/>
              <w:rPr>
                <w:sz w:val="20"/>
                <w:szCs w:val="20"/>
                <w:color w:val="auto"/>
              </w:rPr>
            </w:pPr>
            <w:r>
              <w:rPr>
                <w:rFonts w:ascii="Arial" w:cs="Arial" w:eastAsia="Arial" w:hAnsi="Arial"/>
                <w:sz w:val="18"/>
                <w:szCs w:val="18"/>
                <w:color w:val="auto"/>
              </w:rPr>
              <w:t>LIABILITIES AND EQUITY</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7,702</w:t>
            </w:r>
          </w:p>
        </w:tc>
        <w:tc>
          <w:tcPr>
            <w:tcW w:w="440" w:type="dxa"/>
            <w:vAlign w:val="bottom"/>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finance lease obligations, net of unamortized discount</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12,284</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portion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6,338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Finance lease obligations, net of current portion and unamortized discount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12,219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11,999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31,667</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$0.001 par value, 50,000,000 shares authorized, 25,526,931 and 24,339,610 shares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issued and outstanding at December 31, 2019 and 2018, respectively</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101,728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(74,043)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(74,211)</w:t>
            </w:r>
          </w:p>
        </w:tc>
        <w:tc>
          <w:tcPr>
            <w:tcW w:w="0" w:type="dxa"/>
            <w:vAlign w:val="bottom"/>
          </w:tcPr>
          <w:p>
            <w:pPr>
              <w:spacing w:after="0"/>
              <w:rPr>
                <w:sz w:val="1"/>
                <w:szCs w:val="1"/>
                <w:color w:val="auto"/>
              </w:rPr>
            </w:pPr>
          </w:p>
        </w:tc>
      </w:tr>
      <w:tr>
        <w:trPr>
          <w:trHeight w:val="216"/>
        </w:trPr>
        <w:tc>
          <w:tcPr>
            <w:tcW w:w="7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INC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59,085</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6"/>
          </w:tcPr>
          <w:p>
            <w:pPr>
              <w:jc w:val="right"/>
              <w:ind w:right="401"/>
              <w:spacing w:after="0"/>
              <w:rPr>
                <w:sz w:val="20"/>
                <w:szCs w:val="20"/>
                <w:color w:val="auto"/>
              </w:rPr>
            </w:pPr>
            <w:r>
              <w:rPr>
                <w:rFonts w:ascii="Arial" w:cs="Arial" w:eastAsia="Arial" w:hAnsi="Arial"/>
                <w:sz w:val="18"/>
                <w:szCs w:val="18"/>
                <w:color w:val="auto"/>
                <w:w w:val="92"/>
              </w:rPr>
              <w:t>For the Years Ended December 31,</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1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51,137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41,334</w:t>
            </w:r>
          </w:p>
        </w:tc>
        <w:tc>
          <w:tcPr>
            <w:tcW w:w="0" w:type="dxa"/>
            <w:vAlign w:val="bottom"/>
          </w:tcPr>
          <w:p>
            <w:pPr>
              <w:spacing w:after="0"/>
              <w:rPr>
                <w:sz w:val="1"/>
                <w:szCs w:val="1"/>
                <w:color w:val="auto"/>
              </w:rPr>
            </w:pPr>
          </w:p>
        </w:tc>
      </w:tr>
      <w:tr>
        <w:trPr>
          <w:trHeight w:val="24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51,165</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41,372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(16,749)</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(16,521)</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2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34,416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24,851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33,096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29,243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4,040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1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(4,803</w:t>
            </w:r>
          </w:p>
        </w:tc>
        <w:tc>
          <w:tcPr>
            <w:tcW w:w="200" w:type="dxa"/>
            <w:vAlign w:val="bottom"/>
            <w:tcBorders>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gain from Melt Pharmaceuticals, net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Investment (loss) gain from Surface Pharmaceuticals, net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gain from Eton Pharmaceuticals, net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3,780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Loss on sale of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net</w:t>
            </w:r>
          </w:p>
        </w:tc>
        <w:tc>
          <w:tcPr>
            <w:tcW w:w="1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4,678</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19,842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Income tax benefit, net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income (loss) including noncontrolling interests</w:t>
            </w: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Harrow Health, Inc.</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Basic net income per share of common stock</w:t>
            </w:r>
          </w:p>
        </w:tc>
        <w:tc>
          <w:tcPr>
            <w:tcW w:w="12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income per share of common stock</w:t>
            </w: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Outstanding, basic</w:t>
            </w: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25,323,159</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21,917,570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of common stock Outstanding, diluted</w:t>
            </w: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26,466,098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23,812,045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Harrow Health,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1"/>
        </w:trPr>
        <w:tc>
          <w:tcPr>
            <w:tcW w:w="3400" w:type="dxa"/>
            <w:vAlign w:val="bottom"/>
          </w:tcPr>
          <w:p>
            <w:pPr>
              <w:spacing w:after="0"/>
              <w:rPr>
                <w:sz w:val="21"/>
                <w:szCs w:val="21"/>
                <w:color w:val="auto"/>
              </w:rPr>
            </w:pPr>
          </w:p>
        </w:tc>
        <w:tc>
          <w:tcPr>
            <w:tcW w:w="1960" w:type="dxa"/>
            <w:vAlign w:val="bottom"/>
            <w:gridSpan w:val="6"/>
          </w:tcPr>
          <w:p>
            <w:pPr>
              <w:ind w:left="360"/>
              <w:spacing w:after="0"/>
              <w:rPr>
                <w:sz w:val="20"/>
                <w:szCs w:val="20"/>
                <w:color w:val="auto"/>
              </w:rPr>
            </w:pPr>
            <w:r>
              <w:rPr>
                <w:rFonts w:ascii="Arial" w:cs="Arial" w:eastAsia="Arial" w:hAnsi="Arial"/>
                <w:sz w:val="18"/>
                <w:szCs w:val="18"/>
                <w:color w:val="auto"/>
              </w:rPr>
              <w:t>Common Stock</w:t>
            </w:r>
          </w:p>
        </w:tc>
        <w:tc>
          <w:tcPr>
            <w:tcW w:w="1100" w:type="dxa"/>
            <w:vAlign w:val="bottom"/>
            <w:gridSpan w:val="4"/>
          </w:tcPr>
          <w:p>
            <w:pPr>
              <w:ind w:left="12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Inc.</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501"/>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5"/>
        </w:trPr>
        <w:tc>
          <w:tcPr>
            <w:tcW w:w="34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5"/>
              </w:rPr>
              <w:t>Par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Paid-in</w:t>
            </w:r>
          </w:p>
        </w:tc>
        <w:tc>
          <w:tcPr>
            <w:tcW w:w="110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Stockholders’</w:t>
            </w:r>
          </w:p>
        </w:tc>
        <w:tc>
          <w:tcPr>
            <w:tcW w:w="140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Total</w:t>
            </w:r>
          </w:p>
        </w:tc>
      </w:tr>
      <w:tr>
        <w:trPr>
          <w:trHeight w:val="237"/>
        </w:trPr>
        <w:tc>
          <w:tcPr>
            <w:tcW w:w="340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381"/>
              <w:spacing w:after="0"/>
              <w:rPr>
                <w:sz w:val="20"/>
                <w:szCs w:val="20"/>
                <w:color w:val="auto"/>
              </w:rPr>
            </w:pPr>
            <w:r>
              <w:rPr>
                <w:rFonts w:ascii="Arial" w:cs="Arial" w:eastAsia="Arial" w:hAnsi="Arial"/>
                <w:sz w:val="18"/>
                <w:szCs w:val="18"/>
                <w:color w:val="auto"/>
                <w:w w:val="95"/>
              </w:rPr>
              <w:t>Interests</w:t>
            </w:r>
          </w:p>
        </w:tc>
        <w:tc>
          <w:tcPr>
            <w:tcW w:w="120" w:type="dxa"/>
            <w:vAlign w:val="bottom"/>
          </w:tcPr>
          <w:p>
            <w:pPr>
              <w:spacing w:after="0"/>
              <w:rPr>
                <w:sz w:val="20"/>
                <w:szCs w:val="20"/>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Equity</w:t>
            </w: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20,623,129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with:</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3,275,162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4,230</w:t>
            </w:r>
          </w:p>
        </w:tc>
        <w:tc>
          <w:tcPr>
            <w:tcW w:w="16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RSUs, net of tax withholding</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Sale of stock, net of costs (ATM)</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305,619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8"/>
                <w:szCs w:val="18"/>
                <w:color w:val="auto"/>
              </w:rPr>
            </w:pPr>
          </w:p>
        </w:tc>
      </w:tr>
      <w:tr>
        <w:trPr>
          <w:trHeight w:val="202"/>
        </w:trPr>
        <w:tc>
          <w:tcPr>
            <w:tcW w:w="3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 payment for services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2,486</w:t>
            </w:r>
          </w:p>
        </w:tc>
        <w:tc>
          <w:tcPr>
            <w:tcW w:w="80" w:type="dxa"/>
            <w:vAlign w:val="bottom"/>
          </w:tcPr>
          <w:p>
            <w:pPr>
              <w:spacing w:after="0"/>
              <w:rPr>
                <w:sz w:val="18"/>
                <w:szCs w:val="18"/>
                <w:color w:val="auto"/>
              </w:rPr>
            </w:pPr>
          </w:p>
        </w:tc>
      </w:tr>
      <w:tr>
        <w:trPr>
          <w:trHeight w:val="24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14,625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14,625</w:t>
            </w:r>
          </w:p>
        </w:tc>
        <w:tc>
          <w:tcPr>
            <w:tcW w:w="80" w:type="dxa"/>
            <w:vAlign w:val="bottom"/>
            <w:shd w:val="clear" w:color="auto" w:fill="CCEEFF"/>
          </w:tcPr>
          <w:p>
            <w:pPr>
              <w:spacing w:after="0"/>
              <w:rPr>
                <w:sz w:val="21"/>
                <w:szCs w:val="21"/>
                <w:color w:val="auto"/>
              </w:rPr>
            </w:pPr>
          </w:p>
        </w:tc>
      </w:tr>
      <w:tr>
        <w:trPr>
          <w:trHeight w:val="203"/>
        </w:trPr>
        <w:tc>
          <w:tcPr>
            <w:tcW w:w="3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2018</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24,339,610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98,938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(74,211)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24,751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24,751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Issuance of common stock in connection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with:</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warrants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1,142,528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r>
      <w:tr>
        <w:trPr>
          <w:trHeight w:val="202"/>
        </w:trPr>
        <w:tc>
          <w:tcPr>
            <w:tcW w:w="3400" w:type="dxa"/>
            <w:vAlign w:val="bottom"/>
          </w:tcPr>
          <w:p>
            <w:pPr>
              <w:ind w:left="180"/>
              <w:spacing w:after="0" w:line="201" w:lineRule="exact"/>
              <w:rPr>
                <w:sz w:val="20"/>
                <w:szCs w:val="20"/>
                <w:color w:val="auto"/>
              </w:rPr>
            </w:pPr>
            <w:r>
              <w:rPr>
                <w:rFonts w:ascii="Arial" w:cs="Arial" w:eastAsia="Arial" w:hAnsi="Arial"/>
                <w:sz w:val="18"/>
                <w:szCs w:val="18"/>
                <w:color w:val="auto"/>
                <w:w w:val="94"/>
              </w:rPr>
              <w:t>Exercise of employee stock options, net of</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tax withholding</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r>
      <w:tr>
        <w:trPr>
          <w:trHeight w:val="202"/>
        </w:trPr>
        <w:tc>
          <w:tcPr>
            <w:tcW w:w="3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 payment for services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8"/>
                <w:szCs w:val="18"/>
                <w:color w:val="auto"/>
              </w:rPr>
            </w:pPr>
          </w:p>
        </w:tc>
      </w:tr>
      <w:tr>
        <w:trPr>
          <w:trHeight w:val="25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3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25,526,931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101,728</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(74,043</w:t>
            </w:r>
          </w:p>
        </w:tc>
        <w:tc>
          <w:tcPr>
            <w:tcW w:w="14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8"/>
          </w:tcPr>
          <w:p>
            <w:pPr>
              <w:jc w:val="right"/>
              <w:ind w:right="480"/>
              <w:spacing w:after="0"/>
              <w:rPr>
                <w:sz w:val="20"/>
                <w:szCs w:val="20"/>
                <w:color w:val="auto"/>
              </w:rPr>
            </w:pPr>
            <w:r>
              <w:rPr>
                <w:rFonts w:ascii="Arial" w:cs="Arial" w:eastAsia="Arial" w:hAnsi="Arial"/>
                <w:sz w:val="18"/>
                <w:szCs w:val="18"/>
                <w:color w:val="auto"/>
              </w:rPr>
              <w:t>For the Years Ended December 31,</w:t>
            </w:r>
          </w:p>
        </w:tc>
        <w:tc>
          <w:tcPr>
            <w:tcW w:w="0" w:type="dxa"/>
            <w:vAlign w:val="bottom"/>
          </w:tcPr>
          <w:p>
            <w:pPr>
              <w:spacing w:after="0"/>
              <w:rPr>
                <w:sz w:val="1"/>
                <w:szCs w:val="1"/>
                <w:color w:val="auto"/>
              </w:rPr>
            </w:pPr>
          </w:p>
        </w:tc>
      </w:tr>
      <w:tr>
        <w:trPr>
          <w:trHeight w:val="236"/>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Net (loss) income (includes non-controlling interests)</w:t>
            </w:r>
          </w:p>
        </w:tc>
        <w:tc>
          <w:tcPr>
            <w:tcW w:w="1080" w:type="dxa"/>
            <w:vAlign w:val="bottom"/>
            <w:gridSpan w:val="2"/>
          </w:tcPr>
          <w:p>
            <w:pPr>
              <w:jc w:val="right"/>
              <w:ind w:right="80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(125)</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1,936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Investment gain from Eton, net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(3,780)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(gain)/loss from Surface, net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1,200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Investment gain from Melt, net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(3,968)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impairments and disposal of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4,148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Stock based payment for services provided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1,789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Changes in assets and liabilities, net of impairments and disposals: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(2,271)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1,342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60" w:type="dxa"/>
            <w:vAlign w:val="bottom"/>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note receivable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Proceeds on sale and disposal of assets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6"/>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(1,468)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36"/>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(1,833</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76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finance lease obligations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Park deferred acquisition obligation</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note payable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Payments of costs related to amendment of note payable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ATM sales of common stock</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2"/>
        </w:trPr>
        <w:tc>
          <w:tcPr>
            <w:tcW w:w="7760" w:type="dxa"/>
            <w:vAlign w:val="bottom"/>
          </w:tcPr>
          <w:p>
            <w:pPr>
              <w:ind w:left="360"/>
              <w:spacing w:after="0" w:line="201" w:lineRule="exact"/>
              <w:rPr>
                <w:sz w:val="20"/>
                <w:szCs w:val="20"/>
                <w:color w:val="auto"/>
              </w:rPr>
            </w:pPr>
            <w:r>
              <w:rPr>
                <w:rFonts w:ascii="Arial" w:cs="Arial" w:eastAsia="Arial" w:hAnsi="Arial"/>
                <w:sz w:val="18"/>
                <w:szCs w:val="18"/>
                <w:color w:val="auto"/>
                <w:w w:val="98"/>
              </w:rPr>
              <w:t>Net proceeds from exercise of warrants and stock options, net of taxes remitted for RSU’s and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760" w:type="dxa"/>
            <w:vAlign w:val="bottom"/>
          </w:tcPr>
          <w:p>
            <w:pPr>
              <w:ind w:left="36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(1,006</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line="203" w:lineRule="exact"/>
              <w:rPr>
                <w:sz w:val="20"/>
                <w:szCs w:val="20"/>
                <w:color w:val="auto"/>
              </w:rPr>
            </w:pPr>
            <w:r>
              <w:rPr>
                <w:rFonts w:ascii="Arial" w:cs="Arial" w:eastAsia="Arial" w:hAnsi="Arial"/>
                <w:sz w:val="18"/>
                <w:szCs w:val="18"/>
                <w:color w:val="auto"/>
              </w:rPr>
              <w:t>NET (DECREASE) INCREASE IN, CASH EQUIVALENTS AND RESTRICTED CASH</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(1,889)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2,619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CASH EQUIVALENTS AND RESTRICTED CASH, beginning of year</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6,838</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6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CASH, CASH EQUIVALENTS AND RESTRICTED CASH, end of year</w:t>
            </w:r>
          </w:p>
        </w:tc>
        <w:tc>
          <w:tcPr>
            <w:tcW w:w="120" w:type="dxa"/>
            <w:vAlign w:val="bottom"/>
            <w:tcBorders>
              <w:top w:val="single" w:sz="8" w:color="CCEEFF"/>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3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OF CASH, CASH EQUIVALENTS AND RESTRICTED CASH</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ind w:right="80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4,749</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6"/>
        </w:trPr>
        <w:tc>
          <w:tcPr>
            <w:tcW w:w="77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top w:val="single" w:sz="8" w:color="CCEEFF"/>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3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76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1080" w:type="dxa"/>
            <w:vAlign w:val="bottom"/>
            <w:gridSpan w:val="2"/>
          </w:tcPr>
          <w:p>
            <w:pPr>
              <w:jc w:val="right"/>
              <w:ind w:right="801"/>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76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180"/>
              <w:spacing w:after="0"/>
              <w:rPr>
                <w:sz w:val="20"/>
                <w:szCs w:val="20"/>
                <w:color w:val="auto"/>
              </w:rPr>
            </w:pPr>
            <w:r>
              <w:rPr>
                <w:rFonts w:ascii="Arial" w:cs="Arial" w:eastAsia="Arial" w:hAnsi="Arial"/>
                <w:sz w:val="18"/>
                <w:szCs w:val="18"/>
                <w:color w:val="auto"/>
                <w:w w:val="98"/>
              </w:rPr>
              <w:t>SUPPLEMENTAL DISCLOSURES OF NON-CASH INVESTING AND FINANCING ACTIVITIES:</w:t>
            </w: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 included in accounts payable</w:t>
            </w:r>
          </w:p>
        </w:tc>
        <w:tc>
          <w:tcPr>
            <w:tcW w:w="1080" w:type="dxa"/>
            <w:vAlign w:val="bottom"/>
            <w:gridSpan w:val="2"/>
            <w:shd w:val="clear" w:color="auto" w:fill="CCEEFF"/>
          </w:tcPr>
          <w:p>
            <w:pPr>
              <w:jc w:val="right"/>
              <w:ind w:right="801"/>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Right-of-use asset obtained in exchange for lease obligation</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60" w:type="dxa"/>
            <w:vAlign w:val="bottom"/>
            <w:tcBorders>
              <w:bottom w:val="single" w:sz="8" w:color="auto"/>
            </w:tcBorders>
          </w:tcPr>
          <w:p>
            <w:pPr>
              <w:jc w:val="right"/>
              <w:ind w:right="80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are expressed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Harrow Health, Inc. (together with its subsidiaries, partially owned companies and royalty arrangements unless the context indicates or otherwise requires, the “Company” or “Harrow”) specializes in the development, production and sale of innovative medications that offer unique competitive advantages and serve unmet needs in the marketplace through its subsidiaries and deconsolidated companies. The Company owns one of the nation’s leading ophthalmology pharmaceutical businesses, ImprimisRx. In addition to wholly owning ImprimisRx, the Company also has equity positions in Eton Pharmaceuticals, Inc. (“Eton”), Surface Pharmaceuticals, Inc. (“Surface”), and Melt Pharmaceuticals, Inc. (“Melt”), all companies that began as subsidiaries of Harrow. More recently, the Company founded drug development subsidiaries Mayfield Pharmaceuticals, Inc. (“Mayfield”), Radley Pharmaceuticals, Inc. (“Radley”), and Stowe Pharmaceuticals, Inc. (“Stowe”). Harrow also owns royalty rights in various drug candidates being developed by Surface, Melt, Radley and Mayfield. The Company intends to continue to create, and hold equity and royalty rights in, new businesses that commercialize drug candidates that are internally developed or otherwise acquired or licensed from third parties.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2018, the Company amended its restated certificate of incorporation to change its corporate name from “Imprimis Pharmaceuticals, Inc.” to “Harrow Health,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Harrow has prepared the accompanying consolidated financial statements in accordance with accounting principles generally accepted in the United States (“GAAP”). The accompanying consolidated financial statements include the accounts of the Company and its wholly owned subsidiaries, as well as Mayfield and Stowe, 70% majority controlled subsidiaries of Harrow as of December 31, 2019. The remaining 30% of Mayfield is owned by Elle Pharmaceutical, LLC (“Elle”), TGV-Health, LLC and its affiliated entities (collectively “TGV”) or other consultants. Mayfield was organized to develop women’s health-focused drug candidates. The remaining 30% of Stowe is owned by TGV. Stowe was organized to develop ophthalmic drug candidates. All inter-company accounts and transactions have been eliminated in consolidation.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Harrow consolidates entities in which we have a controlling financial interest. We consolidate subsidiaries in which we hold and/or control, directly or indirectly, more than 50% of the voting rights.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renewal periods and discount rates for leases, realizability of inventories, valuation of investments in equity securities, deferred taxes, goodwill and intangible assets, recoverability of long-lived assets and goodwill, valuation of contingent acquisition obligations and deferred acquisition obligations, valuation of notes payable, and valuation of stock-based transactions with employees and non-employees.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there is no assurance, the Company believes cash generated from its operations, along with its existing cash resources, restricted cash and marketable securities of approximately $30,149 at December 31, 2019,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may seek to increase liquidity and capital resources by one or more of the following which may include, but are not limited to: the sale of assets and/or businesses, obtaining financing through the issuance of equity, debt, or convertible securities; and working to increase revenue growth through sales. There is no guarantee that the Company will be able to obtain capital when needed on terms it deems as acceptable, or at all.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presented on as operating segments. The Company has identified two operating segments as reportable segments. See Note 18 for more information regarding the Company’s reportable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consolidated financial statements. A noncontrolling interest represents the portion of equity ownership in a less-than-wholly 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income (loss) attributable to noncontrolling interests in consolidated net income (loss) on the face of the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consolidated statements of stockholders’ equity a reconciliation at the beginning and the end of the period of the carrying amount of total equity, equity attributable to the parent, and equity attributable to the noncontrolling interest that separately discloses:</w:t>
      </w:r>
    </w:p>
    <w:p>
      <w:pPr>
        <w:spacing w:after="0" w:line="14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at the time of transfer of promised goods to customers in an amount that reflects the consideration to which the Company expects to be entitled in exchange for those goods or services (see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other products sold, including active pharmaceutical ingredients, personnel costs, packaging, storage, royalties,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issuance costs and the debt discount are recorded net of notes payable and finance lease obligations in the consolidated balance sheets. Amortization expense of debt issuance costs and the debt discount is calculated using the effective interest method over the term of the debt and is recorded in interest expense in the accompanying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below). The Company began capitalizing certain costs associated with acquiring intellectual property rights during 2015; if costs are not capitalized they are expensed as incurred.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process of preparing the Company’s consolidated financial statements, the Company must estimate the actual current tax liabilities and assess permanent and temporary differences that result from differing treatment of items for tax and accounting purposes. The temporary differences result in deferred tax assets and liabilities, which are included within the consolidated balance sheets. The Company must assess the likelihood that the deferred tax assets will be recovered from future taxable income and, to the extent the Company believes that recovery is not more likely than not, a valuation allowance must be established which reduces the amount of deferred tax assets recorded on the consolidated balance sheets. To the extent the Company establishes a valuation allowance or increase or decrease this allowance in a period, the impact will be included in income tax expense in the consolidated statement of operations.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accounts for income taxes under the provisions of Financial Accounting Standards Board (the “FASB”)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As of December 31, 2019 and 2018, there were no unrecognized tax benefits included in the consolidated balance sheets that would, if recognized, affect the effective tax rate. The Company’s practice is to recognize interest and/or penalties related to income tax matters in income tax expense. The Company had no accrual for interest or penalties in its consolidated balance sheets at December 31, 2019 and 2018, and has not recognized interest and/or penalties in the consolidated statements of operations for the years ended December 31, 2019 and 2018. The Company is subject to taxation in the United States, California, Florida, Georgia, Illinois, New Jersey, New York, Tennessee, and Wisconsin. The Company’s tax years since 2000 may be subject to examination by the federal and state tax authorities due to the carryforward of unutilized net operating losses.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places its cash with financial institutions deemed by management to be of high credit quality. The Federal Deposit Insurance Corporation (“FDIC”) provides basic deposit coverage with limits up to $250 per owner. From time to time the Company has cash deposits in excess of FDIC limits.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April 2017, the Company formed Eton as a wholly owned subsidiary. In June 2017 the Company lost voting and ownership control of Eton and it ceased consolidating Eton’s financial statements. At the time of deconsolidation, the Company recorded a gain of $5,725 and adjusted the carrying value in Eton to reflect the increased valuation of Eton and the Company’s new ownership percent in accordance with ASC 810-10-40-4(c), </w:t>
      </w:r>
      <w:r>
        <w:rPr>
          <w:rFonts w:ascii="Arial" w:cs="Arial" w:eastAsia="Arial" w:hAnsi="Arial"/>
          <w:sz w:val="17"/>
          <w:szCs w:val="17"/>
          <w:i w:val="1"/>
          <w:iCs w:val="1"/>
          <w:color w:val="auto"/>
        </w:rPr>
        <w:t>Consolidation</w:t>
      </w:r>
      <w:r>
        <w:rPr>
          <w:rFonts w:ascii="Arial" w:cs="Arial" w:eastAsia="Arial" w:hAnsi="Arial"/>
          <w:sz w:val="17"/>
          <w:szCs w:val="17"/>
          <w:color w:val="auto"/>
        </w:rPr>
        <w:t>. At the time of deconsolidation, the Company used the equity method of accounting as management determined that the Company had the ability to exercise significant influence over the operating and financial decisions of Eton. Under this method, the Company recognized earnings and losses of Eton in its consolidated financial statements and adjusted the carrying amount of its investment in Eton accordingly. During the years ended December 31, 2019 and 2018, the Company recorded equity in net loss of Eton of $0 and $3,507, respectively.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November 2018, Eton closed on an initial public offering of 4,140,000 shares of its common stock at $6.00 per share for gross proceeds of approximately $24,800 (the “Eton IPO”). Following the close of the Eton IPO, the Company estimated its common stock position in Eton equaled 19.98% of the equity and voting interests issued and outstanding of Eton, and it ceased using the equity method of accounting for its investment in Eton. The Company recognizes earnings and losses of Eton in its consolidated financial statements based on the fair market value of the shares owned and adjust the carrying amount of the Company’s investment in Eton accordingly. Eton’s common stock currently trades on the NASDAQ Global Market exchange. At December 31, 2019, the fair market value of Eton’s common stock was $7.20 per share, the closing share price of Eton common stock on that day. In accordance with Accounting Standards Update (“ASU”)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Assets and Financial Liabilities</w:t>
      </w:r>
      <w:r>
        <w:rPr>
          <w:rFonts w:ascii="Arial" w:cs="Arial" w:eastAsia="Arial" w:hAnsi="Arial"/>
          <w:sz w:val="17"/>
          <w:szCs w:val="17"/>
          <w:color w:val="auto"/>
        </w:rPr>
        <w:t>, for the year ended December 31, 2019, the Company recorded an investment gain from its Eton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of $3,780 related to the change in fair market value of the Company’s investment in Eton during the measurement period. For the year ended December 31, 2018, the Company recorded an investment gain from its Eton common stock position of $21,420 related to the change in fair market value of the Company’s investment in Eton during the measurement period. As of December 31, 2019, the fair market value of the Company’s investment in Eton was $25,200.</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Eton and the Company signed licensing agreements for two products developed by the Company whereby the Company assigned the product rights to Eton. Eton would pay the Company a $50 milestone payment upon patent issuance for each product and a royalty fee at a rate of six percent on the net sales of those two products. On December 26, 2017, one of the products had its patent issued and a $50 milestone fee was received by the Company in January 2018. In July 2018, Eton and the Company agreed to cancel the licensing agreement for one of the products and retain the product rights at the Company, in exchange of the Company paying Eton $50.</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6, 2019, the Company entered into an Asset Purchase Agreement (the “CT-100 Asset Purchase Agreement”) with Eton. Pursuant to the CT-100 Asset Purchase Agreement, Eton sold all of its right, title and interest in CT-100 back to the Company. Pursuant to the CT-100 Asset Purchase Agreement, the Company will make certain payments to Eton upon the achievement of certain development and commercial milestones. In addition, the Company is required to pay Eton a royalty in the low-single digit percentage range worldwide on a country-by-country basis on net sales for a period of the longer of 15 years from the date of the first commercial sale of a product subject to certain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Mark L. Baum, the Company’s Chief Executive Officer is a member of the Eton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Accounts receivable are presented net of allowances for doubtful accounts and contractual adjustments in the amount of $76 and $270 as of December 31,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stated at the lower of cost or net realizable value.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2018, the Company formed Melt as a wholly owned subsidiary. In January and March of 2019, Melt entered into definitive stock purchase agreements (collectively, the “Melt Series A Preferred Stock Agreement”) with certain investors and closed on the purchase and sale of Melt’s Series A Preferred Stock (the “Melt Series A Stock”), totaling approximately $11,400 of proceeds (collectively the “Melt Series A Round”) at a purchase price of $5.00 per share. As a result, the Company lost voting and ownership control of Melt and ceased consolidating Melt’s financial statements. In connection with the Melt Series A Preferred Stock Agreement, Melt also entered into a Registration Rights Agreement and agreed to use commercially reasonable efforts to file, or confidentially submit, a registration statement on Form S-1 with the United States Securities and Exchange Commission by September 30, 2020 relating to an initial public offering of its common stock.</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At the time of deconsolidation, the Company recorded a gain of $5,810 and adjusted the carrying value in Melt to reflect the increased valuation of Melt and the Company’s new ownership interest in accordance with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owns 3,500,000 common shares (which is approximately 44% of the equity interest as of December 31, 2019) of Melt and uses the equity method of accounting for this investment, as management has determined that the Company has the ability to exercise significant influence over the operating and financial decisions of Melt. Under this method, the Company recognizes earnings and losses of Melt in its consolidated financial statements and adjusts the carrying amount of its investment in Melt accordingly. The Company’s share of earnings and losses are based on the Company’s ownership interest of Melt. Any intra-entity profits and losses are eliminated. During the year ended December 31, 2019, the Company recorded equity in net loss of Melt of $1,842. As of December 31, 2019, the carrying value of the Company’s investment in Melt was $3,968.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Pharmaceuticals,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formed Surface as a wholly owned subsidiary. In May and July 2018, Surface entered into and closed on definitive stock purchase agreements with an institutional investor for the purchase of Surface’s Series A Preferred Stock (the “Surface Series A Stock”) that resulted in total proceeds to Surface of approximately $21,000. At the time of the first closing in May 2018, the Company lost voting and ownership control of Surface and it ceased consolidating Surface’s financial statements. The Surface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of Surface common stock or similar transaction.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At the time of deconsolidation, the Company recorded a gain of $5,320 and adjusted the carrying value in Surface to reflect the increased valuation of Surface and the Company’s new ownership percent in accordance with ASC 810-10-40-4(c).</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owns 3,500,000 common shares (which is approximately 30% of the equity interest as of December 31, 2019, and calculated after the second closing of the sale Series A Preferred Stock in July 2018)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of Surface in its consolidated financial statements and adjusts the carrying amount of its investment in Surface accordingly. The Company’s share of earnings and losses are based on the shares of common stock and in-substance common stock of Surface held by the Company. Any intra-entity profits and losses are eliminated. During the years ended December 31, 2019 and 2018, the Company recorded equity in net loss of Surface of $1,200 and $373, respectively. As of December 31, 2019, the carrying value of the Company’s investment in Surface was $3,747.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Computer software and hardware and furniture and equipment are depreciated over three to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the Company has acquired or may acquire in the future include but are not limited to:</w:t>
      </w:r>
    </w:p>
    <w:p>
      <w:pPr>
        <w:spacing w:after="0" w:line="157"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the Company capitalizes third-party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 (See Note 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 Restructuring</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2019, the Company’s subsidiary, Park Compounding, Inc. (“Park”), and Noice Rx, LLC (“Noice”) terminated an Asset Purchase Agreement dated July 26, 2019 (the “Park Purchase Agreement”), between the parties. Under the terms of the Park Purchase Agreement, Park had agreed to sell substantially all its assets associated with its non-ophthalmology pharmaceutical compounding business to Noice, including its pharmacy facility and equipment located in Irvine, California. The closing of the sale transaction was dependent on the California State Board of Pharmacy approving of the sale and issuing a temporary pharmacy and sterile license permit to Noice, which did not occur and led to Park ceasing operations at the close of business on August 27, 2019. As a result, the Company restructured its Park business, ceased operations at its Irvine, California-based pharmacy, and facilitated the transition of certain compounded formulations and related equipment from Park to the Company’s New Jersey-based compounded pharmaceutical production facilities (the “Park Restructuring”). As a result of the Park Restructuring, the Company incurred non-cash impairment costs of approximately $3,781 related to assets held at Park, primarily associated with property, plant, equipment, inventory, goodwill and other intangible assets, and $480 in one-time costs related to severance packages and other costs associated with the Park Restructuring during the year ended December 31, 2019.</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reduced the Park compounded product formulary to seven base formulations, based on factors including unit order volumes, revenues and gross margin percentages, and ImprimisRx expects to have re-acquired approximately half of Park’s historical revenues during the first quarter of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hanging="332"/>
        <w:spacing w:after="0" w:line="274"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jc w:val="both"/>
        <w:ind w:left="34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8"/>
          <w:szCs w:val="18"/>
          <w:color w:val="auto"/>
        </w:rPr>
        <w:t>At December 31, 2019 and 2018, the Company measured its investment in Eton on a recurring basis. The Company’s investment in Eton is classified as Level 1 as the fair value is determined using quoted market prices in active markets for the same securities. As of December 31, 2019, the fair market value of the Company’s investment in Eton was $25,200.</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financial instruments included cash and cash equivalents, investment in Eton, accounts receivable, accounts payable and accrued expenses, accrued payroll and related liabilities, deferred revenue and customer deposits, notes payable and operating and finance leases. The carrying amount of these financial instruments, except for notes payable and finance leases, approximates fair value due to the short-term maturities of these instruments. The Company’s restricted short-term investments are carried at amortized cost, which approximates fair value. Based on borrowing rates currently available to the Company, the carrying values of the notes payable and operating and finance leases approximate their respective fair values.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stock-based payments to employees, directors and consultants, including grants of stock options, warrants, restricted stock units (“RSUs”) and restricted stock, are recognized in the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net income per common share is computed by dividing income attributable to common stockholders for the period by the weighted average number of common shares outstanding during the period. Diluted income per share is computed by dividing the income attributable to common stockholders for the period by the weighted average number of common and common equivalent shares, such as stock options and warrants, outstanding during the period.</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and diluted net income per share is computed using the weighted average number of shares of common stock outstanding during the period. Common stock equivalents (using the treasury stock or “if converted” method) from stock options, unvested restricted stock units (“RSUs”) and warrants were 4,848,459 and 6,201,355 at December 31, 2019 and 2018, respectively, and are excluded in the calculation of diluted net income per share for the periods presented, because the effect is anti-dilutive for that time period. Included in the basic and diluted net income per share calculation were RSUs awarded to directors that had vested, but the issuance and delivery of the shares are deferred until the director resigns. The number of shares underlying vested RSUs at December 31, 2019 and 2018 was 324,303 and 236,693,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net income per share of common stock for the years ended December 31, 2019 and 2018: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December 31, 2019</w:t>
            </w:r>
          </w:p>
        </w:tc>
        <w:tc>
          <w:tcPr>
            <w:tcW w:w="14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2"/>
              </w:rPr>
              <w:t>Denominator – weighted average number of shares</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820" w:type="dxa"/>
            <w:vAlign w:val="bottom"/>
          </w:tcPr>
          <w:p>
            <w:pPr>
              <w:spacing w:after="0"/>
              <w:rPr>
                <w:sz w:val="20"/>
                <w:szCs w:val="20"/>
                <w:color w:val="auto"/>
              </w:rPr>
            </w:pPr>
            <w:r>
              <w:rPr>
                <w:rFonts w:ascii="Arial" w:cs="Arial" w:eastAsia="Arial" w:hAnsi="Arial"/>
                <w:sz w:val="18"/>
                <w:szCs w:val="18"/>
                <w:color w:val="auto"/>
              </w:rPr>
              <w:t>outstanding, basic</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25,323,159</w:t>
            </w:r>
          </w:p>
        </w:tc>
        <w:tc>
          <w:tcPr>
            <w:tcW w:w="140" w:type="dxa"/>
            <w:vAlign w:val="bottom"/>
          </w:tcPr>
          <w:p>
            <w:pPr>
              <w:spacing w:after="0"/>
              <w:rPr>
                <w:sz w:val="21"/>
                <w:szCs w:val="21"/>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21,917,570</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per share, basic</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 December 31, 2019 and 2018, the Company computed diluted net income per share using the weighted-average number of common shares and dilutive common equivalent shares outstanding during that period. Diluted common equivalent shares for the years ended December 31, 2019 and 2018, respectively,consisted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For the Year Ended</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For the Year Ended</w:t>
            </w:r>
          </w:p>
        </w:tc>
      </w:tr>
      <w:tr>
        <w:trPr>
          <w:trHeight w:val="237"/>
        </w:trPr>
        <w:tc>
          <w:tcPr>
            <w:tcW w:w="4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31, 2019</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2018</w:t>
            </w:r>
          </w:p>
        </w:tc>
      </w:tr>
      <w:tr>
        <w:trPr>
          <w:trHeight w:val="223"/>
        </w:trPr>
        <w:tc>
          <w:tcPr>
            <w:tcW w:w="400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Borders>
              <w:bottom w:val="single" w:sz="8" w:color="CCEEFF"/>
            </w:tcBorders>
          </w:tcPr>
          <w:p>
            <w:pPr>
              <w:spacing w:after="0"/>
              <w:rPr>
                <w:sz w:val="19"/>
                <w:szCs w:val="19"/>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29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25,323,159</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21,917,570</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Warrants</w:t>
            </w:r>
          </w:p>
        </w:tc>
        <w:tc>
          <w:tcPr>
            <w:tcW w:w="5220" w:type="dxa"/>
            <w:vAlign w:val="bottom"/>
            <w:gridSpan w:val="3"/>
          </w:tcPr>
          <w:p>
            <w:pPr>
              <w:jc w:val="right"/>
              <w:ind w:right="320"/>
              <w:spacing w:after="0"/>
              <w:rPr>
                <w:sz w:val="20"/>
                <w:szCs w:val="20"/>
                <w:color w:val="auto"/>
              </w:rPr>
            </w:pPr>
            <w:r>
              <w:rPr>
                <w:rFonts w:ascii="Arial" w:cs="Arial" w:eastAsia="Arial" w:hAnsi="Arial"/>
                <w:sz w:val="18"/>
                <w:szCs w:val="18"/>
                <w:color w:val="auto"/>
              </w:rPr>
              <w:t>488,498</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1,844,272</w:t>
            </w:r>
          </w:p>
        </w:tc>
      </w:tr>
      <w:tr>
        <w:trPr>
          <w:trHeight w:val="25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5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654,441</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50,203</w:t>
            </w:r>
          </w:p>
        </w:tc>
      </w:tr>
      <w:tr>
        <w:trPr>
          <w:trHeight w:val="210"/>
        </w:trPr>
        <w:tc>
          <w:tcPr>
            <w:tcW w:w="4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Dilutive common equivalent shares</w:t>
            </w:r>
          </w:p>
        </w:tc>
        <w:tc>
          <w:tcPr>
            <w:tcW w:w="298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26,466,098</w:t>
            </w:r>
          </w:p>
        </w:tc>
        <w:tc>
          <w:tcPr>
            <w:tcW w:w="3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23,812,045</w:t>
            </w:r>
          </w:p>
        </w:tc>
        <w:tc>
          <w:tcPr>
            <w:tcW w:w="100" w:type="dxa"/>
            <w:vAlign w:val="bottom"/>
            <w:tcBorders>
              <w:top w:val="single" w:sz="8" w:color="CCEEFF"/>
            </w:tcBorders>
          </w:tcPr>
          <w:p>
            <w:pPr>
              <w:spacing w:after="0"/>
              <w:rPr>
                <w:sz w:val="18"/>
                <w:szCs w:val="18"/>
                <w:color w:val="auto"/>
              </w:rPr>
            </w:pPr>
          </w:p>
        </w:tc>
      </w:tr>
      <w:tr>
        <w:trPr>
          <w:trHeight w:val="439"/>
        </w:trPr>
        <w:tc>
          <w:tcPr>
            <w:tcW w:w="40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3"/>
          </w:tcPr>
          <w:p>
            <w:pPr>
              <w:jc w:val="right"/>
              <w:ind w:right="3420"/>
              <w:spacing w:after="0"/>
              <w:rPr>
                <w:sz w:val="20"/>
                <w:szCs w:val="20"/>
                <w:color w:val="auto"/>
              </w:rPr>
            </w:pPr>
            <w:r>
              <w:rPr>
                <w:rFonts w:ascii="Arial" w:cs="Arial" w:eastAsia="Arial" w:hAnsi="Arial"/>
                <w:sz w:val="18"/>
                <w:szCs w:val="18"/>
                <w:color w:val="auto"/>
              </w:rPr>
              <w:t>F-14</w:t>
            </w: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color w:val="auto"/>
        </w:rPr>
        <w:t>The following table shows the computation of diluted net income per share using the weighted-average number of common shares and dilutive common equivalent shares outstanding for the years ended December 31,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For the</w:t>
            </w:r>
          </w:p>
        </w:tc>
        <w:tc>
          <w:tcPr>
            <w:tcW w:w="18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Year Ended</w:t>
            </w:r>
          </w:p>
        </w:tc>
        <w:tc>
          <w:tcPr>
            <w:tcW w:w="180" w:type="dxa"/>
            <w:vAlign w:val="bottom"/>
          </w:tcPr>
          <w:p>
            <w:pPr>
              <w:spacing w:after="0"/>
              <w:rPr>
                <w:sz w:val="19"/>
                <w:szCs w:val="19"/>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December 31, 2019</w:t>
            </w:r>
          </w:p>
        </w:tc>
        <w:tc>
          <w:tcPr>
            <w:tcW w:w="180" w:type="dxa"/>
            <w:vAlign w:val="bottom"/>
          </w:tcPr>
          <w:p>
            <w:pPr>
              <w:spacing w:after="0"/>
              <w:rPr>
                <w:sz w:val="20"/>
                <w:szCs w:val="20"/>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25,323,159</w:t>
            </w:r>
          </w:p>
        </w:tc>
        <w:tc>
          <w:tcPr>
            <w:tcW w:w="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21,917,570</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equivalents</w:t>
            </w:r>
          </w:p>
        </w:tc>
        <w:tc>
          <w:tcPr>
            <w:tcW w:w="18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1,142,939</w:t>
            </w:r>
          </w:p>
        </w:tc>
        <w:tc>
          <w:tcPr>
            <w:tcW w:w="1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1,894,475</w:t>
            </w:r>
          </w:p>
        </w:tc>
        <w:tc>
          <w:tcPr>
            <w:tcW w:w="0" w:type="dxa"/>
            <w:vAlign w:val="bottom"/>
          </w:tcPr>
          <w:p>
            <w:pPr>
              <w:spacing w:after="0"/>
              <w:rPr>
                <w:sz w:val="1"/>
                <w:szCs w:val="1"/>
                <w:color w:val="auto"/>
              </w:rPr>
            </w:pPr>
          </w:p>
        </w:tc>
      </w:tr>
      <w:tr>
        <w:trPr>
          <w:trHeight w:val="175"/>
        </w:trPr>
        <w:tc>
          <w:tcPr>
            <w:tcW w:w="58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Denominator – number of shares used for diluted earnings per share</w:t>
            </w:r>
          </w:p>
        </w:tc>
        <w:tc>
          <w:tcPr>
            <w:tcW w:w="1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860" w:type="dxa"/>
            <w:vAlign w:val="bottom"/>
          </w:tcPr>
          <w:p>
            <w:pPr>
              <w:spacing w:after="0"/>
              <w:rPr>
                <w:sz w:val="20"/>
                <w:szCs w:val="20"/>
                <w:color w:val="auto"/>
              </w:rPr>
            </w:pPr>
            <w:r>
              <w:rPr>
                <w:rFonts w:ascii="Arial" w:cs="Arial" w:eastAsia="Arial" w:hAnsi="Arial"/>
                <w:sz w:val="18"/>
                <w:szCs w:val="18"/>
                <w:color w:val="auto"/>
              </w:rPr>
              <w:t>computation</w:t>
            </w:r>
          </w:p>
        </w:tc>
        <w:tc>
          <w:tcPr>
            <w:tcW w:w="180" w:type="dxa"/>
            <w:vAlign w:val="bottom"/>
          </w:tcPr>
          <w:p>
            <w:pPr>
              <w:spacing w:after="0"/>
              <w:rPr>
                <w:sz w:val="21"/>
                <w:szCs w:val="21"/>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8"/>
                <w:szCs w:val="18"/>
                <w:color w:val="auto"/>
              </w:rPr>
              <w:t>26,466,098</w:t>
            </w:r>
          </w:p>
        </w:tc>
        <w:tc>
          <w:tcPr>
            <w:tcW w:w="180" w:type="dxa"/>
            <w:vAlign w:val="bottom"/>
          </w:tcPr>
          <w:p>
            <w:pPr>
              <w:spacing w:after="0"/>
              <w:rPr>
                <w:sz w:val="21"/>
                <w:szCs w:val="21"/>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23,812,045</w:t>
            </w: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per share, diluted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FASB issued new lease accounting guidance in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new guidance was initiated as a joint project with the International Accounting Standards Board to simplify lease accounting and improve the quality of and comparability of financial information for users. This new guidance would eliminate the concept of off-balance sheet treatment for “operating leases” for lessees for the vast majority of lease contracts. Under ASU 2016-02, at inception, a lessee must classify all leases with a term of over one year as either finance or operating, with both classifications resulting in the recognition of a defined “right-of-use” asset and a lease liability on the balance sheet. However, recognition in the income statement will differ depending on the lease classification, with finance leases recognizing the amortization of the right-of-use asset separate from the interest on the lease liability and operating leases recognizing a single total lease expense. Lessor accounting under ASU 2016-02 is substantially unchanged from the previous lease requirements under GAAP. ASU 2016-02 took effect for public companies in fiscal years beginning after December 15, 2018, including interim periods within those fiscal years. On January 1, 2019, the Company adopted Topic 842 using the modified retrospective transition method with no impact to stockholders’ equity. As of December 31, 2019, the Company held on its consolidated balance sheet $6,559 for the right-of-use asset and $6,967 for the related lease liability related to operating and finance leases. The difference between the right of use asset and related lease liability is predominantly deferred rent and other related lease expenses under the new lease accounting standard. For additional information regarding how the Company is accounting for leases under Topic 842, refer to Note 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which requires the measurement and recognition of expected credit losses for financial assets held at amortized cost. ASU 2016-13 replaces the existing incurred loss impairment model with a forward-looking expected credit loss model which will result in earlier recognition of credit losses. The Company will adopt the new standard effective January 1, 2020 and does not expect the adoption of this guidance to have a material impact on its consolidated financial statements.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Disclosure Requirements for Fair Value Measurements</w:t>
      </w:r>
      <w:r>
        <w:rPr>
          <w:rFonts w:ascii="Arial" w:cs="Arial" w:eastAsia="Arial" w:hAnsi="Arial"/>
          <w:sz w:val="18"/>
          <w:szCs w:val="18"/>
          <w:color w:val="auto"/>
        </w:rPr>
        <w:t>, which improved the effectiveness of disclosure requirements for recurring and nonrecurring fair value measurements. The standard removes, modifies, and adds certain disclosure requirements. The Company will adopt the new standard effective January 1, 2020 and does not expect the adoption of this guidance to have a material impact on its consolidated financial statements.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 which simplifies the accounting for income taxes. This guidance will be effective for the Company in the first quarter of 2021 on a prospective basis, and early adoption is permitted. The Company is currently evaluating the impact of the new guidance on its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1, 2018, the Company adopted ASU 2014-09, using the modified retrospective transition method. There was no effect for any adjustments to retained earnings upon adoption of the standard on January 1, 2018. The Company has two primary streams of revenue: (1) revenue recognized from our sale of products within our pharmacy services and (2) revenue recognized from intellectual property license and asset purchase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 from our pharmacy services divisions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ASU 2014-09, we have identified the following:</w:t>
      </w:r>
    </w:p>
    <w:p>
      <w:pPr>
        <w:spacing w:after="0" w:line="18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34"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ind w:left="340" w:right="2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ind w:left="340" w:hanging="332"/>
        <w:spacing w:after="0" w:line="26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four intellectual property license and related agreements in which the Company has promised to grant a license or sale which provides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of time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Revenue disaggregated by revenue source for the years ended December 31, 2019 and 2018,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For the year ended</w:t>
            </w:r>
          </w:p>
        </w:tc>
      </w:tr>
      <w:tr>
        <w:trPr>
          <w:trHeight w:val="241"/>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w:t>
            </w:r>
          </w:p>
        </w:tc>
      </w:tr>
      <w:tr>
        <w:trPr>
          <w:trHeight w:val="236"/>
        </w:trPr>
        <w:tc>
          <w:tcPr>
            <w:tcW w:w="37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20"/>
                <w:szCs w:val="20"/>
                <w:color w:val="auto"/>
              </w:rPr>
            </w:pPr>
          </w:p>
        </w:tc>
      </w:tr>
      <w:tr>
        <w:trPr>
          <w:trHeight w:val="216"/>
        </w:trPr>
        <w:tc>
          <w:tcPr>
            <w:tcW w:w="3780" w:type="dxa"/>
            <w:vAlign w:val="bottom"/>
            <w:shd w:val="clear" w:color="auto" w:fill="CCEEFF"/>
          </w:tcPr>
          <w:p>
            <w:pPr>
              <w:jc w:val="right"/>
              <w:ind w:right="2330"/>
              <w:spacing w:after="0"/>
              <w:rPr>
                <w:sz w:val="20"/>
                <w:szCs w:val="20"/>
                <w:color w:val="auto"/>
              </w:rPr>
            </w:pPr>
            <w:r>
              <w:rPr>
                <w:rFonts w:ascii="Arial" w:cs="Arial" w:eastAsia="Arial" w:hAnsi="Arial"/>
                <w:sz w:val="18"/>
                <w:szCs w:val="18"/>
                <w:b w:val="1"/>
                <w:bCs w:val="1"/>
                <w:color w:val="auto"/>
                <w:w w:val="86"/>
              </w:rPr>
              <w:t>Product sales,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41,334</w:t>
            </w:r>
          </w:p>
        </w:tc>
        <w:tc>
          <w:tcPr>
            <w:tcW w:w="60" w:type="dxa"/>
            <w:vAlign w:val="bottom"/>
            <w:shd w:val="clear" w:color="auto" w:fill="CCEEFF"/>
          </w:tcPr>
          <w:p>
            <w:pPr>
              <w:spacing w:after="0"/>
              <w:rPr>
                <w:sz w:val="18"/>
                <w:szCs w:val="18"/>
                <w:color w:val="auto"/>
              </w:rPr>
            </w:pPr>
          </w:p>
        </w:tc>
      </w:tr>
      <w:tr>
        <w:trPr>
          <w:trHeight w:val="236"/>
        </w:trPr>
        <w:tc>
          <w:tcPr>
            <w:tcW w:w="3780" w:type="dxa"/>
            <w:vAlign w:val="bottom"/>
          </w:tcPr>
          <w:p>
            <w:pPr>
              <w:jc w:val="right"/>
              <w:ind w:right="2390"/>
              <w:spacing w:after="0"/>
              <w:rPr>
                <w:sz w:val="20"/>
                <w:szCs w:val="20"/>
                <w:color w:val="auto"/>
              </w:rPr>
            </w:pPr>
            <w:r>
              <w:rPr>
                <w:rFonts w:ascii="Arial" w:cs="Arial" w:eastAsia="Arial" w:hAnsi="Arial"/>
                <w:sz w:val="18"/>
                <w:szCs w:val="18"/>
                <w:b w:val="1"/>
                <w:bCs w:val="1"/>
                <w:color w:val="auto"/>
                <w:w w:val="84"/>
              </w:rPr>
              <w:t>License revenues</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30"/>
        </w:trPr>
        <w:tc>
          <w:tcPr>
            <w:tcW w:w="3780" w:type="dxa"/>
            <w:vAlign w:val="bottom"/>
            <w:tcBorders>
              <w:top w:val="single" w:sz="8" w:color="CCEEFF"/>
              <w:bottom w:val="single" w:sz="8" w:color="CCEEFF"/>
            </w:tcBorders>
            <w:shd w:val="clear" w:color="auto" w:fill="CCEEFF"/>
          </w:tcPr>
          <w:p>
            <w:pPr>
              <w:jc w:val="right"/>
              <w:ind w:right="239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and customer deposits at December 31, 2019 and 2018, were $57 and $119, respectively. All deferred revenue and customer deposit amounts at December 31, 2018 were recognized as revenue during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AND AGREEMENTS - RELATED PARTY TRANSACTIONS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royalty payments to the Company of 5% of net sales of the Melt Products while any patent rights remain outstanding, as well as other conditions. In January and March 2019, the Company entered into the Melt Series A Preferred Stock Agreement, see also Note 2, under the subheading </w:t>
      </w:r>
      <w:r>
        <w:rPr>
          <w:rFonts w:ascii="Arial" w:cs="Arial" w:eastAsia="Arial" w:hAnsi="Arial"/>
          <w:sz w:val="17"/>
          <w:szCs w:val="17"/>
          <w:i w:val="1"/>
          <w:iCs w:val="1"/>
          <w:color w:val="auto"/>
        </w:rPr>
        <w:t>Investment in Melt Pharmaceuticals, Inc</w:t>
      </w:r>
      <w:r>
        <w:rPr>
          <w:rFonts w:ascii="Arial" w:cs="Arial" w:eastAsia="Arial" w:hAnsi="Arial"/>
          <w:sz w:val="17"/>
          <w:szCs w:val="17"/>
          <w:color w:val="auto"/>
        </w:rPr>
        <w: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pays the Company a monthly amount of $10.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 Company was due $722 from Melt for reimbursable expenses and amounts due under the Melt MSA and included in prepaid expenses and other current assets on the accompanying consolidated balance sheets. During the year ended December 31, 2019, Melt paid the Company $50.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Executive Officer, Mark L. Baum, and Chief Medical Officer, Larry Dillaha, are members of the Melt board of directors, and several employees of the Company (including Mr. Baum, Mr. Dillaha and the Company’s Chief Financial Officer, Andrew Boll) entered into consulting agreements and provide consulting services to Melt.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1"/>
              </w:rPr>
              <w:t>For the</w:t>
            </w:r>
          </w:p>
        </w:tc>
      </w:tr>
      <w:tr>
        <w:trPr>
          <w:trHeight w:val="229"/>
        </w:trPr>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December 31, 2019</w:t>
            </w:r>
          </w:p>
        </w:tc>
      </w:tr>
      <w:tr>
        <w:trPr>
          <w:trHeight w:val="21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4,169</w:t>
            </w:r>
          </w:p>
        </w:tc>
      </w:tr>
      <w:tr>
        <w:trPr>
          <w:trHeight w:val="229"/>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December 31, 2019</w:t>
            </w:r>
          </w:p>
        </w:tc>
        <w:tc>
          <w:tcPr>
            <w:tcW w:w="4500" w:type="dxa"/>
            <w:vAlign w:val="bottom"/>
          </w:tcPr>
          <w:p>
            <w:pPr>
              <w:spacing w:after="0"/>
              <w:rPr>
                <w:sz w:val="20"/>
                <w:szCs w:val="20"/>
                <w:color w:val="auto"/>
              </w:rPr>
            </w:pP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4500" w:type="dxa"/>
            <w:vAlign w:val="bottom"/>
          </w:tcPr>
          <w:p>
            <w:pPr>
              <w:spacing w:after="0"/>
              <w:rPr>
                <w:sz w:val="18"/>
                <w:szCs w:val="18"/>
                <w:color w:val="auto"/>
              </w:rPr>
            </w:pPr>
          </w:p>
        </w:tc>
      </w:tr>
      <w:tr>
        <w:trPr>
          <w:trHeight w:val="236"/>
        </w:trPr>
        <w:tc>
          <w:tcPr>
            <w:tcW w:w="3960" w:type="dxa"/>
            <w:vAlign w:val="bottom"/>
          </w:tcPr>
          <w:p>
            <w:pPr>
              <w:spacing w:after="0"/>
              <w:rPr>
                <w:sz w:val="20"/>
                <w:szCs w:val="20"/>
                <w:color w:val="auto"/>
              </w:rPr>
            </w:pPr>
            <w:r>
              <w:rPr>
                <w:rFonts w:ascii="Arial" w:cs="Arial" w:eastAsia="Arial" w:hAnsi="Arial"/>
                <w:sz w:val="18"/>
                <w:szCs w:val="18"/>
                <w:color w:val="auto"/>
              </w:rPr>
              <w:t>Non current assets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c>
          <w:tcPr>
            <w:tcW w:w="4500" w:type="dxa"/>
            <w:vAlign w:val="bottom"/>
          </w:tcPr>
          <w:p>
            <w:pPr>
              <w:spacing w:after="0"/>
              <w:rPr>
                <w:sz w:val="20"/>
                <w:szCs w:val="20"/>
                <w:color w:val="auto"/>
              </w:rPr>
            </w:pPr>
          </w:p>
        </w:tc>
      </w:tr>
      <w:tr>
        <w:trPr>
          <w:trHeight w:val="23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45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4500" w:type="dxa"/>
            <w:vAlign w:val="bottom"/>
          </w:tcPr>
          <w:p>
            <w:pPr>
              <w:spacing w:after="0"/>
              <w:rPr>
                <w:sz w:val="18"/>
                <w:szCs w:val="18"/>
                <w:color w:val="auto"/>
              </w:rPr>
            </w:pPr>
          </w:p>
        </w:tc>
      </w:tr>
      <w:tr>
        <w:trPr>
          <w:trHeight w:val="236"/>
        </w:trPr>
        <w:tc>
          <w:tcPr>
            <w:tcW w:w="3960" w:type="dxa"/>
            <w:vAlign w:val="bottom"/>
          </w:tcPr>
          <w:p>
            <w:pPr>
              <w:spacing w:after="0"/>
              <w:rPr>
                <w:sz w:val="20"/>
                <w:szCs w:val="20"/>
                <w:color w:val="auto"/>
              </w:rPr>
            </w:pPr>
            <w:r>
              <w:rPr>
                <w:rFonts w:ascii="Arial" w:cs="Arial" w:eastAsia="Arial" w:hAnsi="Arial"/>
                <w:sz w:val="18"/>
                <w:szCs w:val="18"/>
                <w:color w:val="auto"/>
              </w:rPr>
              <w:t>Total preferred stock and stockholders’ equity</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5,797</w:t>
            </w:r>
          </w:p>
        </w:tc>
        <w:tc>
          <w:tcPr>
            <w:tcW w:w="4500" w:type="dxa"/>
            <w:vAlign w:val="bottom"/>
          </w:tcPr>
          <w:p>
            <w:pPr>
              <w:spacing w:after="0"/>
              <w:rPr>
                <w:sz w:val="20"/>
                <w:szCs w:val="20"/>
                <w:color w:val="auto"/>
              </w:rPr>
            </w:pPr>
          </w:p>
        </w:tc>
      </w:tr>
      <w:tr>
        <w:trPr>
          <w:trHeight w:val="229"/>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45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0"/>
        </w:trPr>
        <w:tc>
          <w:tcPr>
            <w:tcW w:w="3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F-17</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5. INVESTMENT IN SURFACE PHARMACEUTICALS, INC. AND AGREEMENTS - RELATED PARTY TRANSACTIONS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2017 and amended in April 2018, the Company entered into two asset purchase and license agreements (the “Surface License Agreements”) with its previously wholly owned subsidiary, Surface. Pursuant to the terms of the Surface License Agreements, the Company assigned and licensed to Surface certain intellectual property and related rights associated with Surface’s drug candidates (collectively, the “Surface Products”). Surface is required to make royalty payments to the Company of four to six percent (4%-6%) of net sales of the Surface Products while any patent rights remain outstanding. Certain of the Surface License Agreements were conditioned upon Surface receiving net proceeds of the sale of its equity securities of not less than $10,000, which occurred in May 2018. See also Note 2, under the subheading </w:t>
      </w:r>
      <w:r>
        <w:rPr>
          <w:rFonts w:ascii="Arial" w:cs="Arial" w:eastAsia="Arial" w:hAnsi="Arial"/>
          <w:sz w:val="17"/>
          <w:szCs w:val="17"/>
          <w:i w:val="1"/>
          <w:iCs w:val="1"/>
          <w:color w:val="auto"/>
        </w:rPr>
        <w:t>Investment in Surface Pharmaceuticals, Inc</w:t>
      </w:r>
      <w:r>
        <w:rPr>
          <w:rFonts w:ascii="Arial" w:cs="Arial" w:eastAsia="Arial" w:hAnsi="Arial"/>
          <w:sz w:val="17"/>
          <w:szCs w:val="17"/>
          <w:color w:val="auto"/>
        </w:rPr>
        <w: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2018, the Company and Surface entered into an amended Management Services Agreement (the “MSA”), whereby the Company provided to Surface certain administrative services and support, including bookkeeping, web services and human resources related activities, and Surface paid the Company a monthly amount of $10. The MSA was terminated effective July 31, 2018.</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the Company was paid $50 from Surface for amounts due under the Surface MSA. There are no amounts due from Surface to the Company as of December 31, 2019.</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 Company owned 3,500,000 shares of Surface common stock (approximately 30% of the issued and outstanding equity interests). A Company director,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Several employees and a director of the Company (including Mr. Baum, Dr. Lindstrom and Mr. Boll) entered into consulting agreements and provided consulting services to Surface. Surface is required to make royalty payments to Dr. Lindstrom of 3% of net sales of certain Surface products while certain patent rights remain outstanding. Dr. Lindstrom is also a principal of Flying L Partners, an affiliate of the funding investor who purchased the Surface Series A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For the Year Ended</w:t>
            </w:r>
          </w:p>
        </w:tc>
        <w:tc>
          <w:tcPr>
            <w:tcW w:w="1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For the Year Ended</w:t>
            </w:r>
          </w:p>
        </w:tc>
      </w:tr>
      <w:tr>
        <w:trPr>
          <w:trHeight w:val="237"/>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December 31, 2018</w:t>
            </w:r>
          </w:p>
        </w:tc>
      </w:tr>
      <w:tr>
        <w:trPr>
          <w:trHeight w:val="216"/>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880" w:type="dxa"/>
            <w:vAlign w:val="bottom"/>
            <w:gridSpan w:val="2"/>
          </w:tcPr>
          <w:p>
            <w:pPr>
              <w:jc w:val="right"/>
              <w:ind w:right="101"/>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1,370</w:t>
            </w:r>
          </w:p>
        </w:tc>
      </w:tr>
      <w:tr>
        <w:trPr>
          <w:trHeight w:val="230"/>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rPr>
              <w:t>At December 31,</w:t>
            </w:r>
          </w:p>
        </w:tc>
        <w:tc>
          <w:tcPr>
            <w:tcW w:w="12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At December 31,</w:t>
            </w:r>
          </w:p>
        </w:tc>
      </w:tr>
      <w:tr>
        <w:trPr>
          <w:trHeight w:val="237"/>
        </w:trPr>
        <w:tc>
          <w:tcPr>
            <w:tcW w:w="39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CEEFF"/>
            </w:tcBorders>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60" w:type="dxa"/>
            <w:vAlign w:val="bottom"/>
            <w:shd w:val="clear" w:color="auto" w:fill="CCEEFF"/>
          </w:tcPr>
          <w:p>
            <w:pPr>
              <w:spacing w:after="0"/>
              <w:rPr>
                <w:sz w:val="18"/>
                <w:szCs w:val="18"/>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Non current assets</w:t>
            </w:r>
          </w:p>
        </w:tc>
        <w:tc>
          <w:tcPr>
            <w:tcW w:w="12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30"/>
        </w:trPr>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15,370</w:t>
            </w:r>
          </w:p>
        </w:tc>
        <w:tc>
          <w:tcPr>
            <w:tcW w:w="1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19,584</w:t>
            </w:r>
          </w:p>
        </w:tc>
      </w:tr>
      <w:tr>
        <w:trPr>
          <w:trHeight w:val="230"/>
        </w:trPr>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RESTRICTED CASH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restricted cash at December 31, 2019 and 2018 consisted of funds held in a money market account. At December 31, 2019 and 2018, the restricted cash was recorded at amortized cost, which approximates fair value.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2019 and 2018, the funds held in a money market account of $200 were classified as a current asset. The money market account funds are required as collateral as additional security for the Company’s New Jersey facility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December 31, 2019 and 2018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2018</w:t>
            </w:r>
          </w:p>
        </w:tc>
      </w:tr>
      <w:tr>
        <w:trPr>
          <w:trHeight w:val="216"/>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4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w:t>
            </w:r>
          </w:p>
        </w:tc>
        <w:tc>
          <w:tcPr>
            <w:tcW w:w="20" w:type="dxa"/>
            <w:vAlign w:val="bottom"/>
            <w:shd w:val="clear" w:color="auto" w:fill="CCEEFF"/>
          </w:tcPr>
          <w:p>
            <w:pPr>
              <w:spacing w:after="0"/>
              <w:rPr>
                <w:sz w:val="21"/>
                <w:szCs w:val="21"/>
                <w:color w:val="auto"/>
              </w:rPr>
            </w:pPr>
          </w:p>
        </w:tc>
      </w:tr>
      <w:tr>
        <w:trPr>
          <w:trHeight w:val="217"/>
        </w:trPr>
        <w:tc>
          <w:tcPr>
            <w:tcW w:w="2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December 31, 2019</w:t>
            </w:r>
          </w:p>
        </w:tc>
        <w:tc>
          <w:tcPr>
            <w:tcW w:w="18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60" w:type="dxa"/>
            <w:vAlign w:val="bottom"/>
          </w:tcPr>
          <w:p>
            <w:pPr>
              <w:spacing w:after="0"/>
              <w:rPr>
                <w:sz w:val="18"/>
                <w:szCs w:val="18"/>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1860" w:type="dxa"/>
            <w:vAlign w:val="bottom"/>
            <w:gridSpan w:val="3"/>
          </w:tcPr>
          <w:p>
            <w:pPr>
              <w:jc w:val="right"/>
              <w:ind w:right="8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Receivable due from Surface</w:t>
            </w: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Receivable due from Melt</w:t>
            </w:r>
          </w:p>
        </w:tc>
        <w:tc>
          <w:tcPr>
            <w:tcW w:w="160" w:type="dxa"/>
            <w:vAlign w:val="bottom"/>
          </w:tcPr>
          <w:p>
            <w:pPr>
              <w:spacing w:after="0"/>
              <w:rPr>
                <w:sz w:val="18"/>
                <w:szCs w:val="18"/>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7"/>
        </w:trPr>
        <w:tc>
          <w:tcPr>
            <w:tcW w:w="4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NOTE 9. PROPERTY, PLANT AND EQUIPMENT</w:t>
            </w: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5"/>
          </w:tcPr>
          <w:p>
            <w:pPr>
              <w:spacing w:after="0"/>
              <w:rPr>
                <w:sz w:val="20"/>
                <w:szCs w:val="20"/>
                <w:color w:val="auto"/>
              </w:rPr>
            </w:pPr>
            <w:r>
              <w:rPr>
                <w:rFonts w:ascii="Arial" w:cs="Arial" w:eastAsia="Arial" w:hAnsi="Arial"/>
                <w:sz w:val="18"/>
                <w:szCs w:val="18"/>
                <w:color w:val="auto"/>
                <w:w w:val="91"/>
              </w:rPr>
              <w:t>Property, plant and equipment at December 31, 2019 and 2018 consisted of the following:</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December 31, 2019</w:t>
            </w:r>
          </w:p>
        </w:tc>
        <w:tc>
          <w:tcPr>
            <w:tcW w:w="18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1,732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160" w:type="dxa"/>
            <w:vAlign w:val="bottom"/>
          </w:tcPr>
          <w:p>
            <w:pPr>
              <w:spacing w:after="0"/>
              <w:rPr>
                <w:sz w:val="18"/>
                <w:szCs w:val="18"/>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3,164</w:t>
            </w:r>
          </w:p>
        </w:tc>
        <w:tc>
          <w:tcPr>
            <w:tcW w:w="18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5,510</w:t>
            </w:r>
          </w:p>
        </w:tc>
        <w:tc>
          <w:tcPr>
            <w:tcW w:w="1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10,769</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10,739</w:t>
            </w:r>
          </w:p>
        </w:tc>
        <w:tc>
          <w:tcPr>
            <w:tcW w:w="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(5,394)</w:t>
            </w:r>
          </w:p>
        </w:tc>
        <w:tc>
          <w:tcPr>
            <w:tcW w:w="18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depreciation and amortization expense of $1,936 and $1,608 during the years ended December 31, 2019 and 2018,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December 31, 2019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Net</w:t>
            </w:r>
          </w:p>
        </w:tc>
        <w:tc>
          <w:tcPr>
            <w:tcW w:w="1140" w:type="dxa"/>
            <w:vAlign w:val="bottom"/>
          </w:tcPr>
          <w:p>
            <w:pPr>
              <w:spacing w:after="0"/>
              <w:rPr>
                <w:sz w:val="18"/>
                <w:szCs w:val="18"/>
                <w:color w:val="auto"/>
              </w:rPr>
            </w:pPr>
          </w:p>
        </w:tc>
      </w:tr>
      <w:tr>
        <w:trPr>
          <w:trHeight w:val="230"/>
        </w:trPr>
        <w:tc>
          <w:tcPr>
            <w:tcW w:w="366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periods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201"/>
              <w:spacing w:after="0"/>
              <w:rPr>
                <w:sz w:val="20"/>
                <w:szCs w:val="20"/>
                <w:color w:val="auto"/>
              </w:rPr>
            </w:pPr>
            <w:r>
              <w:rPr>
                <w:rFonts w:ascii="Arial" w:cs="Arial" w:eastAsia="Arial" w:hAnsi="Arial"/>
                <w:sz w:val="18"/>
                <w:szCs w:val="18"/>
                <w:color w:val="auto"/>
                <w:w w:val="97"/>
              </w:rPr>
              <w:t>Accumulated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c>
          <w:tcPr>
            <w:tcW w:w="1140" w:type="dxa"/>
            <w:vAlign w:val="bottom"/>
          </w:tcPr>
          <w:p>
            <w:pPr>
              <w:spacing w:after="0"/>
              <w:rPr>
                <w:sz w:val="19"/>
                <w:szCs w:val="19"/>
                <w:color w:val="auto"/>
              </w:rPr>
            </w:pPr>
          </w:p>
        </w:tc>
      </w:tr>
      <w:tr>
        <w:trPr>
          <w:trHeight w:val="237"/>
        </w:trPr>
        <w:tc>
          <w:tcPr>
            <w:tcW w:w="366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 years)</w:t>
            </w:r>
          </w:p>
        </w:tc>
        <w:tc>
          <w:tcPr>
            <w:tcW w:w="24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amortization</w:t>
            </w:r>
          </w:p>
        </w:tc>
        <w:tc>
          <w:tcPr>
            <w:tcW w:w="100" w:type="dxa"/>
            <w:vAlign w:val="bottom"/>
          </w:tcPr>
          <w:p>
            <w:pPr>
              <w:spacing w:after="0"/>
              <w:rPr>
                <w:sz w:val="20"/>
                <w:szCs w:val="20"/>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Impairment</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value</w:t>
            </w:r>
          </w:p>
        </w:tc>
        <w:tc>
          <w:tcPr>
            <w:tcW w:w="1140" w:type="dxa"/>
            <w:vAlign w:val="bottom"/>
          </w:tcPr>
          <w:p>
            <w:pPr>
              <w:spacing w:after="0"/>
              <w:rPr>
                <w:sz w:val="20"/>
                <w:szCs w:val="20"/>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Licenses</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20 years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1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114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3-15 years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1,205</w:t>
            </w:r>
          </w:p>
        </w:tc>
        <w:tc>
          <w:tcPr>
            <w:tcW w:w="11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5 years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Non-competition clause</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3-4 years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5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25 years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1"/>
                <w:szCs w:val="21"/>
                <w:color w:val="auto"/>
              </w:rPr>
            </w:pPr>
          </w:p>
        </w:tc>
      </w:tr>
      <w:tr>
        <w:trPr>
          <w:trHeight w:val="216"/>
        </w:trPr>
        <w:tc>
          <w:tcPr>
            <w:tcW w:w="36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3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F-19</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8"/>
          <w:szCs w:val="18"/>
          <w:color w:val="auto"/>
        </w:rPr>
        <w:t>During the year ended December 31, 2019 the Company incurred impairment charges of $612 related to intangible assets, including customer relationships, trade name, and state pharmacy licenses as a part of the Park Restructuring and $259 of impairment charges related to patents associated with the termination of an asset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year ended December 31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For the Year Ended</w:t>
            </w:r>
          </w:p>
        </w:tc>
        <w:tc>
          <w:tcPr>
            <w:tcW w:w="14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For the Year Ended</w:t>
            </w:r>
          </w:p>
        </w:tc>
      </w:tr>
      <w:tr>
        <w:trPr>
          <w:trHeight w:val="237"/>
        </w:trPr>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December 31, 2019</w:t>
            </w:r>
          </w:p>
        </w:tc>
        <w:tc>
          <w:tcPr>
            <w:tcW w:w="14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December 31, 2018</w:t>
            </w:r>
          </w:p>
        </w:tc>
      </w:tr>
      <w:tr>
        <w:trPr>
          <w:trHeight w:val="216"/>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Licenses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Trade name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7"/>
        </w:trPr>
        <w:tc>
          <w:tcPr>
            <w:tcW w:w="234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December 31, 2019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16"/>
        </w:trPr>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2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2022</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2024</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159</w:t>
            </w:r>
          </w:p>
        </w:tc>
      </w:tr>
      <w:tr>
        <w:trPr>
          <w:trHeight w:val="25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40" w:type="dxa"/>
            <w:vAlign w:val="bottom"/>
            <w:shd w:val="clear" w:color="auto" w:fill="CCEEFF"/>
          </w:tcPr>
          <w:p>
            <w:pPr>
              <w:spacing w:after="0"/>
              <w:rPr>
                <w:sz w:val="21"/>
                <w:szCs w:val="21"/>
                <w:color w:val="auto"/>
              </w:rPr>
            </w:pPr>
          </w:p>
        </w:tc>
      </w:tr>
      <w:tr>
        <w:trPr>
          <w:trHeight w:val="216"/>
        </w:trPr>
        <w:tc>
          <w:tcPr>
            <w:tcW w:w="200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the Company’s goodwill during the year ended December 31, 2019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2,227</w:t>
            </w: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color w:val="auto"/>
              </w:rPr>
              <w:t>Impairment of Park goodwill (see Note 2)</w:t>
            </w:r>
          </w:p>
        </w:tc>
        <w:tc>
          <w:tcPr>
            <w:tcW w:w="3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(1,895)</w:t>
            </w:r>
          </w:p>
        </w:tc>
      </w:tr>
      <w:tr>
        <w:trPr>
          <w:trHeight w:val="230"/>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at December 31, 2019 and 2018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December 31, 2019</w:t>
            </w:r>
          </w:p>
        </w:tc>
        <w:tc>
          <w:tcPr>
            <w:tcW w:w="18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2018</w:t>
            </w:r>
          </w:p>
        </w:tc>
        <w:tc>
          <w:tcPr>
            <w:tcW w:w="2800" w:type="dxa"/>
            <w:vAlign w:val="bottom"/>
          </w:tcPr>
          <w:p>
            <w:pPr>
              <w:spacing w:after="0"/>
              <w:rPr>
                <w:sz w:val="20"/>
                <w:szCs w:val="20"/>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8"/>
                <w:szCs w:val="18"/>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28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280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Accrued interest (see Note 12)</w:t>
            </w:r>
          </w:p>
        </w:tc>
        <w:tc>
          <w:tcPr>
            <w:tcW w:w="160" w:type="dxa"/>
            <w:vAlign w:val="bottom"/>
          </w:tcPr>
          <w:p>
            <w:pPr>
              <w:spacing w:after="0"/>
              <w:rPr>
                <w:sz w:val="18"/>
                <w:szCs w:val="18"/>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2800" w:type="dxa"/>
            <w:vAlign w:val="bottom"/>
          </w:tcPr>
          <w:p>
            <w:pPr>
              <w:spacing w:after="0"/>
              <w:rPr>
                <w:sz w:val="18"/>
                <w:szCs w:val="18"/>
                <w:color w:val="auto"/>
              </w:rPr>
            </w:pPr>
          </w:p>
        </w:tc>
      </w:tr>
      <w:tr>
        <w:trPr>
          <w:trHeight w:val="24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Accrued exit fee for note payable (see Note 12)</w:t>
            </w:r>
          </w:p>
        </w:tc>
        <w:tc>
          <w:tcPr>
            <w:tcW w:w="1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2800" w:type="dxa"/>
            <w:vAlign w:val="bottom"/>
          </w:tcPr>
          <w:p>
            <w:pPr>
              <w:spacing w:after="0"/>
              <w:rPr>
                <w:sz w:val="21"/>
                <w:szCs w:val="21"/>
                <w:color w:val="auto"/>
              </w:rPr>
            </w:pPr>
          </w:p>
        </w:tc>
      </w:tr>
      <w:tr>
        <w:trPr>
          <w:trHeight w:val="203"/>
        </w:trPr>
        <w:tc>
          <w:tcPr>
            <w:tcW w:w="4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8,502</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7,050</w:t>
            </w:r>
          </w:p>
        </w:tc>
        <w:tc>
          <w:tcPr>
            <w:tcW w:w="80" w:type="dxa"/>
            <w:vAlign w:val="bottom"/>
            <w:tcBorders>
              <w:top w:val="single" w:sz="8" w:color="CCEEFF"/>
            </w:tcBorders>
          </w:tcPr>
          <w:p>
            <w:pPr>
              <w:spacing w:after="0"/>
              <w:rPr>
                <w:sz w:val="17"/>
                <w:szCs w:val="17"/>
                <w:color w:val="auto"/>
              </w:rPr>
            </w:pPr>
          </w:p>
        </w:tc>
        <w:tc>
          <w:tcPr>
            <w:tcW w:w="2800" w:type="dxa"/>
            <w:vAlign w:val="bottom"/>
          </w:tcPr>
          <w:p>
            <w:pPr>
              <w:spacing w:after="0"/>
              <w:rPr>
                <w:sz w:val="17"/>
                <w:szCs w:val="17"/>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(7,702)</w:t>
            </w: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(6,250)</w:t>
            </w:r>
          </w:p>
        </w:tc>
        <w:tc>
          <w:tcPr>
            <w:tcW w:w="2800" w:type="dxa"/>
            <w:vAlign w:val="bottom"/>
          </w:tcPr>
          <w:p>
            <w:pPr>
              <w:spacing w:after="0"/>
              <w:rPr>
                <w:sz w:val="21"/>
                <w:szCs w:val="21"/>
                <w:color w:val="auto"/>
              </w:rPr>
            </w:pPr>
          </w:p>
        </w:tc>
      </w:tr>
      <w:tr>
        <w:trPr>
          <w:trHeight w:val="217"/>
        </w:trPr>
        <w:tc>
          <w:tcPr>
            <w:tcW w:w="4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total accrued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tcBorders>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9"/>
        </w:trPr>
        <w:tc>
          <w:tcPr>
            <w:tcW w:w="4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F-20</w:t>
            </w: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12.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Senior Note – 2017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2017, the Company entered into a term loan and security agreement in the principal amount of $16,000 (the “SWK Loan Agreement” or “SWK Loan”) with SWK Funding LLC and its partners (“SWK”), as lender and collateral agent. The SWK Loan Agreement was fully funded at closing with a five-year term, however, such term could be reduced to four years if certain revenue requirements are not achieved. The SWK Loan is secured by nearly all of the Company’s assets, including its intellectual property rights.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the loan refinance in May 2019 (see below), the SWK Loan was bearing interest at a variable rate equal to the three-month London Inter-Bank Offered Rate (subject to a minimum of 1.50% and maximum of 3.00%), plus an applicable margin of 10.50%. The SWK Loan Agreement permitted the Company to pay interest only on the principal amount loaned thereunder for the first six payments (payments are due on a quarterly basis), which interest-only period could have been reduced to four payments if the Company had not met certain minimum revenue requirements. Following the interest-only period, the Company was required to pay interest, plus repayments of the principal amount loaned under the SWK Loan Agreement, in quarterly payments, which shall not exceed $750 per quarter. All amounts owed under the SWK Loan Agreement, including a final fee equal to 5% of the aggregate principal amount loaned thereunder, were previously due and payable on July 19, 2022. The Company is obligated under the SWK Loan Agreement to pay for certain expenses incurred by the SWK Lender through and after the date of the SWK Loan Agreement, including certain fees and expenses relating to the preparation and administration of the SWK Loan Agreement. The Company incurred expenses and final fee of approximately $1,282 in connection with the SWK Loan Agreement. The final fee and expenses are being amortized as interest expense over the term of the SWK Loan using the effective interest rate method and the related liability of $800 for the final fee is included in accrued expenses (see Note 11) in the accompanying consolidated balance sheets as of December 31, 2019 and 2018.</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SWK Loan Agreement, the Company issued to SWK warrants to purchase up to 415,586 shares of the Company’s common stock (the “Lender Warrants”) with an exercise price of $3.08. In August 2017, the Company and SWK amended the warrants, to allow for the purchase up to 615,386 warrants with an exercise price of $2.08. The Lender Warrants are exercisable immediately, and have a term of 7 years. The Lender Warrants are subject to a cashless exercise feature, with the exercise price and number of shares issuable upon exercise subject to change in connection with stock splits, dividends, reclassifications and other conditions. The relative fair value of the Lender Warrants was approximately $982 and was estimated using the Black-Scholes-Merton option pricing model with the following assumptions: fair value of the Company’s common stock at issuance of $2.08 per share; seven-year contractual term; 113.5% volatility; 0% dividend rate; and a risk-free interest rate of 1.77%.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Refinance – May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2019, the Company entered into a joinder and amendment (the “Amendment”) to the SWK Loan and SWK, as lender and collateral agent. A summary of the material changes contained in the Amendment are as follows:</w:t>
      </w:r>
    </w:p>
    <w:p>
      <w:pPr>
        <w:spacing w:after="0" w:line="170" w:lineRule="exact"/>
        <w:rPr>
          <w:sz w:val="20"/>
          <w:szCs w:val="20"/>
          <w:color w:val="auto"/>
        </w:rPr>
      </w:pPr>
    </w:p>
    <w:p>
      <w:pPr>
        <w:jc w:val="both"/>
        <w:ind w:left="660" w:hanging="328"/>
        <w:spacing w:after="0" w:line="27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interest rate calculation that the loan bears is now equal to the three-month London Inter-Bank Offered Rate (subject to a minimum of 2.00%), plus an applicable margin of 10.00% (the “Margin Rate”); provided that, if, two days prior to a payment date, the Company provides SWK evidence that the Company has achieved a leverage ratio as of such date of less than 4.00:1:00, the Margin Rate shall equal 9.00%; and if the Company has achieved a leverage ratio as of such date of less than 3.00:1:00, the Margin Rate shall equal 7.00%;</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Leverage ratio in the Amendment means, as of any date of determination, the ratio of: (a) indebtedness as of such date to (b) EBITDA (as defined in the SWK Loan), of the Company for the immediately preceding twelve (12) month period, adding-back (i) actual litigation expenses for the immediately preceding twelve (12) month period, minus (ii) actual litigation expenses for the immediately preceding three (3) month period multiplied by four (4);</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May 14, 2020, permitting the Company to pay interest only on the principal amount loaned for the next four payments (payments are due on a quarterly basis) following the Amendment;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the satisfaction of certain revenue and market capitalization requirements and conditions, SWK agreed to make available to the Company an additional principal amount of up to $5,000.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18"/>
          <w:szCs w:val="18"/>
          <w:color w:val="auto"/>
        </w:rPr>
        <w:t>In addition to the terms described above, the Amendment joined the Company’s recently created subsidiaries to the SWK Loan and added definitions related to excluded subsidiaries that are not considered co-borrowers and are subsidiaries of the Company which the Company believes it will eventually deconsolidate from its financials and lose 50% or more of the equity interests of the subsidiary.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to the Amendment, the Company incurred expenses related to legal and lender costs of $282 that are included in debt discount and will be amortized over the term of the SWK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future minimum payments under the Company’s note payable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2021</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4,121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3,828</w:t>
            </w: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7,573</w:t>
            </w:r>
          </w:p>
        </w:tc>
      </w:tr>
      <w:tr>
        <w:trPr>
          <w:trHeight w:val="216"/>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19,225</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(3,975)</w:t>
            </w:r>
          </w:p>
        </w:tc>
      </w:tr>
      <w:tr>
        <w:trPr>
          <w:trHeight w:val="216"/>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gross</w:t>
            </w: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(1,259)</w:t>
            </w:r>
          </w:p>
        </w:tc>
      </w:tr>
      <w:tr>
        <w:trPr>
          <w:trHeight w:val="216"/>
        </w:trPr>
        <w:tc>
          <w:tcPr>
            <w:tcW w:w="5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(1,772)</w:t>
            </w:r>
          </w:p>
        </w:tc>
      </w:tr>
      <w:tr>
        <w:trPr>
          <w:trHeight w:val="229"/>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2018, debt discount amortization related to the note payable was $495 and $520,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adopted Topic 842 on January 1, 2019. Topic 842 allows the Company to elect a package of practical expedients, which include: (i) an entity need not reassess whether any expired or existing contracts are or contain leases; (ii) an entity need not reassess the lease classification for any expired or existing leases; and (iii) an entity need not reassess any initial direct costs for any existing leases. Another practical expedient allows the Company to use hindsight in determining the lease term when considering lessee options to extend or terminate the lease and to purchase the underlying asset. The Company has elected to utilize the package of practical expedients and has not elected the hindsight methodology in its implementation of Topic 842.</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to adopt this standard using the modified retrospective transition method and recognized a cumulative-effect adjustment to the consolidated balance sheet on the date of adoption. Comparative periods have not been restated. With the adoption of Topic 842, the Company’s consolidated balance sheet now contains the following line items: Right-of-use assets, Operating lease liabilities—short-term and Operating lease liabilities —long-term.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that it held the following significant operating leases of office and laboratory space as of December 31, 2019 (square footage is not described in thousands):</w:t>
      </w:r>
    </w:p>
    <w:p>
      <w:pPr>
        <w:spacing w:after="0" w:line="170"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 with an option to extend the term for a five-year period;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operating lease for 4,500 square feet of office and lab space in Irvine, California that expires in December 2020, with an option to extend the term for up to two five-year periods. As part of the Park Restructuring, the Company assessed its obligations under this lease. As of the date of this Annual Report, the Company expects to sublease this space and has determined that there is a practical ability to do so, and as a result did not recognize any impairment costs related to this lease and the Company’s right-to-use asset;</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operating lease for 25,000 square feet of lab, warehouse and office space in Ledgewood, New Jersey that expires in July 2024, with an option to extend the term for two additional five-year periods;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that expires in December 2024, with an option to extend the term for two additional five-year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jc w:val="both"/>
        <w:spacing w:after="0" w:line="255" w:lineRule="auto"/>
        <w:rPr>
          <w:sz w:val="20"/>
          <w:szCs w:val="20"/>
          <w:color w:val="auto"/>
        </w:rPr>
      </w:pPr>
      <w:r>
        <w:rPr>
          <w:rFonts w:ascii="Arial" w:cs="Arial" w:eastAsia="Arial" w:hAnsi="Arial"/>
          <w:sz w:val="18"/>
          <w:szCs w:val="18"/>
          <w:color w:val="auto"/>
        </w:rPr>
        <w:t>The extensions within the San Diego, California and Ledgewood, New Jersey operating lease agreements were included within the Company’s calculation of the new lease standard as the Company is reasonably certain it will exercise its option to extend these leases. The extensions within the Nashville lease were not included within the Company’s calculation of the new lease standards as the Company is not reasonably certain it will exercise its option to extend that lease. The Company has elected to not recognize right-of-use assets and lease liabilities arising from short-term leases, which are leases that, at the commencement date, have a lease term of 12 months or less and do not include an option to purchase the underlying asset that the lessee is reasonably certain to exercise.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previously classified capital leases are now classified as finance leases under the new standard. The Company has determined that the identified finance leases did not contain non-lease components and require no further allocation of the total lease cost. The Company has determined that the identified operating leases did contain non-lease components and elected an accounting policy to combine non-lease and lease components to determine the total lease cost. Additionally, the operating agreements in place did not contain information to determine the rate implicit in the leases. As such, the Company calculated the incremental borrowing rate based on the assumed remaining lease term for each lease in order to calculate the present value of the remaining lease payments. At December 31, 2019, the weighted average incremental borrowing rate and the weighted average remaining lease term for the operating leases held by the Company were 6.3% and 10.21 years, respectively.</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adoption of Topic 842, the Company recorded a $6,325 increase in operating lease right-of-use assets, a $388 decrease in accounts payable and accrued expenses and a $6,712 increase in operating lease liability. The Company did not record any cumulative effect adjustments to opening stockholders’ equity. In October 2019 the Company signed a new operating lease for 5,500 square feet of office space in Nashville, Tennessee. Upon the execution of the lease, the Company recorded a $753 increase in operating lease right-of-use assets and operating lease liability. As of December 31, 2019, right-of-use assets and liabilities arising from operating leases were $6,559 and $6,967, respectively. During the year ended December 31, 2019, cash paid for amounts included for the operating lease liabilities totaled $905 and the Company recorded operating lease expense of $892 included in selling, general and administrative expenses,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operating leases as of December 31, 2019 were as follows</w:t>
      </w:r>
      <w:r>
        <w:rPr>
          <w:rFonts w:ascii="Arial" w:cs="Arial" w:eastAsia="Arial" w:hAnsi="Arial"/>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Operating Leases</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2021</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2023</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Thereafter</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60" w:type="dxa"/>
            <w:vAlign w:val="bottom"/>
            <w:vMerge w:val="restart"/>
          </w:tcPr>
          <w:p>
            <w:pPr>
              <w:spacing w:after="0"/>
              <w:rPr>
                <w:sz w:val="20"/>
                <w:szCs w:val="20"/>
                <w:color w:val="auto"/>
              </w:rPr>
            </w:pPr>
            <w:r>
              <w:rPr>
                <w:rFonts w:ascii="Arial" w:cs="Arial" w:eastAsia="Arial" w:hAnsi="Arial"/>
                <w:sz w:val="18"/>
                <w:szCs w:val="18"/>
                <w:color w:val="auto"/>
              </w:rPr>
              <w:t>Less: amount representing interest payments</w:t>
            </w: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4960" w:type="dxa"/>
            <w:vAlign w:val="bottom"/>
            <w:vMerge w:val="continue"/>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(2,615</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60" w:type="dxa"/>
            <w:vAlign w:val="bottom"/>
            <w:vMerge w:val="restart"/>
          </w:tcPr>
          <w:p>
            <w:pPr>
              <w:spacing w:after="0"/>
              <w:rPr>
                <w:sz w:val="20"/>
                <w:szCs w:val="20"/>
                <w:color w:val="auto"/>
              </w:rPr>
            </w:pPr>
            <w:r>
              <w:rPr>
                <w:rFonts w:ascii="Arial" w:cs="Arial" w:eastAsia="Arial" w:hAnsi="Arial"/>
                <w:sz w:val="18"/>
                <w:szCs w:val="18"/>
                <w:color w:val="auto"/>
              </w:rPr>
              <w:t>Less: current portion, operating lease liabilities</w:t>
            </w: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4960" w:type="dxa"/>
            <w:vAlign w:val="bottom"/>
            <w:vMerge w:val="continue"/>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(629</w:t>
            </w:r>
          </w:p>
        </w:tc>
        <w:tc>
          <w:tcPr>
            <w:tcW w:w="0" w:type="dxa"/>
            <w:vAlign w:val="bottom"/>
          </w:tcPr>
          <w:p>
            <w:pPr>
              <w:spacing w:after="0"/>
              <w:rPr>
                <w:sz w:val="1"/>
                <w:szCs w:val="1"/>
                <w:color w:val="auto"/>
              </w:rPr>
            </w:pPr>
          </w:p>
        </w:tc>
      </w:tr>
      <w:tr>
        <w:trPr>
          <w:trHeight w:val="23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one additional finance lease that is included in its lease accounting but is not considered significant.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Future lease payments under non-cancelable finance leases as of December 31, 2019 were as follows</w:t>
      </w:r>
      <w:r>
        <w:rPr>
          <w:rFonts w:ascii="Arial" w:cs="Arial" w:eastAsia="Arial" w:hAnsi="Arial"/>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Finance Lease</w:t>
            </w:r>
          </w:p>
        </w:tc>
      </w:tr>
      <w:tr>
        <w:trPr>
          <w:trHeight w:val="216"/>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5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1"/>
                <w:szCs w:val="21"/>
                <w:color w:val="auto"/>
              </w:rPr>
            </w:pPr>
          </w:p>
        </w:tc>
      </w:tr>
      <w:tr>
        <w:trPr>
          <w:trHeight w:val="203"/>
        </w:trPr>
        <w:tc>
          <w:tcPr>
            <w:tcW w:w="6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3"/>
        </w:trPr>
        <w:tc>
          <w:tcPr>
            <w:tcW w:w="6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finance lease obligation</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6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Finance lease obligation, net of current portion</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 weighted average incremental borrowing rate and the weighted average remaining lease term for the finance leases held by the Company were 6.36% and 4.08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2019, debt discount amortization related to a finance lease obligation was $17, and included in interest expense,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depreciation expense related to the equipment held under the finance lease obligations was $150.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2019, cash paid and expense recognized for interest expense related to finance lease obligations was $18.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operating leases and future minimum capital lease payments as of December 31, 2018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0"/>
              </w:rPr>
              <w:t>Capital Leases</w:t>
            </w: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Operating Leases</w:t>
            </w:r>
          </w:p>
        </w:tc>
        <w:tc>
          <w:tcPr>
            <w:tcW w:w="0" w:type="dxa"/>
            <w:vAlign w:val="bottom"/>
          </w:tcPr>
          <w:p>
            <w:pPr>
              <w:spacing w:after="0"/>
              <w:rPr>
                <w:sz w:val="1"/>
                <w:szCs w:val="1"/>
                <w:color w:val="auto"/>
              </w:rPr>
            </w:pP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unamortized discount</w:t>
            </w:r>
          </w:p>
        </w:tc>
        <w:tc>
          <w:tcPr>
            <w:tcW w:w="12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obligation under capital leases</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720</w:t>
            </w:r>
          </w:p>
        </w:tc>
        <w:tc>
          <w:tcPr>
            <w:tcW w:w="240" w:type="dxa"/>
            <w:vAlign w:val="bottom"/>
            <w:tcBorders>
              <w:top w:val="single" w:sz="8" w:color="CCEEFF"/>
            </w:tcBorders>
            <w:gridSpan w:val="2"/>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leases</w:t>
            </w:r>
          </w:p>
        </w:tc>
        <w:tc>
          <w:tcPr>
            <w:tcW w:w="12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(720)</w:t>
            </w: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2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Long term capital lease obligation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2019 and 2018, the Company had 50,000,000 shares of common stock, $0.001 par value, authorized, respectively. On July 10, 2018, the Company amended its amended and restated certificate of incorporation to reduce the number of authorized shares of common stock from 90,000,000 to 50,000,000.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issued 25,273 shares of its restricted common stock, with a fair value of $44, in lieu of a cash payment for accrued royalty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RSUs granted in February 2015 to Andrew R. Boll, the Company’s Chief Financial Officer, vested, and in February 2018, 30,000 shares the Company’s common stock were issued to Mr. Boll.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jc w:val="both"/>
        <w:spacing w:after="0" w:line="277" w:lineRule="auto"/>
        <w:rPr>
          <w:sz w:val="20"/>
          <w:szCs w:val="20"/>
          <w:color w:val="auto"/>
        </w:rPr>
      </w:pPr>
      <w:r>
        <w:rPr>
          <w:rFonts w:ascii="Arial" w:cs="Arial" w:eastAsia="Arial" w:hAnsi="Arial"/>
          <w:sz w:val="18"/>
          <w:szCs w:val="18"/>
          <w:color w:val="auto"/>
        </w:rPr>
        <w:t>RSUs granted in February 2015 to John P. Saharek, the President of ImprimisRx (formerly, the Company’s Chief Commercial Officer), vested, and in February 2018, 30,000 shares the Company’s common stock were issued to Mr. Saharek.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2018, the Company issued 35,427 shares of its restricted common stock, with a fair value of $64, in lieu of a cash payment for accrued royalty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2018, the Company issued 15,000 shares of its restricted common stock, with a fair value of $42, related to a milestone payment due under a sales and marketing agreement.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sold 305,619 shares of common stock and received net proceeds of $642, after deducting $20 for sales commission and offering expenses, under the Sales Agreement during the year ended December 31, 2018. In November 2018, the Company terminated the Sales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2018, the Company issued 2,364,889 shares of its common stock related to the exercise of common stock warrants with an exercise price of $1.79, and received net proceeds of $4,233.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2018, the Company issued 910,273 shares of its common stock related to the cashless exercise of 1,576,665 common stock warrants with an exercise price of $1.79.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2018, 99,626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2019, the Company issued 15,000 shares of its restricted common stock, with a fair value of $75, as consideration for commission expenses incurred during the year ended December 31, 2018.</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Company issued 27,671 shares of its common stock upon the cashless exercise of 82,929 options to purchase common stock, with exercise prices ranging from $1.70 to $4.17 per share, net of 8,806 shares of common stock withheld for payroll tax withholdings totaling $50.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the Company issued 2,122 shares of its common stock upon the exercise of 2,122 options to purchase common stock, with exercise prices ranging from $1.70 to $3.20 per share, and received net proceeds of $6.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the Company issued 688,473 shares of its common stock upon the cashless exercise of 964,532 warrants to purchase common stock with an exercise price of $1.79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the Company issued 454,055 shares of its common stock upon the exercise of 454,055 warrants to purchase common stock with an exercise price of $1.79 per share, and received net proceeds of $813.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87,610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and 2018,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December 31, 2019,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 The Company had 1,004,656 shares available for future issuances under the 2017 Plan at December 31, 2019.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7"/>
          </w:tcPr>
          <w:p>
            <w:pPr>
              <w:spacing w:after="0"/>
              <w:rPr>
                <w:sz w:val="20"/>
                <w:szCs w:val="20"/>
                <w:color w:val="auto"/>
              </w:rPr>
            </w:pPr>
            <w:r>
              <w:rPr>
                <w:rFonts w:ascii="Arial" w:cs="Arial" w:eastAsia="Arial" w:hAnsi="Arial"/>
                <w:sz w:val="18"/>
                <w:szCs w:val="18"/>
                <w:color w:val="auto"/>
                <w:w w:val="99"/>
              </w:rPr>
              <w:t>A summary of stock option activity under the Plan for the year ended December 31, 2019 is as follows: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Weighted Avg.</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Number of 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Exercise Price</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2,482,009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Options 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362,000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6.19</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line="162" w:lineRule="exact"/>
              <w:rPr>
                <w:sz w:val="20"/>
                <w:szCs w:val="20"/>
                <w:color w:val="auto"/>
              </w:rPr>
            </w:pPr>
            <w:r>
              <w:rPr>
                <w:rFonts w:ascii="Arial" w:cs="Arial" w:eastAsia="Arial" w:hAnsi="Arial"/>
                <w:sz w:val="18"/>
                <w:szCs w:val="18"/>
                <w:color w:val="auto"/>
              </w:rPr>
              <w:t>Options cancelled/forfeit</w:t>
            </w:r>
          </w:p>
        </w:tc>
        <w:tc>
          <w:tcPr>
            <w:tcW w:w="1560" w:type="dxa"/>
            <w:vAlign w:val="bottom"/>
            <w:gridSpan w:val="2"/>
          </w:tcPr>
          <w:p>
            <w:pPr>
              <w:jc w:val="right"/>
              <w:ind w:right="140"/>
              <w:spacing w:after="0" w:line="162" w:lineRule="exact"/>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4.67</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740" w:type="dxa"/>
            <w:vAlign w:val="bottom"/>
          </w:tcPr>
          <w:p>
            <w:pPr>
              <w:spacing w:after="0"/>
              <w:rPr>
                <w:sz w:val="6"/>
                <w:szCs w:val="6"/>
                <w:color w:val="auto"/>
              </w:rPr>
            </w:pPr>
          </w:p>
        </w:tc>
        <w:tc>
          <w:tcPr>
            <w:tcW w:w="1560" w:type="dxa"/>
            <w:vAlign w:val="bottom"/>
            <w:gridSpan w:val="2"/>
          </w:tcPr>
          <w:p>
            <w:pPr>
              <w:jc w:val="right"/>
              <w:ind w:right="200"/>
              <w:spacing w:after="0" w:line="68" w:lineRule="exact"/>
              <w:rPr>
                <w:sz w:val="20"/>
                <w:szCs w:val="20"/>
                <w:color w:val="auto"/>
              </w:rPr>
            </w:pPr>
            <w:r>
              <w:rPr>
                <w:rFonts w:ascii="Arial" w:cs="Arial" w:eastAsia="Arial" w:hAnsi="Arial"/>
                <w:sz w:val="7"/>
                <w:szCs w:val="7"/>
                <w:color w:val="auto"/>
              </w:rPr>
              <w:t>(102,275</w:t>
            </w:r>
          </w:p>
        </w:tc>
        <w:tc>
          <w:tcPr>
            <w:tcW w:w="260" w:type="dxa"/>
            <w:vAlign w:val="bottom"/>
            <w:gridSpan w:val="2"/>
            <w:vMerge w:val="continue"/>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December 31, 2019</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2,656,683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w:t>
            </w: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4.57</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5.72</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1,603,530</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150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3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2,558,998</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5.26</w:t>
            </w:r>
          </w:p>
        </w:tc>
        <w:tc>
          <w:tcPr>
            <w:tcW w:w="150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5.10</w:t>
            </w:r>
          </w:p>
        </w:tc>
        <w:tc>
          <w:tcPr>
            <w:tcW w:w="280" w:type="dxa"/>
            <w:vAlign w:val="bottom"/>
            <w:tcBorders>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2019, based on the closing price of the Company’s common stock of $7.78 on that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the options exercised in 2019 was $246.</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2019 and 2018, the Company granted stock options to certain employees, directors and consultants. The stock options were granted with an exercise price equal to the current market price of the Company’s common stock, as reported by the securities exchange on which the common stock was then listed, at the grant date and have contractual terms ranging from five to ten years. Vesting terms for options granted in 2019 and 2018 to employees and consultants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quarterly vesting over three years; and 90% of the shares subject to the option vest and become exercisable on the second month after the grant date and the remaining 10% of the shares subject to the option vest and become exercisable quarterly in equal installments thereafter over the next 11 months. Certain option awards provide for accelerated vesting if there is a change in control (as defined in the Plan) and in the event of certain modifications to the option award agreement.</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Beginning on April 1, 2018, the Company began calculating expected volatility based solely on the historical volatilities of the common stock of the Company. In the past, the expected volatility was based on the historical volatilities of the common stock of the Company and comparable publicly traded companies, the Company previously utilized this methodology based on its estimate that it had limited relevant historical data regarding the volatility of its stock price on which to base a meaningful estimate of expected volatility.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5.07 -</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7.00</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5.77 - 6.11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64 - 78%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76 - 126%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jc w:val="right"/>
              <w:spacing w:after="0"/>
              <w:rPr>
                <w:sz w:val="20"/>
                <w:szCs w:val="20"/>
                <w:color w:val="auto"/>
              </w:rPr>
            </w:pPr>
            <w:r>
              <w:rPr>
                <w:rFonts w:ascii="Arial" w:cs="Arial" w:eastAsia="Arial" w:hAnsi="Arial"/>
                <w:sz w:val="18"/>
                <w:szCs w:val="18"/>
                <w:color w:val="auto"/>
              </w:rPr>
              <w:t>1.83 –</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2.68%</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2.05 – 3.00%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w:t>
            </w:r>
          </w:p>
        </w:tc>
      </w:tr>
      <w:tr>
        <w:trPr>
          <w:trHeight w:val="216"/>
        </w:trPr>
        <w:tc>
          <w:tcPr>
            <w:tcW w:w="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29"/>
        </w:trPr>
        <w:tc>
          <w:tcPr>
            <w:tcW w:w="4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Number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Contractual</w:t>
            </w:r>
          </w:p>
        </w:tc>
        <w:tc>
          <w:tcPr>
            <w:tcW w:w="16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r>
      <w:tr>
        <w:trPr>
          <w:trHeight w:val="237"/>
        </w:trPr>
        <w:tc>
          <w:tcPr>
            <w:tcW w:w="3660" w:type="dxa"/>
            <w:vAlign w:val="bottom"/>
            <w:gridSpan w:val="3"/>
          </w:tcPr>
          <w:p>
            <w:pPr>
              <w:spacing w:after="0"/>
              <w:rPr>
                <w:sz w:val="20"/>
                <w:szCs w:val="20"/>
                <w:color w:val="auto"/>
              </w:rPr>
            </w:pPr>
            <w:r>
              <w:rPr>
                <w:rFonts w:ascii="Arial" w:cs="Arial" w:eastAsia="Arial" w:hAnsi="Arial"/>
                <w:sz w:val="18"/>
                <w:szCs w:val="18"/>
                <w:color w:val="auto"/>
              </w:rPr>
              <w:t>Range of Exercise Prices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Life in Years</w:t>
            </w:r>
          </w:p>
        </w:tc>
        <w:tc>
          <w:tcPr>
            <w:tcW w:w="16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Exercisable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Price</w:t>
            </w:r>
          </w:p>
        </w:tc>
      </w:tr>
      <w:tr>
        <w:trPr>
          <w:trHeight w:val="216"/>
        </w:trPr>
        <w:tc>
          <w:tcPr>
            <w:tcW w:w="3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$1.47 - $2.60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781,940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6.66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619,016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$3.04</w:t>
            </w:r>
          </w:p>
        </w:tc>
        <w:tc>
          <w:tcPr>
            <w:tcW w:w="3100" w:type="dxa"/>
            <w:vAlign w:val="bottom"/>
          </w:tcPr>
          <w:p>
            <w:pPr>
              <w:ind w:left="20"/>
              <w:spacing w:after="0"/>
              <w:rPr>
                <w:sz w:val="20"/>
                <w:szCs w:val="20"/>
                <w:color w:val="auto"/>
              </w:rPr>
            </w:pPr>
            <w:r>
              <w:rPr>
                <w:rFonts w:ascii="Arial" w:cs="Arial" w:eastAsia="Arial" w:hAnsi="Arial"/>
                <w:sz w:val="18"/>
                <w:szCs w:val="18"/>
                <w:color w:val="auto"/>
              </w:rPr>
              <w:t>- $4.50</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458,622</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6.09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440,124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$5.49</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$6.36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440,350</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7.91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178,619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$6.64</w:t>
            </w:r>
          </w:p>
        </w:tc>
        <w:tc>
          <w:tcPr>
            <w:tcW w:w="3100" w:type="dxa"/>
            <w:vAlign w:val="bottom"/>
          </w:tcPr>
          <w:p>
            <w:pPr>
              <w:ind w:left="20"/>
              <w:spacing w:after="0"/>
              <w:rPr>
                <w:sz w:val="20"/>
                <w:szCs w:val="20"/>
                <w:color w:val="auto"/>
              </w:rPr>
            </w:pPr>
            <w:r>
              <w:rPr>
                <w:rFonts w:ascii="Arial" w:cs="Arial" w:eastAsia="Arial" w:hAnsi="Arial"/>
                <w:sz w:val="18"/>
                <w:szCs w:val="18"/>
                <w:color w:val="auto"/>
              </w:rPr>
              <w:t>- $8.99</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970,741</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1.99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360,741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r>
      <w:tr>
        <w:trPr>
          <w:trHeight w:val="249"/>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5,030</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42.80</w:t>
            </w:r>
          </w:p>
        </w:tc>
      </w:tr>
      <w:tr>
        <w:trPr>
          <w:trHeight w:val="217"/>
        </w:trPr>
        <w:tc>
          <w:tcPr>
            <w:tcW w:w="4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3"/>
              </w:rPr>
              <w:t>$1.47</w:t>
            </w:r>
          </w:p>
        </w:tc>
        <w:tc>
          <w:tcPr>
            <w:tcW w:w="31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 $42.80</w:t>
            </w: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2,656,683</w:t>
            </w:r>
          </w:p>
        </w:tc>
        <w:tc>
          <w:tcPr>
            <w:tcW w:w="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ind w:left="820"/>
              <w:spacing w:after="0"/>
              <w:rPr>
                <w:sz w:val="20"/>
                <w:szCs w:val="20"/>
                <w:color w:val="auto"/>
              </w:rPr>
            </w:pPr>
            <w:r>
              <w:rPr>
                <w:rFonts w:ascii="Arial" w:cs="Arial" w:eastAsia="Arial" w:hAnsi="Arial"/>
                <w:sz w:val="18"/>
                <w:szCs w:val="18"/>
                <w:color w:val="auto"/>
              </w:rPr>
              <w:t>5.05</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5.31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1,603,530</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4.57</w:t>
            </w:r>
          </w:p>
        </w:tc>
      </w:tr>
      <w:tr>
        <w:trPr>
          <w:trHeight w:val="20"/>
        </w:trPr>
        <w:tc>
          <w:tcPr>
            <w:tcW w:w="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there was approximately $3,848 of total unrecognized compensation expense related to unvested stock options granted under the Plan. That expense is expected to be recognized over the weighted-average remaining vesting period of 1.37 years. The stock-based compensation for all stock options was $889 and $1,317 during the years ended December 31,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 based vesting criteria. The grant-date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2018</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2018, the Company granted an aggregate of 136,360 RSUs to its non-employee directors valued at $300. These RSUs vest in equal quarterly installments over a one-year period subject to the director’s continued service at the vesting date, but the issuance and delivery of these shares are deferred until the director resigns.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Weighted Average</w:t>
            </w:r>
          </w:p>
        </w:tc>
      </w:tr>
      <w:tr>
        <w:trPr>
          <w:trHeight w:val="216"/>
        </w:trPr>
        <w:tc>
          <w:tcPr>
            <w:tcW w:w="4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Grant Date</w:t>
            </w:r>
          </w:p>
        </w:tc>
      </w:tr>
      <w:tr>
        <w:trPr>
          <w:trHeight w:val="237"/>
        </w:trPr>
        <w:tc>
          <w:tcPr>
            <w:tcW w:w="4260" w:type="dxa"/>
            <w:vAlign w:val="bottom"/>
          </w:tcPr>
          <w:p>
            <w:pPr>
              <w:spacing w:after="0"/>
              <w:rPr>
                <w:sz w:val="20"/>
                <w:szCs w:val="20"/>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Fair Value</w:t>
            </w:r>
          </w:p>
        </w:tc>
      </w:tr>
      <w:tr>
        <w:trPr>
          <w:trHeight w:val="216"/>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2018</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1,298,946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RSUs granted</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136,360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(159,626)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r>
      <w:tr>
        <w:trPr>
          <w:trHeight w:val="236"/>
        </w:trPr>
        <w:tc>
          <w:tcPr>
            <w:tcW w:w="4260" w:type="dxa"/>
            <w:vAlign w:val="bottom"/>
          </w:tcPr>
          <w:p>
            <w:pPr>
              <w:spacing w:after="0"/>
              <w:rPr>
                <w:sz w:val="20"/>
                <w:szCs w:val="20"/>
                <w:color w:val="auto"/>
              </w:rPr>
            </w:pPr>
            <w:r>
              <w:rPr>
                <w:rFonts w:ascii="Arial" w:cs="Arial" w:eastAsia="Arial" w:hAnsi="Arial"/>
                <w:sz w:val="18"/>
                <w:szCs w:val="18"/>
                <w:color w:val="auto"/>
              </w:rPr>
              <w:t>RSUs cancelled/forfeit</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2018</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1,275,680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0"/>
        </w:trPr>
        <w:tc>
          <w:tcPr>
            <w:tcW w:w="4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2019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2019, 185,000 RSUs with a fair market value of $1,139 were issued to certain employees; the RSUs vest in full on the third anniversary of the grant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Company’s board of directors were granted 38,860 RSUs with a fair market value $300 which vests on a quarterly basis, over one year in equal installments, subject to the director’s continued service at the vesting date, but the issuance and delivery of these shares are deferred until the director resigns.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2019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Weighted Average</w:t>
            </w:r>
          </w:p>
        </w:tc>
      </w:tr>
      <w:tr>
        <w:trPr>
          <w:trHeight w:val="216"/>
        </w:trPr>
        <w:tc>
          <w:tcPr>
            <w:tcW w:w="4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Grant Date</w:t>
            </w:r>
          </w:p>
        </w:tc>
      </w:tr>
      <w:tr>
        <w:trPr>
          <w:trHeight w:val="237"/>
        </w:trPr>
        <w:tc>
          <w:tcPr>
            <w:tcW w:w="4260" w:type="dxa"/>
            <w:vAlign w:val="bottom"/>
          </w:tcPr>
          <w:p>
            <w:pPr>
              <w:spacing w:after="0"/>
              <w:rPr>
                <w:sz w:val="20"/>
                <w:szCs w:val="20"/>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Fair Value</w:t>
            </w:r>
          </w:p>
        </w:tc>
      </w:tr>
      <w:tr>
        <w:trPr>
          <w:trHeight w:val="216"/>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2019</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1,275,680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RSUs granted</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223,860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r>
      <w:tr>
        <w:trPr>
          <w:trHeight w:val="236"/>
        </w:trPr>
        <w:tc>
          <w:tcPr>
            <w:tcW w:w="4260" w:type="dxa"/>
            <w:vAlign w:val="bottom"/>
          </w:tcPr>
          <w:p>
            <w:pPr>
              <w:spacing w:after="0"/>
              <w:rPr>
                <w:sz w:val="20"/>
                <w:szCs w:val="20"/>
                <w:color w:val="auto"/>
              </w:rPr>
            </w:pPr>
            <w:r>
              <w:rPr>
                <w:rFonts w:ascii="Arial" w:cs="Arial" w:eastAsia="Arial" w:hAnsi="Arial"/>
                <w:sz w:val="18"/>
                <w:szCs w:val="18"/>
                <w:color w:val="auto"/>
              </w:rPr>
              <w:t>RSUs cancelled/forfeit</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2019</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r>
      <w:tr>
        <w:trPr>
          <w:trHeight w:val="20"/>
        </w:trPr>
        <w:tc>
          <w:tcPr>
            <w:tcW w:w="4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2019, the total unrecognized compensation expense related to unvested RSUs was approximately $1,031 which is expected to be recognized over a weighted-average period of 0.3 years, based on estimated vesting schedules. The stock-based compensation for RSUs was $879 and $1,149 during the years ended December 31,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Pharmaceuticals, Inc. and Melt Pharmaceuticals, Inc. – 2018</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year ended December 31, 2018 the Company recognized $21 in stock-based compensation related to equity instruments granted by Surface and Melt to consultants, the Company’s employees and directors, including its CEO, Mark Baum, CFO, Andrew Boll, and a director, Richard Lindstrom.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Inc. - 2019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Mayfield issued 1,000,000 shares of its common stock to Elle in connection with acquisition of certain drug candidate intellectual property and rights in February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Mayfield issued 300,000 shares of its common stock to TGV in connection with acquisition of certain drug candidate intellectual property and rights in July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the Company recognized $26 in stock-based compensation related to equity instruments granted by Mayfield for 2,450,000 shares of its restricted common stock that vest upon various performance based milestones and service periods to consultants of Mayfield, including Mayfield’s CEO candidate and to Harrow employees, including 725,000 shares to Mark Baum, CEO of the Company, and 362,500 shares to Andrew Boll, CFO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Pharmaceuticals, Inc. - 2019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2019, Stowe agreed to issue 1,750,000 shares of its common stock to TGV in connection with acquisition of certain drug candidate intellectual property and rights.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issuance of common stock for services and accrual for stock-based compensation)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For the Year Ended</w:t>
            </w:r>
          </w:p>
        </w:tc>
        <w:tc>
          <w:tcPr>
            <w:tcW w:w="140" w:type="dxa"/>
            <w:vAlign w:val="bottom"/>
          </w:tcPr>
          <w:p>
            <w:pPr>
              <w:spacing w:after="0"/>
              <w:rPr>
                <w:sz w:val="19"/>
                <w:szCs w:val="19"/>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For the Year Ended</w:t>
            </w:r>
          </w:p>
        </w:tc>
        <w:tc>
          <w:tcPr>
            <w:tcW w:w="2800" w:type="dxa"/>
            <w:vAlign w:val="bottom"/>
          </w:tcPr>
          <w:p>
            <w:pPr>
              <w:spacing w:after="0"/>
              <w:rPr>
                <w:sz w:val="19"/>
                <w:szCs w:val="19"/>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2800" w:type="dxa"/>
            <w:vAlign w:val="bottom"/>
          </w:tcPr>
          <w:p>
            <w:pPr>
              <w:spacing w:after="0"/>
              <w:rPr>
                <w:sz w:val="20"/>
                <w:szCs w:val="20"/>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1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2800" w:type="dxa"/>
            <w:vAlign w:val="bottom"/>
          </w:tcPr>
          <w:p>
            <w:pPr>
              <w:spacing w:after="0"/>
              <w:rPr>
                <w:sz w:val="18"/>
                <w:szCs w:val="18"/>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2800" w:type="dxa"/>
            <w:vAlign w:val="bottom"/>
          </w:tcPr>
          <w:p>
            <w:pPr>
              <w:spacing w:after="0"/>
              <w:rPr>
                <w:sz w:val="21"/>
                <w:szCs w:val="21"/>
                <w:color w:val="auto"/>
              </w:rPr>
            </w:pPr>
          </w:p>
        </w:tc>
      </w:tr>
      <w:tr>
        <w:trPr>
          <w:trHeight w:val="216"/>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80" w:type="dxa"/>
            <w:vAlign w:val="bottom"/>
            <w:tcBorders>
              <w:top w:val="single" w:sz="8" w:color="CCEEFF"/>
            </w:tcBorders>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20"/>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F-28</w:t>
            </w: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12), underwriters and other non-employees for services rendered or to be rendered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during the year ended December 31, 2019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6"/>
          </w:tcPr>
          <w:p>
            <w:pPr>
              <w:jc w:val="right"/>
              <w:spacing w:after="0"/>
              <w:rPr>
                <w:sz w:val="20"/>
                <w:szCs w:val="20"/>
                <w:color w:val="auto"/>
              </w:rPr>
            </w:pPr>
            <w:r>
              <w:rPr>
                <w:rFonts w:ascii="Arial" w:cs="Arial" w:eastAsia="Arial" w:hAnsi="Arial"/>
                <w:sz w:val="18"/>
                <w:szCs w:val="18"/>
                <w:color w:val="auto"/>
                <w:w w:val="89"/>
              </w:rPr>
              <w:t>Number of Shares Subject</w:t>
            </w:r>
          </w:p>
        </w:tc>
        <w:tc>
          <w:tcPr>
            <w:tcW w:w="240" w:type="dxa"/>
            <w:vAlign w:val="bottom"/>
          </w:tcPr>
          <w:p>
            <w:pPr>
              <w:spacing w:after="0"/>
              <w:rPr>
                <w:sz w:val="18"/>
                <w:szCs w:val="18"/>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8"/>
                <w:szCs w:val="18"/>
                <w:color w:val="auto"/>
                <w:w w:val="89"/>
              </w:rPr>
              <w:t>Weighted Avg. Exercise</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6"/>
          </w:tcPr>
          <w:p>
            <w:pPr>
              <w:ind w:left="80"/>
              <w:spacing w:after="0"/>
              <w:rPr>
                <w:sz w:val="20"/>
                <w:szCs w:val="20"/>
                <w:color w:val="auto"/>
              </w:rPr>
            </w:pPr>
            <w:r>
              <w:rPr>
                <w:rFonts w:ascii="Arial" w:cs="Arial" w:eastAsia="Arial" w:hAnsi="Arial"/>
                <w:sz w:val="18"/>
                <w:szCs w:val="18"/>
                <w:color w:val="auto"/>
                <w:w w:val="97"/>
              </w:rPr>
              <w:t>to Warrants Outstanding</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 January 1, 2019</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2,206,973</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(1,418,587)</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line="162" w:lineRule="exact"/>
              <w:rPr>
                <w:sz w:val="20"/>
                <w:szCs w:val="20"/>
                <w:color w:val="auto"/>
              </w:rPr>
            </w:pPr>
            <w:r>
              <w:rPr>
                <w:rFonts w:ascii="Arial" w:cs="Arial" w:eastAsia="Arial" w:hAnsi="Arial"/>
                <w:sz w:val="18"/>
                <w:szCs w:val="18"/>
                <w:color w:val="auto"/>
              </w:rPr>
              <w:t>Expired</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5"/>
          </w:tcPr>
          <w:p>
            <w:pPr>
              <w:jc w:val="right"/>
              <w:spacing w:after="0" w:line="162" w:lineRule="exact"/>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16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80" w:type="dxa"/>
            <w:vAlign w:val="bottom"/>
            <w:gridSpan w:val="5"/>
          </w:tcPr>
          <w:p>
            <w:pPr>
              <w:jc w:val="right"/>
              <w:spacing w:after="0" w:line="68" w:lineRule="exact"/>
              <w:rPr>
                <w:sz w:val="20"/>
                <w:szCs w:val="20"/>
                <w:color w:val="auto"/>
              </w:rPr>
            </w:pPr>
            <w:r>
              <w:rPr>
                <w:rFonts w:ascii="Arial" w:cs="Arial" w:eastAsia="Arial" w:hAnsi="Arial"/>
                <w:sz w:val="7"/>
                <w:szCs w:val="7"/>
                <w:color w:val="auto"/>
              </w:rPr>
              <w:t>(8,000</w:t>
            </w:r>
          </w:p>
        </w:tc>
        <w:tc>
          <w:tcPr>
            <w:tcW w:w="6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1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Warrants outstanding and exercisable - December 31, 2019</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780,386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980" w:type="dxa"/>
            <w:vAlign w:val="bottom"/>
            <w:gridSpan w:val="8"/>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 December</w:t>
            </w: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80" w:type="dxa"/>
            <w:vAlign w:val="bottom"/>
            <w:gridSpan w:val="8"/>
            <w:vMerge w:val="continue"/>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31, 2019</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80" w:type="dxa"/>
            <w:vAlign w:val="bottom"/>
            <w:gridSpan w:val="6"/>
            <w:vMerge w:val="restart"/>
          </w:tcPr>
          <w:p>
            <w:pPr>
              <w:spacing w:after="0"/>
              <w:rPr>
                <w:sz w:val="20"/>
                <w:szCs w:val="20"/>
                <w:color w:val="auto"/>
              </w:rPr>
            </w:pPr>
            <w:r>
              <w:rPr>
                <w:rFonts w:ascii="Arial" w:cs="Arial" w:eastAsia="Arial" w:hAnsi="Arial"/>
                <w:sz w:val="18"/>
                <w:szCs w:val="18"/>
                <w:color w:val="auto"/>
                <w:w w:val="97"/>
              </w:rPr>
              <w:t>All warrants outstanding as of December 31, 2019 are included in the following table:</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jc w:val="right"/>
              <w:ind w:right="187"/>
              <w:spacing w:after="0"/>
              <w:rPr>
                <w:sz w:val="20"/>
                <w:szCs w:val="20"/>
                <w:color w:val="auto"/>
              </w:rPr>
            </w:pPr>
            <w:r>
              <w:rPr>
                <w:rFonts w:ascii="Arial" w:cs="Arial" w:eastAsia="Arial" w:hAnsi="Arial"/>
                <w:sz w:val="18"/>
                <w:szCs w:val="18"/>
                <w:color w:val="auto"/>
                <w:w w:val="91"/>
              </w:rPr>
              <w:t>Warrants Outstanding</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gridSpan w:val="7"/>
          </w:tcPr>
          <w:p>
            <w:pPr>
              <w:ind w:left="20"/>
              <w:spacing w:after="0"/>
              <w:rPr>
                <w:sz w:val="20"/>
                <w:szCs w:val="20"/>
                <w:color w:val="auto"/>
              </w:rPr>
            </w:pPr>
            <w:r>
              <w:rPr>
                <w:rFonts w:ascii="Arial" w:cs="Arial" w:eastAsia="Arial" w:hAnsi="Arial"/>
                <w:sz w:val="18"/>
                <w:szCs w:val="18"/>
                <w:color w:val="auto"/>
              </w:rPr>
              <w:t>Warrants Exercisable</w:t>
            </w:r>
          </w:p>
        </w:tc>
        <w:tc>
          <w:tcPr>
            <w:tcW w:w="0" w:type="dxa"/>
            <w:vAlign w:val="bottom"/>
          </w:tcPr>
          <w:p>
            <w:pPr>
              <w:spacing w:after="0"/>
              <w:rPr>
                <w:sz w:val="1"/>
                <w:szCs w:val="1"/>
                <w:color w:val="auto"/>
              </w:rPr>
            </w:pPr>
          </w:p>
        </w:tc>
      </w:tr>
      <w:tr>
        <w:trPr>
          <w:trHeight w:val="215"/>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Warrants</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2"/>
              </w:rPr>
              <w:t>Exercise</w:t>
            </w: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0"/>
              </w:rPr>
              <w:t>Warrants</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360" w:type="dxa"/>
            <w:vAlign w:val="bottom"/>
            <w:gridSpan w:val="2"/>
          </w:tcPr>
          <w:p>
            <w:pPr>
              <w:ind w:left="240"/>
              <w:spacing w:after="0"/>
              <w:rPr>
                <w:sz w:val="20"/>
                <w:szCs w:val="20"/>
                <w:color w:val="auto"/>
              </w:rPr>
            </w:pPr>
            <w:r>
              <w:rPr>
                <w:rFonts w:ascii="Arial" w:cs="Arial" w:eastAsia="Arial" w:hAnsi="Arial"/>
                <w:sz w:val="18"/>
                <w:szCs w:val="18"/>
                <w:color w:val="auto"/>
              </w:rPr>
              <w:t>Issue Date</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90"/>
              </w:rPr>
              <w:t>Exercisable</w:t>
            </w:r>
          </w:p>
        </w:tc>
        <w:tc>
          <w:tcPr>
            <w:tcW w:w="2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5/11/2015</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1.79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125,000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Settlement warrants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8/16/2016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40,000</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8/16/2021</w:t>
            </w:r>
          </w:p>
        </w:tc>
        <w:tc>
          <w:tcPr>
            <w:tcW w:w="0" w:type="dxa"/>
            <w:vAlign w:val="bottom"/>
          </w:tcPr>
          <w:p>
            <w:pPr>
              <w:spacing w:after="0"/>
              <w:rPr>
                <w:sz w:val="1"/>
                <w:szCs w:val="1"/>
                <w:color w:val="auto"/>
              </w:rPr>
            </w:pPr>
          </w:p>
        </w:tc>
      </w:tr>
      <w:tr>
        <w:trPr>
          <w:trHeight w:val="249"/>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Lender warrants (see Note 12)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7/19/2017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615,386</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615,386</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7/19/2024</w:t>
            </w:r>
          </w:p>
        </w:tc>
        <w:tc>
          <w:tcPr>
            <w:tcW w:w="0" w:type="dxa"/>
            <w:vAlign w:val="bottom"/>
          </w:tcPr>
          <w:p>
            <w:pPr>
              <w:spacing w:after="0"/>
              <w:rPr>
                <w:sz w:val="1"/>
                <w:szCs w:val="1"/>
                <w:color w:val="auto"/>
              </w:rPr>
            </w:pPr>
          </w:p>
        </w:tc>
      </w:tr>
      <w:tr>
        <w:trPr>
          <w:trHeight w:val="217"/>
        </w:trPr>
        <w:tc>
          <w:tcPr>
            <w:tcW w:w="3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780,386</w:t>
            </w: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12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780,386</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subject to taxation in the United States, California, New Jersey, Texas and Pennsylvania. The provision for income taxes for the years ended December 31, 2019 and 2018 are summarized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December 31, 2019</w:t>
            </w:r>
          </w:p>
        </w:tc>
        <w:tc>
          <w:tcPr>
            <w:tcW w:w="12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December 31, 2018</w:t>
            </w:r>
          </w:p>
        </w:tc>
      </w:tr>
      <w:tr>
        <w:trPr>
          <w:trHeight w:val="216"/>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9"/>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0"/>
        </w:trPr>
        <w:tc>
          <w:tcPr>
            <w:tcW w:w="30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3,294</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r>
      <w:tr>
        <w:trPr>
          <w:trHeight w:val="250"/>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(3,734)</w:t>
            </w:r>
          </w:p>
        </w:tc>
      </w:tr>
      <w:tr>
        <w:trPr>
          <w:trHeight w:val="210"/>
        </w:trPr>
        <w:tc>
          <w:tcPr>
            <w:tcW w:w="30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w:t>
            </w: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bottom w:val="single" w:sz="8" w:color="CCEEFF"/>
            </w:tcBorders>
          </w:tcPr>
          <w:p>
            <w:pPr>
              <w:spacing w:after="0"/>
              <w:rPr>
                <w:sz w:val="18"/>
                <w:szCs w:val="18"/>
                <w:color w:val="auto"/>
              </w:rPr>
            </w:pPr>
          </w:p>
        </w:tc>
      </w:tr>
      <w:tr>
        <w:trPr>
          <w:trHeight w:val="230"/>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expense for the years ended December 31, 2019 and 2018, are recorded in the general and administrative expenses line item in the accompanying consolidated statements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income taxes computed by applying the statutory U.S. income tax rate to the Company’s loss before income taxes to the income tax provision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December 31, 2019</w:t>
            </w:r>
          </w:p>
        </w:tc>
        <w:tc>
          <w:tcPr>
            <w:tcW w:w="40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December 31, 2018</w:t>
            </w:r>
          </w:p>
        </w:tc>
        <w:tc>
          <w:tcPr>
            <w:tcW w:w="22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2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6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Benefit of lower tax brackets</w:t>
            </w:r>
          </w:p>
        </w:tc>
        <w:tc>
          <w:tcPr>
            <w:tcW w:w="240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2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State tax benefit, net</w:t>
            </w:r>
          </w:p>
        </w:tc>
        <w:tc>
          <w:tcPr>
            <w:tcW w:w="2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(6.73)%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6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40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22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stock-based compensation</w:t>
            </w:r>
          </w:p>
        </w:tc>
        <w:tc>
          <w:tcPr>
            <w:tcW w:w="2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3.10%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26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Loss on debt conversion</w:t>
            </w:r>
          </w:p>
        </w:tc>
        <w:tc>
          <w:tcPr>
            <w:tcW w:w="240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2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Subsidiary</w:t>
            </w:r>
          </w:p>
        </w:tc>
        <w:tc>
          <w:tcPr>
            <w:tcW w:w="2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6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Change in Rate</w:t>
            </w:r>
          </w:p>
        </w:tc>
        <w:tc>
          <w:tcPr>
            <w:tcW w:w="240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2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(358.67)%</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60" w:type="dxa"/>
            <w:vAlign w:val="bottom"/>
          </w:tcPr>
          <w:p>
            <w:pPr>
              <w:spacing w:after="0"/>
              <w:rPr>
                <w:sz w:val="18"/>
                <w:szCs w:val="18"/>
                <w:color w:val="auto"/>
              </w:rPr>
            </w:pPr>
          </w:p>
        </w:tc>
      </w:tr>
      <w:tr>
        <w:trPr>
          <w:trHeight w:val="236"/>
        </w:trPr>
        <w:tc>
          <w:tcPr>
            <w:tcW w:w="4360" w:type="dxa"/>
            <w:vAlign w:val="bottom"/>
          </w:tcPr>
          <w:p>
            <w:pPr>
              <w:spacing w:after="0"/>
              <w:rPr>
                <w:sz w:val="20"/>
                <w:szCs w:val="20"/>
                <w:color w:val="auto"/>
              </w:rPr>
            </w:pPr>
            <w:r>
              <w:rPr>
                <w:rFonts w:ascii="Arial" w:cs="Arial" w:eastAsia="Arial" w:hAnsi="Arial"/>
                <w:sz w:val="18"/>
                <w:szCs w:val="18"/>
                <w:color w:val="auto"/>
              </w:rPr>
              <w:t>Valuation allowance</w:t>
            </w:r>
          </w:p>
        </w:tc>
        <w:tc>
          <w:tcPr>
            <w:tcW w:w="2400" w:type="dxa"/>
            <w:vAlign w:val="bottom"/>
            <w:gridSpan w:val="2"/>
          </w:tcPr>
          <w:p>
            <w:pPr>
              <w:jc w:val="right"/>
              <w:ind w:right="150"/>
              <w:spacing w:after="0"/>
              <w:rPr>
                <w:sz w:val="20"/>
                <w:szCs w:val="20"/>
                <w:color w:val="auto"/>
              </w:rPr>
            </w:pPr>
            <w:r>
              <w:rPr>
                <w:rFonts w:ascii="Arial" w:cs="Arial" w:eastAsia="Arial" w:hAnsi="Arial"/>
                <w:sz w:val="18"/>
                <w:szCs w:val="18"/>
                <w:color w:val="auto"/>
              </w:rPr>
              <w:t>334.57%</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(21.93)%</w:t>
            </w:r>
          </w:p>
        </w:tc>
        <w:tc>
          <w:tcPr>
            <w:tcW w:w="2260" w:type="dxa"/>
            <w:vAlign w:val="bottom"/>
          </w:tcPr>
          <w:p>
            <w:pPr>
              <w:spacing w:after="0"/>
              <w:rPr>
                <w:sz w:val="20"/>
                <w:szCs w:val="20"/>
                <w:color w:val="auto"/>
              </w:rPr>
            </w:pPr>
          </w:p>
        </w:tc>
      </w:tr>
      <w:tr>
        <w:trPr>
          <w:trHeight w:val="229"/>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40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226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43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F-29</w:t>
            </w: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609" w:gutter="0" w:footer="0" w:header="0"/>
        </w:sectPr>
      </w:pPr>
    </w:p>
    <w:bookmarkStart w:id="89" w:name="page90"/>
    <w:bookmarkEnd w:id="89"/>
    <w:p>
      <w:pPr>
        <w:jc w:val="both"/>
        <w:spacing w:after="0" w:line="342" w:lineRule="auto"/>
        <w:rPr>
          <w:sz w:val="20"/>
          <w:szCs w:val="20"/>
          <w:color w:val="auto"/>
        </w:rPr>
      </w:pPr>
      <w:r>
        <w:rPr>
          <w:rFonts w:ascii="Arial" w:cs="Arial" w:eastAsia="Arial" w:hAnsi="Arial"/>
          <w:sz w:val="16"/>
          <w:szCs w:val="16"/>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right"/>
              <w:ind w:right="501"/>
              <w:spacing w:after="0"/>
              <w:rPr>
                <w:sz w:val="20"/>
                <w:szCs w:val="20"/>
                <w:color w:val="auto"/>
              </w:rPr>
            </w:pPr>
            <w:r>
              <w:rPr>
                <w:rFonts w:ascii="Arial" w:cs="Arial" w:eastAsia="Arial" w:hAnsi="Arial"/>
                <w:sz w:val="18"/>
                <w:szCs w:val="18"/>
                <w:color w:val="auto"/>
                <w:w w:val="96"/>
              </w:rPr>
              <w:t>December 31, 2019</w:t>
            </w:r>
          </w:p>
        </w:tc>
        <w:tc>
          <w:tcPr>
            <w:tcW w:w="200" w:type="dxa"/>
            <w:vAlign w:val="bottom"/>
          </w:tcPr>
          <w:p>
            <w:pPr>
              <w:spacing w:after="0"/>
              <w:rPr>
                <w:sz w:val="20"/>
                <w:szCs w:val="20"/>
                <w:color w:val="auto"/>
              </w:rPr>
            </w:pPr>
          </w:p>
        </w:tc>
        <w:tc>
          <w:tcPr>
            <w:tcW w:w="1940" w:type="dxa"/>
            <w:vAlign w:val="bottom"/>
            <w:gridSpan w:val="2"/>
          </w:tcPr>
          <w:p>
            <w:pPr>
              <w:jc w:val="right"/>
              <w:ind w:right="321"/>
              <w:spacing w:after="0"/>
              <w:rPr>
                <w:sz w:val="20"/>
                <w:szCs w:val="20"/>
                <w:color w:val="auto"/>
              </w:rPr>
            </w:pPr>
            <w:r>
              <w:rPr>
                <w:rFonts w:ascii="Arial" w:cs="Arial" w:eastAsia="Arial" w:hAnsi="Arial"/>
                <w:sz w:val="18"/>
                <w:szCs w:val="18"/>
                <w:color w:val="auto"/>
                <w:w w:val="96"/>
              </w:rPr>
              <w:t>December 31, 2018</w:t>
            </w:r>
          </w:p>
        </w:tc>
      </w:tr>
      <w:tr>
        <w:trPr>
          <w:trHeight w:val="216"/>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2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NOLs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2120" w:type="dxa"/>
            <w:vAlign w:val="bottom"/>
            <w:gridSpan w:val="2"/>
          </w:tcPr>
          <w:p>
            <w:pPr>
              <w:jc w:val="right"/>
              <w:ind w:right="181"/>
              <w:spacing w:after="0"/>
              <w:rPr>
                <w:sz w:val="20"/>
                <w:szCs w:val="20"/>
                <w:color w:val="auto"/>
              </w:rPr>
            </w:pPr>
            <w:r>
              <w:rPr>
                <w:rFonts w:ascii="Arial" w:cs="Arial" w:eastAsia="Arial" w:hAnsi="Arial"/>
                <w:sz w:val="18"/>
                <w:szCs w:val="18"/>
                <w:color w:val="auto"/>
              </w:rPr>
              <w:t>19,827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1"/>
              <w:spacing w:after="0"/>
              <w:rPr>
                <w:sz w:val="20"/>
                <w:szCs w:val="20"/>
                <w:color w:val="auto"/>
              </w:rPr>
            </w:pPr>
            <w:r>
              <w:rPr>
                <w:rFonts w:ascii="Arial" w:cs="Arial" w:eastAsia="Arial" w:hAnsi="Arial"/>
                <w:sz w:val="18"/>
                <w:szCs w:val="18"/>
                <w:color w:val="auto"/>
              </w:rPr>
              <w:t>19,726</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2120" w:type="dxa"/>
            <w:vAlign w:val="bottom"/>
            <w:gridSpan w:val="2"/>
          </w:tcPr>
          <w:p>
            <w:pPr>
              <w:jc w:val="right"/>
              <w:ind w:right="181"/>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8"/>
                <w:szCs w:val="18"/>
                <w:color w:val="auto"/>
              </w:rPr>
            </w:pPr>
          </w:p>
        </w:tc>
        <w:tc>
          <w:tcPr>
            <w:tcW w:w="1940" w:type="dxa"/>
            <w:vAlign w:val="bottom"/>
            <w:gridSpan w:val="2"/>
          </w:tcPr>
          <w:p>
            <w:pPr>
              <w:jc w:val="right"/>
              <w:ind w:right="1"/>
              <w:spacing w:after="0"/>
              <w:rPr>
                <w:sz w:val="20"/>
                <w:szCs w:val="20"/>
                <w:color w:val="auto"/>
              </w:rPr>
            </w:pPr>
            <w:r>
              <w:rPr>
                <w:rFonts w:ascii="Arial" w:cs="Arial" w:eastAsia="Arial" w:hAnsi="Arial"/>
                <w:sz w:val="18"/>
                <w:szCs w:val="18"/>
                <w:color w:val="auto"/>
              </w:rPr>
              <w:t>604</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617</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200" w:type="dxa"/>
            <w:vAlign w:val="bottom"/>
          </w:tcPr>
          <w:p>
            <w:pPr>
              <w:spacing w:after="0"/>
              <w:rPr>
                <w:sz w:val="18"/>
                <w:szCs w:val="18"/>
                <w:color w:val="auto"/>
              </w:rPr>
            </w:pPr>
          </w:p>
        </w:tc>
        <w:tc>
          <w:tcPr>
            <w:tcW w:w="2120" w:type="dxa"/>
            <w:vAlign w:val="bottom"/>
            <w:gridSpan w:val="2"/>
          </w:tcPr>
          <w:p>
            <w:pPr>
              <w:jc w:val="right"/>
              <w:ind w:right="181"/>
              <w:spacing w:after="0"/>
              <w:rPr>
                <w:sz w:val="20"/>
                <w:szCs w:val="20"/>
                <w:color w:val="auto"/>
              </w:rPr>
            </w:pPr>
            <w:r>
              <w:rPr>
                <w:rFonts w:ascii="Arial" w:cs="Arial" w:eastAsia="Arial" w:hAnsi="Arial"/>
                <w:sz w:val="18"/>
                <w:szCs w:val="18"/>
                <w:color w:val="auto"/>
              </w:rPr>
              <w:t>3,533</w:t>
            </w:r>
          </w:p>
        </w:tc>
        <w:tc>
          <w:tcPr>
            <w:tcW w:w="200" w:type="dxa"/>
            <w:vAlign w:val="bottom"/>
          </w:tcPr>
          <w:p>
            <w:pPr>
              <w:spacing w:after="0"/>
              <w:rPr>
                <w:sz w:val="18"/>
                <w:szCs w:val="18"/>
                <w:color w:val="auto"/>
              </w:rPr>
            </w:pPr>
          </w:p>
        </w:tc>
        <w:tc>
          <w:tcPr>
            <w:tcW w:w="1940" w:type="dxa"/>
            <w:vAlign w:val="bottom"/>
            <w:gridSpan w:val="2"/>
          </w:tcPr>
          <w:p>
            <w:pPr>
              <w:jc w:val="right"/>
              <w:ind w:right="1"/>
              <w:spacing w:after="0"/>
              <w:rPr>
                <w:sz w:val="20"/>
                <w:szCs w:val="20"/>
                <w:color w:val="auto"/>
              </w:rPr>
            </w:pPr>
            <w:r>
              <w:rPr>
                <w:rFonts w:ascii="Arial" w:cs="Arial" w:eastAsia="Arial" w:hAnsi="Arial"/>
                <w:sz w:val="18"/>
                <w:szCs w:val="18"/>
                <w:color w:val="auto"/>
              </w:rPr>
              <w:t>3,036</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in Melt</w:t>
            </w:r>
          </w:p>
        </w:tc>
        <w:tc>
          <w:tcPr>
            <w:tcW w:w="2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Basis Difference in Surface</w:t>
            </w:r>
          </w:p>
        </w:tc>
        <w:tc>
          <w:tcPr>
            <w:tcW w:w="200" w:type="dxa"/>
            <w:vAlign w:val="bottom"/>
          </w:tcPr>
          <w:p>
            <w:pPr>
              <w:spacing w:after="0"/>
              <w:rPr>
                <w:sz w:val="18"/>
                <w:szCs w:val="18"/>
                <w:color w:val="auto"/>
              </w:rPr>
            </w:pPr>
          </w:p>
        </w:tc>
        <w:tc>
          <w:tcPr>
            <w:tcW w:w="2120" w:type="dxa"/>
            <w:vAlign w:val="bottom"/>
            <w:gridSpan w:val="2"/>
          </w:tcPr>
          <w:p>
            <w:pPr>
              <w:jc w:val="right"/>
              <w:ind w:right="121"/>
              <w:spacing w:after="0"/>
              <w:rPr>
                <w:sz w:val="20"/>
                <w:szCs w:val="20"/>
                <w:color w:val="auto"/>
              </w:rPr>
            </w:pPr>
            <w:r>
              <w:rPr>
                <w:rFonts w:ascii="Arial" w:cs="Arial" w:eastAsia="Arial" w:hAnsi="Arial"/>
                <w:sz w:val="18"/>
                <w:szCs w:val="18"/>
                <w:color w:val="auto"/>
              </w:rPr>
              <w:t>(1,119)</w:t>
            </w:r>
          </w:p>
        </w:tc>
        <w:tc>
          <w:tcPr>
            <w:tcW w:w="20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(1,464)</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in Eton</w:t>
            </w:r>
          </w:p>
        </w:tc>
        <w:tc>
          <w:tcPr>
            <w:tcW w:w="2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(7,528)</w:t>
            </w: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(6,340)</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Capital Losses</w:t>
            </w:r>
          </w:p>
        </w:tc>
        <w:tc>
          <w:tcPr>
            <w:tcW w:w="200" w:type="dxa"/>
            <w:vAlign w:val="bottom"/>
          </w:tcPr>
          <w:p>
            <w:pPr>
              <w:spacing w:after="0"/>
              <w:rPr>
                <w:sz w:val="18"/>
                <w:szCs w:val="18"/>
                <w:color w:val="auto"/>
              </w:rPr>
            </w:pPr>
          </w:p>
        </w:tc>
        <w:tc>
          <w:tcPr>
            <w:tcW w:w="2120" w:type="dxa"/>
            <w:vAlign w:val="bottom"/>
            <w:gridSpan w:val="2"/>
          </w:tcPr>
          <w:p>
            <w:pPr>
              <w:jc w:val="right"/>
              <w:ind w:right="181"/>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9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Park stock purchase identifiable intangibles</w:t>
            </w:r>
          </w:p>
        </w:tc>
        <w:tc>
          <w:tcPr>
            <w:tcW w:w="2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Limitation Under 163(j)</w:t>
            </w:r>
          </w:p>
        </w:tc>
        <w:tc>
          <w:tcPr>
            <w:tcW w:w="200" w:type="dxa"/>
            <w:vAlign w:val="bottom"/>
          </w:tcPr>
          <w:p>
            <w:pPr>
              <w:spacing w:after="0"/>
              <w:rPr>
                <w:sz w:val="18"/>
                <w:szCs w:val="18"/>
                <w:color w:val="auto"/>
              </w:rPr>
            </w:pPr>
          </w:p>
        </w:tc>
        <w:tc>
          <w:tcPr>
            <w:tcW w:w="2120" w:type="dxa"/>
            <w:vAlign w:val="bottom"/>
            <w:gridSpan w:val="2"/>
          </w:tcPr>
          <w:p>
            <w:pPr>
              <w:jc w:val="right"/>
              <w:ind w:right="181"/>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19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ASC 842 Lease Liability</w:t>
            </w:r>
          </w:p>
        </w:tc>
        <w:tc>
          <w:tcPr>
            <w:tcW w:w="2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2,082</w:t>
            </w: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37"/>
        </w:trPr>
        <w:tc>
          <w:tcPr>
            <w:tcW w:w="4520" w:type="dxa"/>
            <w:vAlign w:val="bottom"/>
          </w:tcPr>
          <w:p>
            <w:pPr>
              <w:ind w:left="180"/>
              <w:spacing w:after="0"/>
              <w:rPr>
                <w:sz w:val="20"/>
                <w:szCs w:val="20"/>
                <w:color w:val="auto"/>
              </w:rPr>
            </w:pPr>
            <w:r>
              <w:rPr>
                <w:rFonts w:ascii="Arial" w:cs="Arial" w:eastAsia="Arial" w:hAnsi="Arial"/>
                <w:sz w:val="18"/>
                <w:szCs w:val="18"/>
                <w:color w:val="auto"/>
              </w:rPr>
              <w:t>ASC 842 ROU Asset</w:t>
            </w:r>
          </w:p>
        </w:tc>
        <w:tc>
          <w:tcPr>
            <w:tcW w:w="200" w:type="dxa"/>
            <w:vAlign w:val="bottom"/>
          </w:tcPr>
          <w:p>
            <w:pPr>
              <w:spacing w:after="0"/>
              <w:rPr>
                <w:sz w:val="20"/>
                <w:szCs w:val="20"/>
                <w:color w:val="auto"/>
              </w:rPr>
            </w:pPr>
          </w:p>
        </w:tc>
        <w:tc>
          <w:tcPr>
            <w:tcW w:w="2120" w:type="dxa"/>
            <w:vAlign w:val="bottom"/>
            <w:gridSpan w:val="2"/>
          </w:tcPr>
          <w:p>
            <w:pPr>
              <w:jc w:val="right"/>
              <w:ind w:right="121"/>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20"/>
                <w:szCs w:val="20"/>
                <w:color w:val="auto"/>
              </w:rPr>
            </w:pPr>
          </w:p>
        </w:tc>
        <w:tc>
          <w:tcPr>
            <w:tcW w:w="19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6"/>
        </w:trPr>
        <w:tc>
          <w:tcPr>
            <w:tcW w:w="4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5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(15,202</w:t>
            </w:r>
          </w:p>
        </w:tc>
        <w:tc>
          <w:tcPr>
            <w:tcW w:w="2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(15,723</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decreased by approximately $500 and $3,700 during 2019 and 2018, respectively.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2019, the Company had net operating loss carryforwards for federal income tax purposes of approximately $65,874 and federal research and development tax credits of approximately $354. Under new tax law, federal NOLs can be carried forward indefinitely. The federal research credits will expire beginning in the year 2026. As of December 31, 2019, the Company had net operating loss carryforwards for state income tax purposes of approximately $67,538 which expire beginning in the year 2017 and state research and development tax credits of approximately $305 which do not expire.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 to Employee Share – Based Payment Accounting</w:t>
      </w:r>
      <w:r>
        <w:rPr>
          <w:rFonts w:ascii="Arial" w:cs="Arial" w:eastAsia="Arial" w:hAnsi="Arial"/>
          <w:sz w:val="18"/>
          <w:szCs w:val="18"/>
          <w:color w:val="auto"/>
        </w:rPr>
        <w:t>. The new standard contains several amendments that will simplify the accounting for employee share-based payment transactions. The changes in the new standard eliminate the accounting for excess tax benefits to be recognized in additional paid-in capital and tax deficiencies recognized either in income tax provision or in additional paid-in capital. The Company’s deferred tax asset at December 31, 2018 did not include any excess tax benefits from employee stock option exercises, which are a component of the federal and state net operating loss carryforwards and on a go forward basis the excess tax benefits will be recognized as a component of income tax expense.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Utilization of the net operating losses may be subject to substantial annual limitation due to federal and state ownership change limitations provided by the Internal Revenue Code and similar state provisions. Such annual limitations could result in the expiration of the net operating losses ad credits before their utilization.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2006, the FASB issued interpretation ASC 740-10-50, </w:t>
      </w:r>
      <w:r>
        <w:rPr>
          <w:rFonts w:ascii="Arial" w:cs="Arial" w:eastAsia="Arial" w:hAnsi="Arial"/>
          <w:sz w:val="17"/>
          <w:szCs w:val="17"/>
          <w:i w:val="1"/>
          <w:iCs w:val="1"/>
          <w:color w:val="auto"/>
        </w:rPr>
        <w:t>Accounting for Uncertainty in Income Tax</w:t>
      </w:r>
      <w:r>
        <w:rPr>
          <w:rFonts w:ascii="Arial" w:cs="Arial" w:eastAsia="Arial" w:hAnsi="Arial"/>
          <w:sz w:val="17"/>
          <w:szCs w:val="17"/>
          <w:color w:val="auto"/>
        </w:rPr>
        <w:t xml:space="preserve">. This pronouncement clarifies the accounting for uncertainty in income taxes recognized in an enterprise’s financial statements in accordance with ASC 740-10-50,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This interpretation prescribes a recognition threshold and measurement attribute for the financial statement recognition and measurement of a tax position taken or expected to be taken in the tax return. ASC 740 also provides guidance on derecognition of tax benefits, classification on the balance sheet, interest and penalties, accounting in interim periods, disclosure and transaction. The Company adopted ASC 740-10-50 effective January 1, 2009. In accordance with ASC 740-10-50, the Company is classifying interest and penalties as a component of tax expense.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did not have any unrecognized tax benefits as of December 31, 2019 and 2018, all of which is offset by a full valuation allowance. These unrecognized tax benefits, if recognized, would not affect the effective tax rate. There was no interest or penalties accrued at the adoption date and at December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A reconciliation of the change in the UTB balance from January 1, 2019 to December 31, 2019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Fed &amp; State Tax</w:t>
            </w:r>
          </w:p>
        </w:tc>
      </w:tr>
      <w:tr>
        <w:trPr>
          <w:trHeight w:val="216"/>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Additions/(reductions) for tax positions related to prior years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6"/>
        </w:trPr>
        <w:tc>
          <w:tcPr>
            <w:tcW w:w="69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unrecognized tax benefits as of December 31, 2019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32"/>
        </w:trPr>
        <w:tc>
          <w:tcPr>
            <w:tcW w:w="6920" w:type="dxa"/>
            <w:vAlign w:val="bottom"/>
          </w:tcPr>
          <w:p>
            <w:pPr>
              <w:spacing w:after="0"/>
              <w:rPr>
                <w:sz w:val="20"/>
                <w:szCs w:val="20"/>
                <w:color w:val="auto"/>
              </w:rPr>
            </w:pPr>
            <w:r>
              <w:rPr>
                <w:rFonts w:ascii="Arial" w:cs="Arial" w:eastAsia="Arial" w:hAnsi="Arial"/>
                <w:sz w:val="18"/>
                <w:szCs w:val="18"/>
                <w:b w:val="1"/>
                <w:bCs w:val="1"/>
                <w:color w:val="auto"/>
              </w:rPr>
              <w:t>NOTE 16. EMPLOYEE SAVINGS PLAN</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$312 and $248 to the plan during the years ended December 31, 2019 and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the Company’s alleged transmittal of advertisements to its clients via facsimile. The Court approved the parties’ proposed settlement agreement in the spring of 2019. During the year ended December 31, 2018, the Company accrued $640 for expected damages related to this matter and the proposed settlement amount. As a result of the low claim rate of approximately 1.4%, the Company’s total damages were $571, which was paid in October 2019. This formally resolved all known disputes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September 2017, Allergan USA, Inc. (“Allergan”) filed a lawsuit in the U.S. District Court for the Central District of California against the Company, primarily claiming violations under the federal Lanham Act and California’s Sherman Act. The Court granted in part and denied in part each parties’ motions for summary judgement, resolving all issues except for whether Allergan was entitled to damages related to the Company’s purported Lanham Act violations. The parties went to trial in May 2019 to litigate damages related to the Lanham Act, and a jury found the Company liable for only $49 in lost profit damages, which was accrued as an expense during the period ended December 31, 2019 (see Note 11). In July 2019, the Court entered a permanent injunction, the scope of which is limited to compounded drugs prepared in, dispensed from within, or shipped to the state of California. The injunction requires the Company to: (1) only dispense drugs from a 503(a) facility with a “Valid Prescription Order”; (2) abide by the FDA’s anticipatory compounding guidelines; and (3) only use bulk drug substances identified on a list established by the Secretary of Health and Human Services or FDA’s interim “Category 1” list. The Company believes it was already in compliance with the order, prior to the injunction being ordered. On October 2, 2019, Allergan and the Company filed a joint stipulation to voluntarily dismiss each parties’ respective pending appeals arising out of the lawsuit. No economic consideration was exchanged between the parties related to the filing of the joint stipulation. This formally resolved all known disputes between the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2018, the California Board of Pharmacy filed an accusation against Park related to a compounded formulation the Company believes was legally dispensed and was, without its knowledge, inappropriately administered to a patient unknown to Park, by the prescribing healthcare professional. Park filed a response to the accusation and requested a formal hearing. In April 2019, Park agreed to, and the California State Board of Pharmacy approved terms of a settlement agreement (the “Settlement Agreement”) that became effective on May 29, 2019. Pursuant to the terms of the Settlement Agreement, Park was required to, and did, surrender its California pharmacy license by August 27, 2019. This formally resolved all known disputes between the parties.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post-termination obligations to be litigated.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seeks indemnity and contribution from the Company and Spectrum. The Company answered the claims filed by Dr. Kelly in October 2018. The case is currently in the discovery phase.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Anna Sue Gaukel et 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2019, Anna Sue Gaukel and Lawrence Gaukel served the Company with a lawsuit filed in state court in Idaho against Imprimis Pharmaceuticals, Inc. asserting class action allegations and product liability claims related to Mrs. Gaukel’s doctor’s use of a compounded drug injection in each of her eyes. In June 2019, the Company removed the case to Federal Court and subsequently answered the complaint. On January 24, 2020, the plaintiffs and the Company filed a joint stipulation, and the case was dismissed with prejudice. No economic consideration was exchanged between the parties related to the filing of the joint stipulation. This formally resolved all known disputes between the parties as connected to this matter.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2017 through 2019, the Company entered various sales and marketing agreements with certain organizations, to provide sales and marketing representation services to ImprimisRx in select geographies in the U.S., in connection with the Company’s ophthalmic compounded formulations.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to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The Company accrued and recorded in additional paid in capital $159 and $42 related to stock-based payments for these agreements during the year ended December 31, 2019 and 2018, respectively, and $2,700 and $1,511 were incurred under these agreements for commission expenses during the years ended December 31, 2019 and 2018,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$371 and $245 were accrued in accounts payable and accrued expenses under these agreements during the years ended December 31, 2019 and 2018, respectively, and $846 and $561 were incurred under these agreements as royalty expenses for the years ended December 31, 2019 and 2018,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Mayfield License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2019, Mayfield entered into a License Agreement (the “TGV License”) with TGV to acquire intellectual property rights for use in the women’s health field, related to Mayfield’s proprietary drug candidate MAY-66. The TGV License provides that TGV will cooperate with Mayfield in transferring all embodiments of the intellectual property (including know-how) related to the TGV License, assist in obtaining and protecting its patent rights for the acquired intellectual property and that Mayfield will use commercially reasonable efforts to research, develop and commercialize products based on the acquired intellectual property. In connection with the TGV License, Mayfield is obligated to make royalty payments to TGV equal to a low single digit percentage of net sales received by Mayfield in connection with the sale or licensing of any product based on the licensed intellectual property. In addition, Mayfield issued 300,000 shares of its common stock to TGV and is required to make certain milestone payments to TGV over the development of MAY-66 and any related products based on the licensed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Stowe License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2019, Stowe entered into a License Agreement (the “Stowe License”) with TGV, to acquire intellectual property rights for use in the ophthalmology and otic health field, related to Stowe’s proprietary drug candidate STE-006. The Stowe License provides that TGV will cooperate with Stowe in transferring all embodiments of the intellectual property (including know-how) related to the Stowe License, assist in obtaining and protecting its patent rights for the acquired intellectual property and that Stowe will use commercially reasonable efforts to research, develop and commercialize products based on the acquired intellectual property. In connection with the Stowe License, Stowe is obligated to make royalty payments to TGV equal to a low single digit percentage of net sales received by Stowe in connection with the sale or licensing of any product based on the licensed intellectual property. In addition, Stowe issued 1,750,000 shares of its common stock to TGV and is required to make certain milestone payments to TGV over the development of STE-006 and any related products based on the licensed intellectual property.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were payable at the Company’s election in cash or shares of the Company’s restricted common stock. Dr. Lindstrom was paid $63 and $122 in cash during the years ended December 31, 2019 and 2018, respectively, and was due an additional $55 and $15 at December 31, 2019 and 2018, respectively. The Company incurred $103 and $118 for royalty expenses related to the Klarity License Agreement during the years ended December 31, 2019 and 2018,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$0 in cash during the year ended December 31, 2019, and was due $40 at December 31, 2019. The Company incurred $40 for royalty expenses related to the Lindstrom Agreement during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Presbyopia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“Presbyopia APA”) with Dr. Lindstrom,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Presbyopia Product, the Company is required to make royalty payments to Dr. Lindstrom ranging from 2% to 4% of net sales, dependent upon the final formulation and patent protection of the Presbyopia Product sold. Dr. Lindstrom was paid $0 in cash during the year ended December 31, 2019, and was due $0 at December 31, 2019. The Company incurred $0 for royalty expenses related to the Presbyopia APA during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 AND CONCENTRATIONS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on January 1, 2019, the Company began evaluating performance of the Company based on operating segments. Segment performance for its two operating segments are based on segment contribution. The Company’s reportable segments consist of (i) its commercial stage pharmaceutical compounding business (Pharmaceutical Compounding), generally including the operations of ImprimisRx and the former Park businesses;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78" w:lineRule="exact"/>
        <w:rPr>
          <w:sz w:val="20"/>
          <w:szCs w:val="20"/>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net revenues, segment operating expenses and segment contribution information consisted of the following for the year ended December 31,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color w:val="auto"/>
              </w:rPr>
              <w:t>For the Year Ended December 31, 2019</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Pharmaceutical</w:t>
            </w:r>
          </w:p>
        </w:tc>
        <w:tc>
          <w:tcPr>
            <w:tcW w:w="120" w:type="dxa"/>
            <w:vAlign w:val="bottom"/>
          </w:tcPr>
          <w:p>
            <w:pPr>
              <w:spacing w:after="0"/>
              <w:rPr>
                <w:sz w:val="18"/>
                <w:szCs w:val="18"/>
                <w:color w:val="auto"/>
              </w:rPr>
            </w:pPr>
          </w:p>
        </w:tc>
        <w:tc>
          <w:tcPr>
            <w:tcW w:w="1740" w:type="dxa"/>
            <w:vAlign w:val="bottom"/>
            <w:gridSpan w:val="2"/>
          </w:tcPr>
          <w:p>
            <w:pPr>
              <w:jc w:val="right"/>
              <w:ind w:right="381"/>
              <w:spacing w:after="0"/>
              <w:rPr>
                <w:sz w:val="20"/>
                <w:szCs w:val="20"/>
                <w:color w:val="auto"/>
              </w:rPr>
            </w:pPr>
            <w:r>
              <w:rPr>
                <w:rFonts w:ascii="Arial" w:cs="Arial" w:eastAsia="Arial" w:hAnsi="Arial"/>
                <w:sz w:val="18"/>
                <w:szCs w:val="18"/>
                <w:color w:val="auto"/>
              </w:rPr>
              <w:t>Pharmaceutical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Compounding</w:t>
            </w:r>
          </w:p>
        </w:tc>
        <w:tc>
          <w:tcPr>
            <w:tcW w:w="120" w:type="dxa"/>
            <w:vAlign w:val="bottom"/>
          </w:tcPr>
          <w:p>
            <w:pPr>
              <w:spacing w:after="0"/>
              <w:rPr>
                <w:sz w:val="20"/>
                <w:szCs w:val="20"/>
                <w:color w:val="auto"/>
              </w:rPr>
            </w:pPr>
          </w:p>
        </w:tc>
        <w:tc>
          <w:tcPr>
            <w:tcW w:w="174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Drug Development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521"/>
              <w:spacing w:after="0"/>
              <w:rPr>
                <w:sz w:val="20"/>
                <w:szCs w:val="20"/>
                <w:color w:val="auto"/>
              </w:rPr>
            </w:pPr>
            <w:r>
              <w:rPr>
                <w:rFonts w:ascii="Arial" w:cs="Arial" w:eastAsia="Arial" w:hAnsi="Arial"/>
                <w:sz w:val="18"/>
                <w:szCs w:val="18"/>
                <w:color w:val="auto"/>
              </w:rPr>
              <w:t>Total</w:t>
            </w:r>
          </w:p>
        </w:tc>
      </w:tr>
      <w:tr>
        <w:trPr>
          <w:trHeight w:val="216"/>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(16,749)</w:t>
            </w:r>
          </w:p>
        </w:tc>
        <w:tc>
          <w:tcPr>
            <w:tcW w:w="120" w:type="dxa"/>
            <w:vAlign w:val="bottom"/>
          </w:tcPr>
          <w:p>
            <w:pPr>
              <w:spacing w:after="0"/>
              <w:rPr>
                <w:sz w:val="20"/>
                <w:szCs w:val="20"/>
                <w:color w:val="auto"/>
              </w:rPr>
            </w:pPr>
          </w:p>
        </w:tc>
        <w:tc>
          <w:tcPr>
            <w:tcW w:w="17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(16,749)</w:t>
            </w:r>
          </w:p>
        </w:tc>
      </w:tr>
      <w:tr>
        <w:trPr>
          <w:trHeight w:val="216"/>
        </w:trPr>
        <w:tc>
          <w:tcPr>
            <w:tcW w:w="3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24,468</w:t>
            </w:r>
          </w:p>
        </w:tc>
        <w:tc>
          <w:tcPr>
            <w:tcW w:w="120" w:type="dxa"/>
            <w:vAlign w:val="bottom"/>
          </w:tcPr>
          <w:p>
            <w:pPr>
              <w:spacing w:after="0"/>
              <w:rPr>
                <w:sz w:val="18"/>
                <w:szCs w:val="18"/>
                <w:color w:val="auto"/>
              </w:rPr>
            </w:pPr>
          </w:p>
        </w:tc>
        <w:tc>
          <w:tcPr>
            <w:tcW w:w="1740" w:type="dxa"/>
            <w:vAlign w:val="bottom"/>
            <w:gridSpan w:val="2"/>
          </w:tcPr>
          <w:p>
            <w:pPr>
              <w:jc w:val="right"/>
              <w:ind w:right="8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24,642</w:t>
            </w:r>
          </w:p>
        </w:tc>
      </w:tr>
      <w:tr>
        <w:trPr>
          <w:trHeight w:val="249"/>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1,367</w:t>
            </w:r>
          </w:p>
        </w:tc>
      </w:tr>
      <w:tr>
        <w:trPr>
          <w:trHeight w:val="257"/>
        </w:trPr>
        <w:tc>
          <w:tcPr>
            <w:tcW w:w="31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4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w:t>
            </w:r>
          </w:p>
        </w:tc>
        <w:tc>
          <w:tcPr>
            <w:tcW w:w="26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8,245</w:t>
            </w:r>
          </w:p>
        </w:tc>
        <w:tc>
          <w:tcPr>
            <w:tcW w:w="80" w:type="dxa"/>
            <w:vAlign w:val="bottom"/>
            <w:shd w:val="clear" w:color="auto" w:fill="CCEEFF"/>
          </w:tcPr>
          <w:p>
            <w:pPr>
              <w:spacing w:after="0"/>
              <w:rPr>
                <w:sz w:val="17"/>
                <w:szCs w:val="17"/>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716</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209</w:t>
            </w:r>
          </w:p>
        </w:tc>
      </w:tr>
      <w:tr>
        <w:trPr>
          <w:trHeight w:val="237"/>
        </w:trPr>
        <w:tc>
          <w:tcPr>
            <w:tcW w:w="3140" w:type="dxa"/>
            <w:vAlign w:val="bottom"/>
          </w:tcPr>
          <w:p>
            <w:pPr>
              <w:spacing w:after="0"/>
              <w:rPr>
                <w:sz w:val="20"/>
                <w:szCs w:val="20"/>
                <w:color w:val="auto"/>
              </w:rPr>
            </w:pPr>
            <w:r>
              <w:rPr>
                <w:rFonts w:ascii="Arial" w:cs="Arial" w:eastAsia="Arial" w:hAnsi="Arial"/>
                <w:sz w:val="18"/>
                <w:szCs w:val="18"/>
                <w:color w:val="auto"/>
              </w:rPr>
              <w:t>Asset sales and impairments, net</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4,040</w:t>
            </w:r>
          </w:p>
        </w:tc>
      </w:tr>
      <w:tr>
        <w:trPr>
          <w:trHeight w:val="229"/>
        </w:trPr>
        <w:tc>
          <w:tcPr>
            <w:tcW w:w="3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December 31, 2019 and December 31, 2018 are located in the U.S.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for the year ended December 31, 2019 and 2018.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73% of active pharmaceutical ingredient purchases during the year ended December 31, 2019, and 51% during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performed an evaluation of events occurring subsequent to December 31, 2019 through the filing date of this Annual Report and determined that no subsequent events have occurred that would require recognition in the financial statements or disclosures in the notes thereto.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Harrow Health, Inc. has one class of securities registered under Section 12 of the Securities Exchange Act of 1934, as amended: our common stock, par value $0.001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exhibit, when we refer to “Company”, “Harrow”, “we”, “us” and “our” or when we otherwise refer to ourselves, we mean Harrow Health, Inc., excluding, unless otherwise expressly stated or the context requires, our subsidiaries.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and Amended and Restated Bylaws. For more detailed information, please see our Amended and Restated Certificate of Incorporation and Amended and Restated Bylaws, which are incorporated by reference as exhibits to the Annual Report on Form 10-K to which this description is an exhibit.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authorized capital stock consists of 55,000,000 shares, 50,000,000 of which are designated as common stock, par value $0.001 per share, and 5,000,000 of which are designated as preferred stock, par value $0.001 per share. As of March 12, 2020, there were </w:t>
      </w:r>
      <w:r>
        <w:rPr>
          <w:rFonts w:ascii="Arial" w:cs="Arial" w:eastAsia="Arial" w:hAnsi="Arial"/>
          <w:sz w:val="18"/>
          <w:szCs w:val="18"/>
          <w:b w:val="1"/>
          <w:bCs w:val="1"/>
          <w:color w:val="auto"/>
        </w:rPr>
        <w:t>[●]</w:t>
      </w:r>
      <w:r>
        <w:rPr>
          <w:rFonts w:ascii="Arial" w:cs="Arial" w:eastAsia="Arial" w:hAnsi="Arial"/>
          <w:sz w:val="18"/>
          <w:szCs w:val="18"/>
          <w:color w:val="auto"/>
        </w:rPr>
        <w:t xml:space="preserve"> shares of our common stock and no shares of our preferred stock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As of March 6, 2020 there were approximately </w:t>
      </w:r>
      <w:r>
        <w:rPr>
          <w:rFonts w:ascii="Arial" w:cs="Arial" w:eastAsia="Arial" w:hAnsi="Arial"/>
          <w:sz w:val="16"/>
          <w:szCs w:val="16"/>
          <w:b w:val="1"/>
          <w:bCs w:val="1"/>
          <w:color w:val="auto"/>
        </w:rPr>
        <w:t>103</w:t>
      </w:r>
      <w:r>
        <w:rPr>
          <w:rFonts w:ascii="Arial" w:cs="Arial" w:eastAsia="Arial" w:hAnsi="Arial"/>
          <w:sz w:val="16"/>
          <w:szCs w:val="16"/>
          <w:color w:val="auto"/>
        </w:rPr>
        <w:t xml:space="preserve"> stockholders of record (excluding an indeterminable number of stockholders whose shares are held in street or “nominee” name) of our common stock. In addition, as of December 31, 2019, there are outstanding (i) options to acquire 2,656,683 shares of our common stock with a weighted average exercise price of $5.31 per share, (ii) warrants to purchase 780,386 shares of common stock with a weighted average exercise price of $2.12 per share, (iii) 1,411,930 unvested restricted stock units and (iv) 324,303 restricted stock units award to directors that had vested, but issuance and delivery of the shares are deferred until the director resigns or otherwise leaves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authorized to issue 50,000,000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The transfer agent and registrar for our common stock is Action Stock Transfer Corporation, 2469 E. Fort Union Blvd., Suite 214, Salt Lake City, UT 84121.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7" w:name="page98"/>
    <w:bookmarkEnd w:id="97"/>
    <w:p>
      <w:pPr>
        <w:ind w:left="10020"/>
        <w:spacing w:after="0"/>
        <w:rPr>
          <w:sz w:val="20"/>
          <w:szCs w:val="20"/>
          <w:color w:val="auto"/>
        </w:rPr>
      </w:pPr>
      <w:r>
        <w:rPr>
          <w:rFonts w:ascii="Arial" w:cs="Arial" w:eastAsia="Arial" w:hAnsi="Arial"/>
          <w:sz w:val="18"/>
          <w:szCs w:val="18"/>
          <w:b w:val="1"/>
          <w:bCs w:val="1"/>
          <w:color w:val="auto"/>
        </w:rPr>
        <w:t>EXHIBIT 10.64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STOWE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February 13,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Stowe Pharmaceuticals, Inc., a Delaware corporation with its principal place of business at 102 Woodmont Blvd., Suite 610, Nashville, TN 37205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Mark L. Baum, an individual with a principal place of business at 102 Woodmont Blvd., Suite 610 Nashville, TN 37205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(each herein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Services and Compensation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Consultant shall perform the services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for the Company (or its designee), and the Company agrees to pay Consultant the compensation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for Consultant’s performance of the Services.</w:t>
      </w:r>
    </w:p>
    <w:p>
      <w:pPr>
        <w:spacing w:after="0" w:line="162" w:lineRule="exact"/>
        <w:rPr>
          <w:sz w:val="20"/>
          <w:szCs w:val="20"/>
          <w:color w:val="auto"/>
        </w:rPr>
      </w:pPr>
    </w:p>
    <w:p>
      <w:pPr>
        <w:ind w:left="840" w:hanging="184"/>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rFonts w:ascii="Arial" w:cs="Arial" w:eastAsia="Arial" w:hAnsi="Arial"/>
          <w:sz w:val="18"/>
          <w:szCs w:val="18"/>
          <w:b w:val="1"/>
          <w:bCs w:val="1"/>
          <w:color w:val="auto"/>
        </w:rPr>
      </w:pPr>
    </w:p>
    <w:p>
      <w:pPr>
        <w:jc w:val="both"/>
        <w:ind w:firstLine="1296"/>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Definition of Confidential Information</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both"/>
        <w:ind w:firstLine="1296"/>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i w:val="1"/>
          <w:iCs w:val="1"/>
          <w:color w:val="auto"/>
        </w:rPr>
        <w:t>Nonuse and Nondisclosure</w:t>
      </w:r>
      <w:r>
        <w:rPr>
          <w:rFonts w:ascii="Arial" w:cs="Arial" w:eastAsia="Arial" w:hAnsi="Arial"/>
          <w:sz w:val="17"/>
          <w:szCs w:val="17"/>
          <w:b w:val="1"/>
          <w:bCs w:val="1"/>
          <w:color w:val="auto"/>
        </w:rPr>
        <w:t>.</w:t>
      </w:r>
      <w:r>
        <w:rPr>
          <w:rFonts w:ascii="Arial" w:cs="Arial" w:eastAsia="Arial" w:hAnsi="Arial"/>
          <w:sz w:val="17"/>
          <w:szCs w:val="17"/>
          <w:color w:val="auto"/>
        </w:rPr>
        <w:t xml:space="preserve"> During and after the term of this Agreement, Consultant will hold in the strictest confidence, and take all reasonable precautions to prevent any unauthorized use or disclosure of Confidential Information, and Consultant will not (i) use the Confidential Information for any purpose whatsoever other than as necessary for the performance of the Services on behalf of the Company, or (ii) subject to Consultant’s right to engage in Protected Activity (as defined below), disclose the Confidential Information to any third party without the prior written consent of an authorized representative of the Company, except that Consultant may disclose Confidential Information to the extent compelled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prior to such disclosure, Consultant shall provide prior written notice to Company and seek a protective order or such similar confidential protection as may be available under applicable law. Consultant agrees that no ownership of Confidential Information is conveyed to the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2.B shall continue after the termination of this Agreement.</w:t>
      </w:r>
    </w:p>
    <w:p>
      <w:pPr>
        <w:spacing w:after="0" w:line="18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Other Client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that Consultant will not improperly use, disclose, or induce the Company to use any proprietary information or trade secrets of any former or current employer of Consultant or other person or entity with which Consultant has an obligation to keep in confidence. Consultant also agrees that Consultant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8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Third Party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at all times during the term of this Agreement and thereafter, Consultant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87" w:lineRule="exact"/>
        <w:rPr>
          <w:sz w:val="20"/>
          <w:szCs w:val="20"/>
          <w:color w:val="auto"/>
        </w:rPr>
      </w:pPr>
    </w:p>
    <w:p>
      <w:pPr>
        <w:ind w:left="840" w:hanging="184"/>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225" w:lineRule="exact"/>
        <w:rPr>
          <w:rFonts w:ascii="Arial" w:cs="Arial" w:eastAsia="Arial" w:hAnsi="Arial"/>
          <w:sz w:val="18"/>
          <w:szCs w:val="18"/>
          <w:b w:val="1"/>
          <w:bCs w:val="1"/>
          <w:color w:val="auto"/>
        </w:rPr>
      </w:pPr>
    </w:p>
    <w:p>
      <w:pPr>
        <w:jc w:val="both"/>
        <w:ind w:firstLine="1304"/>
        <w:spacing w:after="0" w:line="255" w:lineRule="auto"/>
        <w:tabs>
          <w:tab w:leader="none" w:pos="1529" w:val="left"/>
        </w:tabs>
        <w:numPr>
          <w:ilvl w:val="1"/>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of Inventions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that all right, title, and interest in and to any copyrightable material, notes, records,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drawings, designs,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are the sole property of the Company. Consultant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88" w:lineRule="exact"/>
        <w:rPr>
          <w:rFonts w:ascii="Arial" w:cs="Arial" w:eastAsia="Arial" w:hAnsi="Arial"/>
          <w:sz w:val="18"/>
          <w:szCs w:val="18"/>
          <w:color w:val="auto"/>
        </w:rPr>
      </w:pPr>
    </w:p>
    <w:p>
      <w:pPr>
        <w:jc w:val="both"/>
        <w:ind w:firstLine="1304"/>
        <w:spacing w:after="0" w:line="289" w:lineRule="auto"/>
        <w:tabs>
          <w:tab w:leader="none" w:pos="1519" w:val="left"/>
        </w:tabs>
        <w:numPr>
          <w:ilvl w:val="1"/>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Pre-Existing Material</w:t>
      </w:r>
      <w:r>
        <w:rPr>
          <w:rFonts w:ascii="Arial" w:cs="Arial" w:eastAsia="Arial" w:hAnsi="Arial"/>
          <w:sz w:val="16"/>
          <w:szCs w:val="16"/>
          <w:b w:val="1"/>
          <w:bCs w:val="1"/>
          <w:color w:val="auto"/>
        </w:rPr>
        <w: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Section 3.A, Consultant will provide the Company with prior written notice if, in the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separate from, performing the Services under this Agreement (“</w:t>
      </w:r>
      <w:r>
        <w:rPr>
          <w:rFonts w:ascii="Arial" w:cs="Arial" w:eastAsia="Arial" w:hAnsi="Arial"/>
          <w:sz w:val="16"/>
          <w:szCs w:val="16"/>
          <w:b w:val="1"/>
          <w:bCs w:val="1"/>
          <w:i w:val="1"/>
          <w:iCs w:val="1"/>
          <w:color w:val="auto"/>
        </w:rPr>
        <w:t>Prior Invention</w:t>
      </w:r>
      <w:r>
        <w:rPr>
          <w:rFonts w:ascii="Arial" w:cs="Arial" w:eastAsia="Arial" w:hAnsi="Arial"/>
          <w:sz w:val="16"/>
          <w:szCs w:val="16"/>
          <w:i w:val="1"/>
          <w:iCs w:val="1"/>
          <w:color w:val="auto"/>
        </w:rPr>
        <w:t>s</w:t>
      </w:r>
      <w:r>
        <w:rPr>
          <w:rFonts w:ascii="Arial" w:cs="Arial" w:eastAsia="Arial" w:hAnsi="Arial"/>
          <w:sz w:val="16"/>
          <w:szCs w:val="16"/>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Moral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8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Maintenance of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to keep and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Further Assurances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3.E shall continue after the termination of this Agreement.</w:t>
      </w:r>
    </w:p>
    <w:p>
      <w:pPr>
        <w:spacing w:after="0" w:line="1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i w:val="1"/>
          <w:iCs w:val="1"/>
          <w:color w:val="auto"/>
        </w:rPr>
        <w:t>Attorney-in-Fact</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ind w:left="840" w:hanging="184"/>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Obligations</w:t>
      </w:r>
    </w:p>
    <w:p>
      <w:pPr>
        <w:spacing w:after="0" w:line="229" w:lineRule="exact"/>
        <w:rPr>
          <w:rFonts w:ascii="Arial" w:cs="Arial" w:eastAsia="Arial" w:hAnsi="Arial"/>
          <w:sz w:val="18"/>
          <w:szCs w:val="18"/>
          <w:b w:val="1"/>
          <w:bCs w:val="1"/>
          <w:color w:val="auto"/>
        </w:rPr>
      </w:pPr>
    </w:p>
    <w:p>
      <w:pPr>
        <w:jc w:val="both"/>
        <w:ind w:firstLine="1304"/>
        <w:spacing w:after="0" w:line="263" w:lineRule="auto"/>
        <w:tabs>
          <w:tab w:leader="none" w:pos="1516"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83" w:lineRule="exact"/>
        <w:rPr>
          <w:rFonts w:ascii="Arial" w:cs="Arial" w:eastAsia="Arial" w:hAnsi="Arial"/>
          <w:sz w:val="18"/>
          <w:szCs w:val="18"/>
          <w:color w:val="auto"/>
        </w:rPr>
      </w:pPr>
    </w:p>
    <w:p>
      <w:pPr>
        <w:jc w:val="both"/>
        <w:ind w:right="20" w:firstLine="1304"/>
        <w:spacing w:after="0" w:line="286" w:lineRule="auto"/>
        <w:tabs>
          <w:tab w:leader="none" w:pos="1522" w:val="left"/>
        </w:tabs>
        <w:numPr>
          <w:ilvl w:val="1"/>
          <w:numId w:val="29"/>
        </w:numPr>
        <w:rPr>
          <w:rFonts w:ascii="Arial" w:cs="Arial" w:eastAsia="Arial" w:hAnsi="Arial"/>
          <w:sz w:val="17"/>
          <w:szCs w:val="17"/>
          <w:color w:val="auto"/>
        </w:rPr>
      </w:pPr>
      <w:r>
        <w:rPr>
          <w:rFonts w:ascii="Arial" w:cs="Arial" w:eastAsia="Arial" w:hAnsi="Arial"/>
          <w:sz w:val="17"/>
          <w:szCs w:val="17"/>
          <w:color w:val="auto"/>
        </w:rPr>
        <w:t>Consultant shall require all Consultant’s employees, contractors, or other third-parties performing Services under this Agreement to execute a Confidential Information and Assignment Agreement in a form reasonably acceptable to the Company, and promptly provide a copy of each such executed agreement to the Company. Consultant’s violation of this Section 4 will be considered a material breach under Section 6.B.</w:t>
      </w:r>
    </w:p>
    <w:p>
      <w:pPr>
        <w:spacing w:after="0" w:line="161" w:lineRule="exact"/>
        <w:rPr>
          <w:rFonts w:ascii="Arial" w:cs="Arial" w:eastAsia="Arial" w:hAnsi="Arial"/>
          <w:sz w:val="17"/>
          <w:szCs w:val="17"/>
          <w:color w:val="auto"/>
        </w:rPr>
      </w:pPr>
    </w:p>
    <w:p>
      <w:pPr>
        <w:ind w:left="840" w:hanging="184"/>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Materials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termination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may have in Consultant’s possession or control.</w:t>
      </w:r>
    </w:p>
    <w:p>
      <w:pPr>
        <w:spacing w:after="0" w:line="184" w:lineRule="exact"/>
        <w:rPr>
          <w:sz w:val="20"/>
          <w:szCs w:val="20"/>
          <w:color w:val="auto"/>
        </w:rPr>
      </w:pPr>
    </w:p>
    <w:p>
      <w:pPr>
        <w:ind w:left="840" w:hanging="184"/>
        <w:spacing w:after="0"/>
        <w:tabs>
          <w:tab w:leader="none" w:pos="84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rFonts w:ascii="Arial" w:cs="Arial" w:eastAsia="Arial" w:hAnsi="Arial"/>
          <w:sz w:val="18"/>
          <w:szCs w:val="18"/>
          <w:b w:val="1"/>
          <w:bCs w:val="1"/>
          <w:color w:val="auto"/>
        </w:rPr>
      </w:pPr>
    </w:p>
    <w:p>
      <w:pPr>
        <w:jc w:val="both"/>
        <w:ind w:firstLine="1304"/>
        <w:spacing w:after="0" w:line="293" w:lineRule="auto"/>
        <w:tabs>
          <w:tab w:leader="none" w:pos="1543" w:val="left"/>
        </w:tabs>
        <w:numPr>
          <w:ilvl w:val="2"/>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Term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 commenced providing Services to the Company on or about December 1, 2019 and shall provide the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earlier of (i) one year from the Effective Date, (ii) a Change in Control (as defined in the Company’s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0" w:firstLine="8"/>
        <w:spacing w:after="0" w:line="260" w:lineRule="auto"/>
        <w:tabs>
          <w:tab w:leader="none" w:pos="3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IPO (as defined in the Plan), (iv) a Qualified Financing (as set forth in Exhibit A attached hereto) or (v) such earlier date as the Services are terminated by the Company or Consultant as provided in Section 6.B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4"/>
        <w:spacing w:after="0" w:line="266" w:lineRule="auto"/>
        <w:tabs>
          <w:tab w:leader="none" w:pos="1519" w:val="left"/>
        </w:tabs>
        <w:numPr>
          <w:ilvl w:val="2"/>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terminate this Agreement upon giving Consultant fourteen (14) days prior written notice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pursuant to Section 12.G of this Agreement. The Company may terminate this Agreement immediately and without prior notice if Consultant refuses to or is unable to perform the Services or is in breach of any material provision of this Agreement.</w:t>
      </w:r>
    </w:p>
    <w:p>
      <w:pPr>
        <w:spacing w:after="0" w:line="175" w:lineRule="exact"/>
        <w:rPr>
          <w:rFonts w:ascii="Arial" w:cs="Arial" w:eastAsia="Arial" w:hAnsi="Arial"/>
          <w:sz w:val="18"/>
          <w:szCs w:val="18"/>
          <w:color w:val="auto"/>
        </w:rPr>
      </w:pPr>
    </w:p>
    <w:p>
      <w:pPr>
        <w:ind w:left="1520" w:hanging="216"/>
        <w:spacing w:after="0"/>
        <w:tabs>
          <w:tab w:leader="none" w:pos="1520" w:val="left"/>
        </w:tabs>
        <w:numPr>
          <w:ilvl w:val="2"/>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Survival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any termination, all rights and duties of the Company and Consultant toward each other shall cease except:</w:t>
      </w:r>
    </w:p>
    <w:p>
      <w:pPr>
        <w:spacing w:after="0" w:line="240" w:lineRule="exact"/>
        <w:rPr>
          <w:rFonts w:ascii="Arial" w:cs="Arial" w:eastAsia="Arial" w:hAnsi="Arial"/>
          <w:sz w:val="17"/>
          <w:szCs w:val="17"/>
          <w:color w:val="auto"/>
        </w:rPr>
      </w:pPr>
    </w:p>
    <w:p>
      <w:pPr>
        <w:jc w:val="both"/>
        <w:ind w:firstLine="1952"/>
        <w:spacing w:after="0" w:line="263" w:lineRule="auto"/>
        <w:tabs>
          <w:tab w:leader="none" w:pos="2209" w:val="left"/>
        </w:tabs>
        <w:numPr>
          <w:ilvl w:val="3"/>
          <w:numId w:val="31"/>
        </w:numPr>
        <w:rPr>
          <w:rFonts w:ascii="Arial" w:cs="Arial" w:eastAsia="Arial" w:hAnsi="Arial"/>
          <w:sz w:val="18"/>
          <w:szCs w:val="18"/>
          <w:color w:val="auto"/>
        </w:rPr>
      </w:pPr>
      <w:r>
        <w:rPr>
          <w:rFonts w:ascii="Arial" w:cs="Arial" w:eastAsia="Arial" w:hAnsi="Arial"/>
          <w:sz w:val="18"/>
          <w:szCs w:val="18"/>
          <w:color w:val="auto"/>
        </w:rPr>
        <w:t>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and</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218" w:val="left"/>
        </w:tabs>
        <w:numPr>
          <w:ilvl w:val="3"/>
          <w:numId w:val="31"/>
        </w:numPr>
        <w:rPr>
          <w:rFonts w:ascii="Arial" w:cs="Arial" w:eastAsia="Arial" w:hAnsi="Arial"/>
          <w:sz w:val="18"/>
          <w:szCs w:val="18"/>
          <w:color w:val="auto"/>
        </w:rPr>
      </w:pPr>
      <w:r>
        <w:rPr>
          <w:rFonts w:ascii="Arial" w:cs="Arial" w:eastAsia="Arial" w:hAnsi="Arial"/>
          <w:sz w:val="18"/>
          <w:szCs w:val="18"/>
          <w:color w:val="auto"/>
        </w:rPr>
        <w:t>Section 2 (Confidentiality), Section 3 (Ownership), Section 4.B (Conflicting Obligations), Section 5 (Return of Company Materials), Section 6 (Term and Termination), Section 7 (Independent Contractor; Benefits), Section 8 (Indemnification), Section 9 (Nonsolicitation), Section 10 (Limitation of Liability), Section 11 (Arbitration and Equitable Relief), and Section 12 (Miscellaneous) will survive termination or expiration of this Agreement in accordance with their terms.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ind w:left="840" w:hanging="184"/>
        <w:spacing w:after="0"/>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Benefits</w:t>
      </w:r>
    </w:p>
    <w:p>
      <w:pPr>
        <w:spacing w:after="0" w:line="229" w:lineRule="exact"/>
        <w:rPr>
          <w:rFonts w:ascii="Arial" w:cs="Arial" w:eastAsia="Arial" w:hAnsi="Arial"/>
          <w:sz w:val="18"/>
          <w:szCs w:val="18"/>
          <w:b w:val="1"/>
          <w:bCs w:val="1"/>
          <w:color w:val="auto"/>
        </w:rPr>
      </w:pPr>
    </w:p>
    <w:p>
      <w:pPr>
        <w:jc w:val="both"/>
        <w:ind w:firstLine="1304"/>
        <w:spacing w:after="0" w:line="254" w:lineRule="auto"/>
        <w:tabs>
          <w:tab w:leader="none" w:pos="1543" w:val="left"/>
        </w:tabs>
        <w:numPr>
          <w:ilvl w:val="1"/>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Contractor. </w:t>
      </w:r>
      <w:r>
        <w:rPr>
          <w:rFonts w:ascii="Arial" w:cs="Arial" w:eastAsia="Arial" w:hAnsi="Arial"/>
          <w:sz w:val="18"/>
          <w:szCs w:val="18"/>
          <w:color w:val="auto"/>
        </w:rPr>
        <w:t>It is the express intention of the Company and Consultant that Consultant perform the Services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90" w:lineRule="exact"/>
        <w:rPr>
          <w:rFonts w:ascii="Arial" w:cs="Arial" w:eastAsia="Arial" w:hAnsi="Arial"/>
          <w:sz w:val="18"/>
          <w:szCs w:val="18"/>
          <w:color w:val="auto"/>
        </w:rPr>
      </w:pPr>
    </w:p>
    <w:p>
      <w:pPr>
        <w:jc w:val="both"/>
        <w:ind w:firstLine="1304"/>
        <w:spacing w:after="0" w:line="258" w:lineRule="auto"/>
        <w:tabs>
          <w:tab w:leader="none" w:pos="1506" w:val="left"/>
        </w:tabs>
        <w:numPr>
          <w:ilvl w:val="1"/>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Consultant agree that Consultant will receive no Company-sponsored benefits from the Company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Consultant agrees to indemnify and hold harmless the Company and its affiliates and their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or Consultant’s assistants, employees, contractors or agents, (ii) a determination by a court or agency that the Consultant is not an independent contractor, (iii) any breach by the Consultant or Consultant’s assistants, employees, contractors or agents of any of the covenants contained in this Agreement and corresponding Confidential Information and Invention Assignment Agreement, (iv) any failure of Consultant to perform the Services in accordance with all applicable laws, rules and regulations, or (v) any violation or claimed violation of a third party’s rights resulting in whole, or in part, from the Company’s use of the Inventions or other deliverables of Consultant under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 Nonsolicitation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 the fullest extent permitted under applicable law, from the date of this Agreement until twelve (12) months after the termination of this Agreement for any reason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Section 9 shall affect Consultant’s continuing obligations under this Agreement during and after this twelve</w:t>
      </w:r>
    </w:p>
    <w:p>
      <w:pPr>
        <w:spacing w:after="0" w:line="1" w:lineRule="exact"/>
        <w:rPr>
          <w:sz w:val="20"/>
          <w:szCs w:val="20"/>
          <w:color w:val="auto"/>
        </w:rPr>
      </w:pPr>
    </w:p>
    <w:p>
      <w:pPr>
        <w:ind w:left="5520" w:right="4720" w:hanging="5512"/>
        <w:spacing w:after="0" w:line="555" w:lineRule="auto"/>
        <w:tabs>
          <w:tab w:leader="none" w:pos="354" w:val="left"/>
        </w:tabs>
        <w:numPr>
          <w:ilvl w:val="0"/>
          <w:numId w:val="33"/>
        </w:numPr>
        <w:rPr>
          <w:rFonts w:ascii="Arial" w:cs="Arial" w:eastAsia="Arial" w:hAnsi="Arial"/>
          <w:sz w:val="17"/>
          <w:szCs w:val="17"/>
          <w:color w:val="auto"/>
        </w:rPr>
      </w:pPr>
      <w:r>
        <w:rPr>
          <w:rFonts w:ascii="Arial" w:cs="Arial" w:eastAsia="Arial" w:hAnsi="Arial"/>
          <w:sz w:val="17"/>
          <w:szCs w:val="17"/>
          <w:color w:val="auto"/>
        </w:rPr>
        <w:t>month period, including, without limitation, Consultant’s obligations under Section 2.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b w:val="1"/>
          <w:bCs w:val="1"/>
          <w:color w:val="auto"/>
        </w:rPr>
        <w:t>10. Limitation of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 EVENT SHALL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91" w:lineRule="exact"/>
        <w:rPr>
          <w:sz w:val="20"/>
          <w:szCs w:val="20"/>
          <w:color w:val="auto"/>
        </w:rPr>
      </w:pPr>
    </w:p>
    <w:p>
      <w:pPr>
        <w:ind w:left="900" w:hanging="244"/>
        <w:spacing w:after="0"/>
        <w:tabs>
          <w:tab w:leader="none" w:pos="9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and Equitable Relief</w:t>
      </w:r>
    </w:p>
    <w:p>
      <w:pPr>
        <w:spacing w:after="0" w:line="236" w:lineRule="exact"/>
        <w:rPr>
          <w:rFonts w:ascii="Arial" w:cs="Arial" w:eastAsia="Arial" w:hAnsi="Arial"/>
          <w:sz w:val="17"/>
          <w:szCs w:val="17"/>
          <w:b w:val="1"/>
          <w:bCs w:val="1"/>
          <w:color w:val="auto"/>
        </w:rPr>
      </w:pPr>
    </w:p>
    <w:p>
      <w:pPr>
        <w:jc w:val="both"/>
        <w:ind w:firstLine="1296"/>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Arbitration</w:t>
      </w:r>
      <w:r>
        <w:rPr>
          <w:rFonts w:ascii="Arial" w:cs="Arial" w:eastAsia="Arial" w:hAnsi="Arial"/>
          <w:sz w:val="17"/>
          <w:szCs w:val="17"/>
          <w:b w:val="1"/>
          <w:bCs w:val="1"/>
          <w:color w:val="auto"/>
        </w:rPr>
        <w:t>.</w:t>
      </w:r>
      <w:r>
        <w:rPr>
          <w:rFonts w:ascii="Arial" w:cs="Arial" w:eastAsia="Arial" w:hAnsi="Arial"/>
          <w:sz w:val="17"/>
          <w:szCs w:val="17"/>
          <w:color w:val="auto"/>
        </w:rPr>
        <w:t xml:space="preserve"> IN CONSIDERATION OF CONSULTANT’S CONSULTING RELATIONSHIP WITH THE COMPANY, ITS PROMISE TO ARBITRATE ALL DISPUTES RELATED TO CONSULTANT’S CONSULTING RELATIONSHIP WITH THE COMPANY AND CONSULTANT’S RECEIPT OF THE COMPENSATION AND OTHER BENEFITS PAID TO CONSULTANT BY COMPANY, AT PRESENT AND IN THE FUTURE, CONSULTANT AGREES THAT ANY AND ALL CONTROVERSIES, CLAIMS, OR DISPUTES WITH ANYONE (INCLUDING COMPANY AND ANY EMPLOYEE, OFFICER, DIRECTOR, SHAREHOLDER OR BENEFIT PLAN OF THE COMPANY IN THEIR CAPACITY AS SUCH OR OTHERWISE), ARISING OUT OF, RELATING TO, OR RESULTING FROM CONSULTANT’S CONSULTING OR OTHER RELATIONSHIP WITH THE COMPANY OR THE TERMINATION OF CONSULTANT’S CONSULTING OR OTHER RELATIONSHIP WITH THE COMPANY, INCLUDING ANY BREACH OF THIS AGREEMENT, SHALL BE SUBJECT TO BINDING ARBITRATION PURSUANT TO THE FEDERAL ARBITRATION ACT (THE “FAA”). THE FAA’S SUBSTANTIVE AND PROCEDURAL RULES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 CONSULTANT FURTHER AGREES THAT, TO THE FULLEST EXTENT PERMITTED BY LAW, CONSULTANT MAY BRING ANY ARBITRATION PROCEEDING ONLY IN CONSULTANT’S INDIVIDUAL CAPACITY, AND NOT AS A PLAINTIFF, REPRESENTATIVE, OR CLASS MEMBER IN ANY PURPORTED CLASS, COLLECTIVE, OR REPRESENTATIVE LAWSUIT OR PROCEEDING. CONSULTANT MAY, HOWEVER, BRING A PROCEEDING AS A PRIVATE ATTORNEY GENERAL AS PERMITTED BY LAW.</w:t>
      </w:r>
    </w:p>
    <w:p>
      <w:pPr>
        <w:spacing w:after="0" w:line="8" w:lineRule="exact"/>
        <w:rPr>
          <w:rFonts w:ascii="Arial" w:cs="Arial" w:eastAsia="Arial" w:hAnsi="Arial"/>
          <w:sz w:val="17"/>
          <w:szCs w:val="17"/>
          <w:b w:val="1"/>
          <w:bCs w:val="1"/>
          <w:color w:val="auto"/>
        </w:rPr>
      </w:pPr>
    </w:p>
    <w:p>
      <w:pPr>
        <w:jc w:val="both"/>
        <w:spacing w:after="0" w:line="251" w:lineRule="auto"/>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TO THE FULLEST EXTENT PERMITTED BY LAW, CONSULTANT AGREES TO ARBITRATE ANY AND ALL COMMON LAW AND/OR STATUTORY CLAIMS UNDER LOCAL, STATE, OR FEDERAL LAW, INCLUDING, BUT NOT LIMITED TO, CLAIMS UNDER THE CALIFORNIA LABOR CODE, CLAIMS RELATING TO EMPLOYMENT OR INDEPENDENT CONTRACTOR STATUS, CLASSIFICATION, AND RELATIONSHIP WITH THE COMPANY, AND CLAIMS OF BREACH OF CONTRACT, EXCEPT AS PROHIBITED BY LAW. CONSULTANT ALSO AGREES TO ARBITRATE ANY AND ALL DISPUTES ARISING OUT OF OR RELATING TO THE INTERPRETATION OR APPLICATION OF THIS AGREEMENT TO ARBITRATE, BUT NOT DISPUTES ABOUT THE ENFORCEABILITY, REVOCABILITY OR VALIDITY OF THIS AGREEMENT TO ARBITRATE OR THE CLASS, COLLECTIVE AND REPRESENTATIVE PROCEEDING WAIVER HEREIN. WITH RESPECT TO ALL SUCH CLAIMS AND DISPUTES THAT CONSULTANT AGREES TO ARBITRATE, CONSULTANT HEREBY EXPRESSLY AGREES TO WAIVE, AND DOES WAIVE, ANY RIGHT TO A TRIAL BY JURY. </w:t>
      </w:r>
      <w:r>
        <w:rPr>
          <w:rFonts w:ascii="Arial" w:cs="Arial" w:eastAsia="Arial" w:hAnsi="Arial"/>
          <w:sz w:val="18"/>
          <w:szCs w:val="18"/>
          <w:color w:val="auto"/>
        </w:rPr>
        <w:t>CONSULTANT FURTHER UNDERSTANDS THAT THIS AGREEMENT TO ARBITRATE ALSO APPLIES TO ANY DISPUTES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HAVE WITH CONSULTANT. CONSULTANT UNDERSTANDS THAT NOTHING IN THIS AGREEMENT REQUIRES CONSULTANT TO ARBITRATE CLAIMS THAT CANNOT BE ARBITRATED UNDER APPLICABLE LAW, SUCH AS CLAIMS UNDER THE SARBANES-OXLEY ACT.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jc w:val="both"/>
        <w:ind w:firstLine="1296"/>
        <w:spacing w:after="0" w:line="25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Procedure</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THAT ANY ARBITRATION WILL BE ADMINISTERED BY JAMS PURSUANT TO ITS 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xml:space="preserve">”), WHICH ARE AVAILABLE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 IF THE JAMS RULES CANNOT BE ENFORCED AS TO THE ARBITRATION, THEN THE PARTIES AGREE THAT THEY WILL ARBITRATE THIS DISPUTE UNDER THE CALIFORNIA ARBITRATION ACT (CALIFORNIA CODE CIV. PROC. § 1280 ET. SEQ (THE “CAA”), PROVIDED, HOWEVER, THAT NOTHING IN THIS PARAGRAPH WILL AFFECT THE APPLICABILITY OF THE FAA TO THE ENFORCEMENT OF THIS ARBITRATION AGREEMENT. CONSULTANT AGREES THAT THE USE OF THE JAMS RULES DOES NOT CHANGE CONSULTANT’S CLASSIFICATION TO THAT OF AN EMPLOYEE. TO THE CONTRARY, CONSULTANT REAFFIRMS THAT CONSULTANT IS AN INDEPENDENT CONTRACTOR. CONSULTANT AGREES THAT THE ARBITRATOR SHALL HAVE THE POWER TO DECIDE ANY MOTIONS BROUGHT BY ANY PARTY TO THE ARBITRATION, INCLUDING MOTIONS FOR SUMMARY JUDGMENT AND/OR ADJUDICATION AND MOTIONS TO DISMISS AND DEMURRERS APPLYING THE STANDARDS SET FORTH UNDER THE CALIFORNIA CODE OF CIVIL PROCEDURE. CONSULTANT AGREES THAT THE ARBITRATOR SHALL ISSUE A WRITTEN DECISION ON THE MERITS. CONSULTANT ALSO AGREES THAT THE ARBITRATOR SHALL HAVE THE POWER TO AWARD ANY REMEDIES AVAILABLE UNDER APPLICABLE LAW, AND THAT THE ARBITRATOR SHALL AWARD ATTORNEYS’ FEES AND COSTS TO THE PREVAILING PARTY, WHERE PERMITTED BY APPLICABLE LAW. CONSULTANT AGREES THAT THE DECREE OR AWARD RENDERED BY THE ARBITRATOR MAY BE ENTERED AS A FINAL AND BINDING JUDGMENT IN ANY COURT HAVING JURISDICTION THEREOF. CONSULTANT AGREES THAT THE ARBITRATOR SHALL ADMINISTER AND CONDUCT ANY ARBITRATION IN ACCORDANCE WITH CALIFORNIA LAW, AND THAT THE ARBITRATOR SHALL APPLY SUBSTANTIVE AND PROCEDURAL CALIFORNIA LAW TO ANY DISPUTE OR CLAIM, WITHOUT REFERENCE TO RULES OF CONFLICT OF LAW. CONSULTANT FURTHER AGREES THAT ANY ARBITRATION UNDER THIS AGREEMENT SHALL BE CONDUCTED IN SAN DIEGO COUNTY, CALIFORNIA.</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Remedy</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PROVIDED BY THE CCP ACT AND THIS AGREEMENT, ARBITRATION SHALL BE THE SOLE, EXCLUSIVE, AND FINAL REMEDY FOR ANY DISPUTE BETWEEN CONSULTANT AND THE COMPANY. ACCORDINGLY, EXCEPT AS PROVIDED FOR BY THE CCP ACT AND THIS AGREEMENT, NEITHER CONSULTANT NOR THE COMPANY WILL BE PERMITTED TO PURSUE COURT ACTION REGARDING CLAIMS THAT ARE SUBJECT TO ARBITRATION.</w:t>
      </w:r>
    </w:p>
    <w:p>
      <w:pPr>
        <w:spacing w:after="0" w:line="18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Availability of Injunctive Relief</w:t>
      </w:r>
      <w:r>
        <w:rPr>
          <w:rFonts w:ascii="Arial" w:cs="Arial" w:eastAsia="Arial" w:hAnsi="Arial"/>
          <w:sz w:val="18"/>
          <w:szCs w:val="18"/>
          <w:b w:val="1"/>
          <w:bCs w:val="1"/>
          <w:color w:val="auto"/>
        </w:rPr>
        <w:t>.</w:t>
      </w:r>
      <w:r>
        <w:rPr>
          <w:rFonts w:ascii="Arial" w:cs="Arial" w:eastAsia="Arial" w:hAnsi="Arial"/>
          <w:sz w:val="18"/>
          <w:szCs w:val="18"/>
          <w:color w:val="auto"/>
        </w:rPr>
        <w:t xml:space="preserve"> IN ACCORDANCE WITH RULE 1281.8 OF THE CALIFORNIA CODE OF CIVIL PROCEDURE, THE PARTIES AGREE THAT ANY PARTY MAY ALSO PETITION THE COURT FOR INJUNCTIVE RELIEF WHERE EITHER PARTY ALLEGES OR CLAIMS A VIOLATION OF ANY AGREEMENT REGARDING INTELLECTUAL PROPERTY, CONFIDENTIAL INFORMATION OR NONINTERFERENCE. IN THE EVENT EITHER PARTY SEEKS INJUNCTIVE RELIEF, THE PREVAILING PARTY SHALL BE ENTITLED TO RECOVER REASONABLE COSTS AND ATTORNEYS’ FEES.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jc w:val="both"/>
        <w:ind w:firstLine="1296"/>
        <w:spacing w:after="0" w:line="25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Administrative Relief.</w:t>
      </w:r>
      <w:r>
        <w:rPr>
          <w:rFonts w:ascii="Arial" w:cs="Arial" w:eastAsia="Arial" w:hAnsi="Arial"/>
          <w:sz w:val="18"/>
          <w:szCs w:val="18"/>
          <w:color w:val="auto"/>
        </w:rPr>
        <w:t xml:space="preserve"> CONSULTANT UNDERSTANDS THAT EXCEPT AS PERMITTED BY LAW THIS AGREEMENT DOES NOT PROHIBIT CONSULTANT FROM PURSUING CERTAIN ADMINISTRATIVE CLAIMS WITH LOCAL, STATE OR FEDERAL ADMINISTRATIVE BODIES OR GOVERNMENT AGENCIES SUCH AS THE DEPARTMENT OF FAIR EMPLOYMENT AND HOUSING, THE EQUAL EMPLOYMENT OPPORTUNITY COMMISSION, THE NATIONAL LABOR RELATIONS BOARD, OR THE WORKERS’ COMPENSATION BOARD. THIS AGREEMENT DOES, HOWEVER, PRECLUDE CONSULTANT FROM BRINGING ANY ALLEGED WAGE CLAIMS WITH THE DEPARTMENT OF LABOR STANDARDS ENFORCEMENT. LIKEWISE, THIS AGREEMENT DOES PRECLUDE CONSULTANT FROM PURSUING COURT ACTION REGARDING ANY ADMINISTRATIVE CLAIMS, EXCEPT AS PERMITTED BY LAW.</w:t>
      </w:r>
    </w:p>
    <w:p>
      <w:pPr>
        <w:spacing w:after="0" w:line="19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Voluntary Nature of Agreement.</w:t>
      </w:r>
      <w:r>
        <w:rPr>
          <w:rFonts w:ascii="Arial" w:cs="Arial" w:eastAsia="Arial" w:hAnsi="Arial"/>
          <w:sz w:val="18"/>
          <w:szCs w:val="18"/>
          <w:color w:val="auto"/>
        </w:rPr>
        <w:t xml:space="preserve"> CONSULTANT ACKNOWLEDGES AND AGREES THAT CONSULTANT IS EXECUTING THIS AGREEMENT VOLUNTARILY AND WITHOUT ANY DURESS OR UNDUE INFLUENCE BY THE COMPANY OR ANYONE ELSE. CONSULTANT FURTHER ACKNOWLEDGES AND AGREES THAT CONSULTANT HAS CAREFULLY READ THIS AGREEMENT AND THAT CONSULTANT HAS ASKED ANY QUESTIONS NEEDED FOR CONSULTANT TO UNDERSTAND THE TERMS, CONSEQUENCES AND BINDING EFFECT OF THIS AGREEMENT AND FULLY UNDERSTAND IT, INCLUDING THAT </w:t>
      </w:r>
      <w:r>
        <w:rPr>
          <w:rFonts w:ascii="Arial" w:cs="Arial" w:eastAsia="Arial" w:hAnsi="Arial"/>
          <w:sz w:val="18"/>
          <w:szCs w:val="18"/>
          <w:b w:val="1"/>
          <w:bCs w:val="1"/>
          <w:i w:val="1"/>
          <w:iCs w:val="1"/>
          <w:color w:val="auto"/>
        </w:rPr>
        <w:t>CONSULTANT IS WAIVING CONSULTANT’S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 TO A JURY TRIAL</w:t>
      </w:r>
      <w:r>
        <w:rPr>
          <w:rFonts w:ascii="Arial" w:cs="Arial" w:eastAsia="Arial" w:hAnsi="Arial"/>
          <w:sz w:val="18"/>
          <w:szCs w:val="18"/>
          <w:color w:val="auto"/>
        </w:rPr>
        <w:t>. FINALLY, CONSULTANT AGREES THAT CONSULTANT HAS BEEN PROVIDED AN OPPORTUNITY TO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ADVICE OF AN ATTORNEY OF CONSULTANT’S CHOICE BEFORE SIGNING THIS AGREEMENT.</w:t>
      </w:r>
    </w:p>
    <w:p>
      <w:pPr>
        <w:spacing w:after="0" w:line="191" w:lineRule="exact"/>
        <w:rPr>
          <w:sz w:val="20"/>
          <w:szCs w:val="20"/>
          <w:color w:val="auto"/>
        </w:rPr>
      </w:pPr>
    </w:p>
    <w:p>
      <w:pPr>
        <w:ind w:left="920" w:hanging="264"/>
        <w:spacing w:after="0"/>
        <w:tabs>
          <w:tab w:leader="none" w:pos="9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jc w:val="both"/>
        <w:ind w:firstLine="1304"/>
        <w:spacing w:after="0" w:line="289" w:lineRule="auto"/>
        <w:tabs>
          <w:tab w:leader="none" w:pos="1516" w:val="left"/>
        </w:tabs>
        <w:numPr>
          <w:ilvl w:val="1"/>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 Consent to Personal Jurisdiction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shall be governed by the laws of the State of California,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 to the conflicts of law provisions of any jurisdiction. To the extent that any lawsuit is permitted under this Agreement, the Parties hereby expressly consent to the personal and exclusive jurisdiction and venue of the state and federal courts located in California.</w:t>
      </w:r>
    </w:p>
    <w:p>
      <w:pPr>
        <w:spacing w:after="0" w:line="157" w:lineRule="exact"/>
        <w:rPr>
          <w:rFonts w:ascii="Arial" w:cs="Arial" w:eastAsia="Arial" w:hAnsi="Arial"/>
          <w:sz w:val="17"/>
          <w:szCs w:val="17"/>
          <w:color w:val="auto"/>
        </w:rPr>
      </w:pPr>
    </w:p>
    <w:p>
      <w:pPr>
        <w:jc w:val="both"/>
        <w:ind w:firstLine="1304"/>
        <w:spacing w:after="0" w:line="256" w:lineRule="auto"/>
        <w:tabs>
          <w:tab w:leader="none" w:pos="1560"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Assignability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will be binding upon Consultant’s heirs, executors, assigns, administrators, and other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87" w:lineRule="exact"/>
        <w:rPr>
          <w:rFonts w:ascii="Arial" w:cs="Arial" w:eastAsia="Arial" w:hAnsi="Arial"/>
          <w:sz w:val="18"/>
          <w:szCs w:val="18"/>
          <w:color w:val="auto"/>
        </w:rPr>
      </w:pPr>
    </w:p>
    <w:p>
      <w:pPr>
        <w:jc w:val="both"/>
        <w:ind w:firstLine="1304"/>
        <w:spacing w:after="0" w:line="258" w:lineRule="auto"/>
        <w:tabs>
          <w:tab w:leader="none" w:pos="1506"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between the Parties with respect to the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5" w:name="page106"/>
    <w:bookmarkEnd w:id="105"/>
    <w:p>
      <w:pPr>
        <w:ind w:left="130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Headings</w:t>
      </w:r>
      <w:r>
        <w:rPr>
          <w:rFonts w:ascii="Arial" w:cs="Arial" w:eastAsia="Arial" w:hAnsi="Arial"/>
          <w:sz w:val="16"/>
          <w:szCs w:val="16"/>
          <w:b w:val="1"/>
          <w:bCs w:val="1"/>
          <w:color w:val="auto"/>
        </w:rPr>
        <w:t>.</w:t>
      </w:r>
      <w:r>
        <w:rPr>
          <w:rFonts w:ascii="Arial" w:cs="Arial" w:eastAsia="Arial" w:hAnsi="Arial"/>
          <w:sz w:val="16"/>
          <w:szCs w:val="16"/>
          <w:color w:val="auto"/>
        </w:rPr>
        <w:t xml:space="preserve"> Headings are used in this Agreement for reference only and shall not be considered when interpreting this Agreement.</w:t>
      </w:r>
    </w:p>
    <w:p>
      <w:pPr>
        <w:spacing w:after="0" w:line="24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8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Modification, Waiver.</w:t>
      </w:r>
      <w:r>
        <w:rPr>
          <w:rFonts w:ascii="Arial" w:cs="Arial" w:eastAsia="Arial" w:hAnsi="Arial"/>
          <w:sz w:val="18"/>
          <w:szCs w:val="18"/>
          <w:color w:val="auto"/>
        </w:rPr>
        <w:t xml:space="preserve"> 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spacing w:after="0" w:line="18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i w:val="1"/>
          <w:iCs w:val="1"/>
          <w:color w:val="auto"/>
        </w:rPr>
        <w:t>Notices</w:t>
      </w:r>
      <w:r>
        <w:rPr>
          <w:rFonts w:ascii="Arial" w:cs="Arial" w:eastAsia="Arial" w:hAnsi="Arial"/>
          <w:sz w:val="16"/>
          <w:szCs w:val="16"/>
          <w:b w:val="1"/>
          <w:bCs w:val="1"/>
          <w:color w:val="auto"/>
        </w:rPr>
        <w:t>.</w:t>
      </w:r>
      <w:r>
        <w:rPr>
          <w:rFonts w:ascii="Arial" w:cs="Arial" w:eastAsia="Arial" w:hAnsi="Arial"/>
          <w:sz w:val="16"/>
          <w:szCs w:val="16"/>
          <w:color w:val="auto"/>
        </w:rPr>
        <w:t xml:space="preserve"> Any notice or other communication required or permitted by this Agreement to be given to a Party shall be in writing and 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12.G.</w:t>
      </w:r>
    </w:p>
    <w:p>
      <w:pPr>
        <w:spacing w:after="0" w:line="15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If to the Company, to:</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Stowe Pharmaceuticals, Inc.</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20" w:firstLine="1952"/>
        <w:spacing w:after="0" w:line="277" w:lineRule="auto"/>
        <w:tabs>
          <w:tab w:leader="none" w:pos="22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to Consultant, to the address for notice on the signature page to this Agreement or, if no such address is provided, to the last address of Consultant provided by Consultant to the Company.</w:t>
      </w:r>
    </w:p>
    <w:p>
      <w:pPr>
        <w:spacing w:after="0" w:line="166" w:lineRule="exact"/>
        <w:rPr>
          <w:rFonts w:ascii="Arial" w:cs="Arial" w:eastAsia="Arial" w:hAnsi="Arial"/>
          <w:sz w:val="18"/>
          <w:szCs w:val="18"/>
          <w:color w:val="auto"/>
        </w:rPr>
      </w:pPr>
    </w:p>
    <w:p>
      <w:pPr>
        <w:jc w:val="both"/>
        <w:ind w:firstLine="1304"/>
        <w:spacing w:after="0" w:line="266" w:lineRule="auto"/>
        <w:tabs>
          <w:tab w:leader="none" w:pos="1516"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Attorneys’ Fees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any court action at law or equity that is brought by one of the Parties to this Agreement to enforce or interpret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this Agreement, the prevailing Party will be entitled to reasonable attorneys’ fees, in addition to any other relief to which that Party may be entitled.</w:t>
      </w:r>
    </w:p>
    <w:p>
      <w:pPr>
        <w:spacing w:after="0" w:line="179" w:lineRule="exact"/>
        <w:rPr>
          <w:rFonts w:ascii="Arial" w:cs="Arial" w:eastAsia="Arial" w:hAnsi="Arial"/>
          <w:sz w:val="18"/>
          <w:szCs w:val="18"/>
          <w:color w:val="auto"/>
        </w:rPr>
      </w:pPr>
    </w:p>
    <w:p>
      <w:pPr>
        <w:ind w:right="20" w:firstLine="1304"/>
        <w:spacing w:after="0" w:line="277" w:lineRule="auto"/>
        <w:tabs>
          <w:tab w:leader="none" w:pos="1446"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Signatures. </w:t>
      </w:r>
      <w:r>
        <w:rPr>
          <w:rFonts w:ascii="Arial" w:cs="Arial" w:eastAsia="Arial" w:hAnsi="Arial"/>
          <w:sz w:val="18"/>
          <w:szCs w:val="18"/>
          <w:color w:val="auto"/>
        </w:rPr>
        <w:t>This Agreement may be signed in two counterparts, each of which shall be deemed an original, with the same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effectiveness as though executed in a single document.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469"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Applicability to Past Activities. </w:t>
      </w:r>
      <w:r>
        <w:rPr>
          <w:rFonts w:ascii="Arial" w:cs="Arial" w:eastAsia="Arial" w:hAnsi="Arial"/>
          <w:sz w:val="16"/>
          <w:szCs w:val="16"/>
          <w:color w:val="auto"/>
        </w:rPr>
        <w:t>Consultant agrees that if and to the extent that Consultant provided any services or made efforts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behalf of or for the benefit of Company, or related to the current or prospective business of Company in anticipation of Consultant’s involvement with the Company, that would have been “Services” if performed during the term of this Agreement (the “</w:t>
      </w:r>
      <w:r>
        <w:rPr>
          <w:rFonts w:ascii="Arial" w:cs="Arial" w:eastAsia="Arial" w:hAnsi="Arial"/>
          <w:sz w:val="16"/>
          <w:szCs w:val="16"/>
          <w:b w:val="1"/>
          <w:bCs w:val="1"/>
          <w:i w:val="1"/>
          <w:iCs w:val="1"/>
          <w:color w:val="auto"/>
        </w:rPr>
        <w:t>Prior Consulting Period</w:t>
      </w:r>
      <w:r>
        <w:rPr>
          <w:rFonts w:ascii="Arial" w:cs="Arial" w:eastAsia="Arial" w:hAnsi="Arial"/>
          <w:sz w:val="16"/>
          <w:szCs w:val="16"/>
          <w:color w:val="auto"/>
        </w:rPr>
        <w:t>”) and to the extent that during the Prior Consulting Period: (i) Consultant received access to any information from or on behalf of Company that would have been “Confidential Information” if Consultant received access to such information during the term of this Agreement; or (ii) Consultant (a) conceived, created, authored, invented, developed or reduced to practice any item (including any intellectual property rights with respect thereto) on behalf of or for the benefit of Company, or related to the current or prospective business of Company in anticipation of Consultant’s involvement with Company, that would have been an Invention if conceived, created, authored, invented, developed or reduced to practice during the term of this Agreement; or (b) incorporated into any such item any pre-existing invention, improvement, development, concept, discovery or other proprietary information that would have been a Prior Invention if incorporated into such item during the term of this Agreement; 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Consultant further acknowledges that Consultant has been fully compensated for all services provided during any such Prior Consulting Period.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jc w:val="both"/>
        <w:ind w:firstLine="1296"/>
        <w:spacing w:after="0" w:line="286"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i w:val="1"/>
          <w:iCs w:val="1"/>
          <w:color w:val="auto"/>
        </w:rPr>
        <w:t>Protected Activity Not Prohibited.</w:t>
      </w:r>
      <w:r>
        <w:rPr>
          <w:rFonts w:ascii="Arial" w:cs="Arial" w:eastAsia="Arial" w:hAnsi="Arial"/>
          <w:sz w:val="16"/>
          <w:szCs w:val="16"/>
          <w:color w:val="auto"/>
        </w:rPr>
        <w:t xml:space="preserve"> Consultant understands that nothing in this Agreement shall in any way limit or prohibit Consultant from engaging in any Protected Activity. For purposes of this Agreement,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 w:cs="Arial" w:eastAsia="Arial" w:hAnsi="Arial"/>
          <w:sz w:val="16"/>
          <w:szCs w:val="16"/>
          <w:b w:val="1"/>
          <w:bCs w:val="1"/>
          <w:i w:val="1"/>
          <w:iCs w:val="1"/>
          <w:color w:val="auto"/>
        </w:rPr>
        <w:t>Government Agencies</w:t>
      </w:r>
      <w:r>
        <w:rPr>
          <w:rFonts w:ascii="Arial" w:cs="Arial" w:eastAsia="Arial" w:hAnsi="Arial"/>
          <w:sz w:val="16"/>
          <w:szCs w:val="16"/>
          <w:color w:val="auto"/>
        </w:rPr>
        <w:t>”). Consultant understands that in connection with such Protected Activity, Consultant is permitted to disclose documents or other information as permitted by law, and without giving notice to, or receiving authorization from, the Company. Notwithstanding the foregoing, Consultant agrees to take all reasonable precautions to prevent any unauthorized use or disclosure of any information that may constitute Company confidential information to any parties other than the Government Agencies. Consultant further understands that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xml:space="preserve">” does not include the disclosure of any Company attorney-client privileged communications.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6"/>
          <w:szCs w:val="16"/>
          <w:i w:val="1"/>
          <w:iCs w:val="1"/>
          <w:color w:val="auto"/>
        </w:rPr>
        <w:t>solely</w:t>
      </w:r>
      <w:r>
        <w:rPr>
          <w:rFonts w:ascii="Arial" w:cs="Arial" w:eastAsia="Arial" w:hAnsi="Arial"/>
          <w:sz w:val="16"/>
          <w:szCs w:val="16"/>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6"/>
          <w:szCs w:val="16"/>
          <w:color w:val="auto"/>
        </w:rPr>
        <w:t>IN WITNESS WHEREOF, the Parties hereto have executed this Consulting Agreement as of the date first written above.</w:t>
      </w:r>
    </w:p>
    <w:p>
      <w:pPr>
        <w:sectPr>
          <w:pgSz w:w="11900" w:h="16838" w:orient="portrait"/>
          <w:cols w:equalWidth="0" w:num="1">
            <w:col w:w="10139"/>
          </w:cols>
          <w:pgMar w:left="320" w:top="692" w:right="1440"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1457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5">
                      <a:extLst>
                        <a:ext uri="{28A0092B-C50C-407E-A947-70E740481C1C}"/>
                      </a:extLst>
                    </a:blip>
                    <a:srcRect/>
                    <a:stretch>
                      <a:fillRect/>
                    </a:stretch>
                  </pic:blipFill>
                  <pic:spPr bwMode="auto">
                    <a:xfrm>
                      <a:off x="0" y="0"/>
                      <a:ext cx="314579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-130175</wp:posOffset>
            </wp:positionV>
            <wp:extent cx="31457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6">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102 Woodmont Blvd., Suite 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5058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7">
                      <a:extLst>
                        <a:ext uri="{28A0092B-C50C-407E-A947-70E740481C1C}"/>
                      </a:extLst>
                    </a:blip>
                    <a:srcRect/>
                    <a:stretch>
                      <a:fillRect/>
                    </a:stretch>
                  </pic:blipFill>
                  <pic:spPr bwMode="auto">
                    <a:xfrm>
                      <a:off x="0" y="0"/>
                      <a:ext cx="3505835" cy="17145"/>
                    </a:xfrm>
                    <a:prstGeom prst="rect">
                      <a:avLst/>
                    </a:prstGeom>
                    <a:noFill/>
                  </pic:spPr>
                </pic:pic>
              </a:graphicData>
            </a:graphic>
          </wp:anchor>
        </w:drawing>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Nashville, TN 37205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350583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8">
                      <a:extLst>
                        <a:ext uri="{28A0092B-C50C-407E-A947-70E740481C1C}"/>
                      </a:extLst>
                    </a:blip>
                    <a:srcRect/>
                    <a:stretch>
                      <a:fillRect/>
                    </a:stretch>
                  </pic:blipFill>
                  <pic:spPr bwMode="auto">
                    <a:xfrm>
                      <a:off x="0" y="0"/>
                      <a:ext cx="35058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35058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9">
                      <a:extLst>
                        <a:ext uri="{28A0092B-C50C-407E-A947-70E740481C1C}"/>
                      </a:extLst>
                    </a:blip>
                    <a:srcRect/>
                    <a:stretch>
                      <a:fillRect/>
                    </a:stretch>
                  </pic:blipFill>
                  <pic:spPr bwMode="auto">
                    <a:xfrm>
                      <a:off x="0" y="0"/>
                      <a:ext cx="35058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Stowe Pharmaceuticals, Inc.</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Boll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23495</wp:posOffset>
            </wp:positionV>
            <wp:extent cx="313753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0">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-130175</wp:posOffset>
            </wp:positionV>
            <wp:extent cx="313753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1">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31750</wp:posOffset>
            </wp:positionV>
            <wp:extent cx="313753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2">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1497330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020" w:space="720"/>
            <w:col w:w="4399"/>
          </w:cols>
          <w:pgMar w:left="320" w:top="692" w:right="1440"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AND COMPENSATION</w:t>
      </w:r>
    </w:p>
    <w:p>
      <w:pPr>
        <w:spacing w:after="0" w:line="225" w:lineRule="exact"/>
        <w:rPr>
          <w:sz w:val="20"/>
          <w:szCs w:val="20"/>
          <w:color w:val="auto"/>
        </w:rPr>
      </w:pPr>
    </w:p>
    <w:p>
      <w:pPr>
        <w:ind w:left="1620" w:right="6800" w:hanging="964"/>
        <w:spacing w:after="0" w:line="526" w:lineRule="auto"/>
        <w:tabs>
          <w:tab w:leader="none" w:pos="828"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Contact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principal Company contact: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 Andrew R. Boll</w:t>
      </w:r>
    </w:p>
    <w:p>
      <w:pPr>
        <w:spacing w:after="0" w:line="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Title:   Executive Director</w:t>
      </w:r>
    </w:p>
    <w:p>
      <w:pPr>
        <w:spacing w:after="0" w:line="26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Email:  aboll@harrowinc.com</w:t>
      </w:r>
    </w:p>
    <w:p>
      <w:pPr>
        <w:spacing w:after="0" w:line="26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Phone:  (615) 733-4731</w:t>
      </w:r>
    </w:p>
    <w:p>
      <w:pPr>
        <w:spacing w:after="0" w:line="265" w:lineRule="exact"/>
        <w:rPr>
          <w:rFonts w:ascii="Arial" w:cs="Arial" w:eastAsia="Arial" w:hAnsi="Arial"/>
          <w:sz w:val="18"/>
          <w:szCs w:val="18"/>
          <w:color w:val="auto"/>
        </w:rPr>
      </w:pPr>
    </w:p>
    <w:p>
      <w:pPr>
        <w:ind w:firstLine="656"/>
        <w:spacing w:after="0" w:line="277" w:lineRule="auto"/>
        <w:tabs>
          <w:tab w:leader="none" w:pos="841"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color w:val="auto"/>
        </w:rPr>
        <w:t>. Consultant shall provide management advisory services to the Company relating to its establishment, financing activities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services as may be requested from time to time by the Company.</w:t>
      </w:r>
    </w:p>
    <w:p>
      <w:pPr>
        <w:spacing w:after="0" w:line="166" w:lineRule="exact"/>
        <w:rPr>
          <w:rFonts w:ascii="Arial" w:cs="Arial" w:eastAsia="Arial" w:hAnsi="Arial"/>
          <w:sz w:val="18"/>
          <w:szCs w:val="18"/>
          <w:color w:val="auto"/>
        </w:rPr>
      </w:pPr>
    </w:p>
    <w:p>
      <w:pPr>
        <w:ind w:left="840" w:hanging="184"/>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4"/>
        <w:spacing w:after="0" w:line="259" w:lineRule="auto"/>
        <w:tabs>
          <w:tab w:leader="none" w:pos="15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Upon or shortly following commencement of Consultant’s Services to the Company, and subject to the approval of the Company’s Board of Directors, the Company shall issue to Consultant 900,000 shares of the Company’s common stock,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shall be subject to the terms and conditions of the Company’s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a restricted stock award agreement between the Company and Consultant.</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Shares subject to the Restricted Stock Award shall vest upon the earliest of:</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Common Stock, pursuant to which the Common Stock is priced for initial public offering; or</w:t>
      </w:r>
    </w:p>
    <w:p>
      <w:pPr>
        <w:spacing w:after="0" w:line="170" w:lineRule="exact"/>
        <w:rPr>
          <w:rFonts w:ascii="Arial" w:cs="Arial" w:eastAsia="Arial" w:hAnsi="Arial"/>
          <w:sz w:val="18"/>
          <w:szCs w:val="18"/>
          <w:color w:val="auto"/>
        </w:rPr>
      </w:pPr>
    </w:p>
    <w:p>
      <w:pPr>
        <w:ind w:left="2600" w:hanging="648"/>
        <w:spacing w:after="0" w:line="277" w:lineRule="auto"/>
        <w:tabs>
          <w:tab w:leader="none" w:pos="26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date of closing of a bona-fide equity financing with third party investors resulting in cash gross proceeds to the Company of at least $10,000,000 (the “</w:t>
      </w:r>
      <w:r>
        <w:rPr>
          <w:rFonts w:ascii="Arial" w:cs="Arial" w:eastAsia="Arial" w:hAnsi="Arial"/>
          <w:sz w:val="18"/>
          <w:szCs w:val="18"/>
          <w:b w:val="1"/>
          <w:bCs w:val="1"/>
          <w:i w:val="1"/>
          <w:iCs w:val="1"/>
          <w:color w:val="auto"/>
        </w:rPr>
        <w:t>Qualified Financing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-2779395</wp:posOffset>
            </wp:positionV>
            <wp:extent cx="48691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4">
                      <a:extLst>
                        <a:ext uri="{28A0092B-C50C-407E-A947-70E740481C1C}"/>
                      </a:extLst>
                    </a:blip>
                    <a:srcRect/>
                    <a:stretch>
                      <a:fillRect/>
                    </a:stretch>
                  </pic:blipFill>
                  <pic:spPr bwMode="auto">
                    <a:xfrm>
                      <a:off x="0" y="0"/>
                      <a:ext cx="4869180" cy="1714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-3079750</wp:posOffset>
            </wp:positionV>
            <wp:extent cx="48691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5">
                      <a:extLst>
                        <a:ext uri="{28A0092B-C50C-407E-A947-70E740481C1C}"/>
                      </a:extLst>
                    </a:blip>
                    <a:srcRect/>
                    <a:stretch>
                      <a:fillRect/>
                    </a:stretch>
                  </pic:blipFill>
                  <pic:spPr bwMode="auto">
                    <a:xfrm>
                      <a:off x="0" y="0"/>
                      <a:ext cx="4869180" cy="1714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-3379470</wp:posOffset>
            </wp:positionV>
            <wp:extent cx="48691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6">
                      <a:extLst>
                        <a:ext uri="{28A0092B-C50C-407E-A947-70E740481C1C}"/>
                      </a:extLst>
                    </a:blip>
                    <a:srcRect/>
                    <a:stretch>
                      <a:fillRect/>
                    </a:stretch>
                  </pic:blipFill>
                  <pic:spPr bwMode="auto">
                    <a:xfrm>
                      <a:off x="0" y="0"/>
                      <a:ext cx="4869180" cy="1714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-3679825</wp:posOffset>
            </wp:positionV>
            <wp:extent cx="48691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7">
                      <a:extLst>
                        <a:ext uri="{28A0092B-C50C-407E-A947-70E740481C1C}"/>
                      </a:extLst>
                    </a:blip>
                    <a:srcRect/>
                    <a:stretch>
                      <a:fillRect/>
                    </a:stretch>
                  </pic:blipFill>
                  <pic:spPr bwMode="auto">
                    <a:xfrm>
                      <a:off x="0" y="0"/>
                      <a:ext cx="4869180" cy="17145"/>
                    </a:xfrm>
                    <a:prstGeom prst="rect">
                      <a:avLst/>
                    </a:prstGeom>
                    <a:noFill/>
                  </pic:spPr>
                </pic:pic>
              </a:graphicData>
            </a:graphic>
          </wp:anchor>
        </w:drawing>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in any case of (1), (2) and (3), (each a “</w:t>
      </w:r>
      <w:r>
        <w:rPr>
          <w:rFonts w:ascii="Arial" w:cs="Arial" w:eastAsia="Arial" w:hAnsi="Arial"/>
          <w:sz w:val="18"/>
          <w:szCs w:val="18"/>
          <w:b w:val="1"/>
          <w:bCs w:val="1"/>
          <w:i w:val="1"/>
          <w:iCs w:val="1"/>
          <w:color w:val="auto"/>
        </w:rPr>
        <w:t>Vesting Event</w:t>
      </w:r>
      <w:r>
        <w:rPr>
          <w:rFonts w:ascii="Arial" w:cs="Arial" w:eastAsia="Arial" w:hAnsi="Arial"/>
          <w:sz w:val="18"/>
          <w:szCs w:val="18"/>
          <w:color w:val="auto"/>
        </w:rPr>
        <w:t>”), subject to Consultant’s continuous status as a Service Provider (as defined in the Plan) through the date of such Vesting Event; provided, however, in the event Consultant’s continuous status as a Service Provider is terminated by the Company (other than for Cause (as defined in the Plan)) or by death of Consultant prior to the completion of the Term (as defined in this Agreement), the Shares shall vest immediately upon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both"/>
        <w:ind w:firstLine="1296"/>
        <w:spacing w:after="0" w:line="273" w:lineRule="auto"/>
        <w:rPr>
          <w:sz w:val="20"/>
          <w:szCs w:val="20"/>
          <w:color w:val="auto"/>
        </w:rPr>
      </w:pPr>
      <w:r>
        <w:rPr>
          <w:rFonts w:ascii="Arial" w:cs="Arial" w:eastAsia="Arial" w:hAnsi="Arial"/>
          <w:sz w:val="17"/>
          <w:szCs w:val="17"/>
          <w:color w:val="auto"/>
        </w:rPr>
        <w:t>C. All payments and benefits provided for under this Agreement are intended to be exempt from or otherwise comply with the requirements of Section 409A of the Internal Revenue Code of 1986, as amended, and the regulations and guidance thereunder (together,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reimburse Consultant for any taxes that may be imposed on Consultant as a result of Section 409A.</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accepted and agreed upon as of February 13,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1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STOWE PHARMACEUTICALS, INC.</w:t>
            </w:r>
          </w:p>
        </w:tc>
      </w:tr>
      <w:tr>
        <w:trPr>
          <w:trHeight w:val="453"/>
        </w:trPr>
        <w:tc>
          <w:tcPr>
            <w:tcW w:w="358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Baum</w:t>
            </w:r>
          </w:p>
        </w:tc>
        <w:tc>
          <w:tcPr>
            <w:tcW w:w="194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i w:val="1"/>
                <w:iCs w:val="1"/>
                <w:color w:val="auto"/>
              </w:rPr>
              <w:t>/s/ Andrew Boll</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1940" w:type="dxa"/>
            <w:vAlign w:val="bottom"/>
            <w:tcBorders>
              <w:top w:val="single" w:sz="8" w:color="auto"/>
            </w:tcBorders>
          </w:tcPr>
          <w:p>
            <w:pPr>
              <w:spacing w:after="0"/>
              <w:rPr>
                <w:sz w:val="17"/>
                <w:szCs w:val="17"/>
                <w:color w:val="auto"/>
              </w:rPr>
            </w:pP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439"/>
        </w:trPr>
        <w:tc>
          <w:tcPr>
            <w:tcW w:w="5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10" w:name="page111"/>
    <w:bookmarkEnd w:id="110"/>
    <w:p>
      <w:pPr>
        <w:ind w:left="10020"/>
        <w:spacing w:after="0"/>
        <w:rPr>
          <w:sz w:val="20"/>
          <w:szCs w:val="20"/>
          <w:color w:val="auto"/>
        </w:rPr>
      </w:pPr>
      <w:r>
        <w:rPr>
          <w:rFonts w:ascii="Arial" w:cs="Arial" w:eastAsia="Arial" w:hAnsi="Arial"/>
          <w:sz w:val="18"/>
          <w:szCs w:val="18"/>
          <w:b w:val="1"/>
          <w:bCs w:val="1"/>
          <w:color w:val="auto"/>
        </w:rPr>
        <w:t>EXHIBIT 10.65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STOWE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2/13/2020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Stowe Pharmaceuticals, Inc., a Delaware corporation with its principal place of business at 102 Woodmont Blvd., Suite 610, Nashville, TN 37205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Andrew R. Boll, an individual with a principal place of business at 102 Woodmont Blvd., Suite 610, Nashville, TN 37205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(each herein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Services and Compensation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Consultant shall perform the services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for the Company (or its designee), and the Company agrees to pay Consultant the compensation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for Consultant’s performance of the Services.</w:t>
      </w:r>
    </w:p>
    <w:p>
      <w:pPr>
        <w:spacing w:after="0" w:line="162" w:lineRule="exact"/>
        <w:rPr>
          <w:sz w:val="20"/>
          <w:szCs w:val="20"/>
          <w:color w:val="auto"/>
        </w:rPr>
      </w:pPr>
    </w:p>
    <w:p>
      <w:pPr>
        <w:ind w:left="840" w:hanging="184"/>
        <w:spacing w:after="0"/>
        <w:tabs>
          <w:tab w:leader="none" w:pos="8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rFonts w:ascii="Arial" w:cs="Arial" w:eastAsia="Arial" w:hAnsi="Arial"/>
          <w:sz w:val="18"/>
          <w:szCs w:val="18"/>
          <w:b w:val="1"/>
          <w:bCs w:val="1"/>
          <w:color w:val="auto"/>
        </w:rPr>
      </w:pPr>
    </w:p>
    <w:p>
      <w:pPr>
        <w:jc w:val="both"/>
        <w:ind w:firstLine="1296"/>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Definition of Confidential Information</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both"/>
        <w:ind w:firstLine="1296"/>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i w:val="1"/>
          <w:iCs w:val="1"/>
          <w:color w:val="auto"/>
        </w:rPr>
        <w:t>Nonuse and Nondisclosure</w:t>
      </w:r>
      <w:r>
        <w:rPr>
          <w:rFonts w:ascii="Arial" w:cs="Arial" w:eastAsia="Arial" w:hAnsi="Arial"/>
          <w:sz w:val="17"/>
          <w:szCs w:val="17"/>
          <w:b w:val="1"/>
          <w:bCs w:val="1"/>
          <w:color w:val="auto"/>
        </w:rPr>
        <w:t>.</w:t>
      </w:r>
      <w:r>
        <w:rPr>
          <w:rFonts w:ascii="Arial" w:cs="Arial" w:eastAsia="Arial" w:hAnsi="Arial"/>
          <w:sz w:val="17"/>
          <w:szCs w:val="17"/>
          <w:color w:val="auto"/>
        </w:rPr>
        <w:t xml:space="preserve"> During and after the term of this Agreement, Consultant will hold in the strictest confidence, and take all reasonable precautions to prevent any unauthorized use or disclosure of Confidential Information, and Consultant will not (i) use the Confidential Information for any purpose whatsoever other than as necessary for the performance of the Services on behalf of the Company, or (ii) subject to Consultant’s right to engage in Protected Activity (as defined below), disclose the Confidential Information to any third party without the prior written consent of an authorized representative of the Company, except that Consultant may disclose Confidential Information to the extent compelled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prior to such disclosure, Consultant shall provide prior written notice to Company and seek a protective order or such similar confidential protection as may be available under applicable law. Consultant agrees that no ownership of Confidential Information is conveyed to the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2.B shall continue after the termination of this Agreement.</w:t>
      </w:r>
    </w:p>
    <w:p>
      <w:pPr>
        <w:spacing w:after="0" w:line="18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Other Client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that Consultant will not improperly use, disclose, or induce the Company to use any proprietary information or trade secrets of any former or current employer of Consultant or other person or entity with which Consultant has an obligation to keep in confidence. Consultant also agrees that Consultant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8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Third Party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at all times during the term of this Agreement and thereafter, Consultant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87" w:lineRule="exact"/>
        <w:rPr>
          <w:sz w:val="20"/>
          <w:szCs w:val="20"/>
          <w:color w:val="auto"/>
        </w:rPr>
      </w:pPr>
    </w:p>
    <w:p>
      <w:pPr>
        <w:ind w:left="840" w:hanging="184"/>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225" w:lineRule="exact"/>
        <w:rPr>
          <w:rFonts w:ascii="Arial" w:cs="Arial" w:eastAsia="Arial" w:hAnsi="Arial"/>
          <w:sz w:val="18"/>
          <w:szCs w:val="18"/>
          <w:b w:val="1"/>
          <w:bCs w:val="1"/>
          <w:color w:val="auto"/>
        </w:rPr>
      </w:pPr>
    </w:p>
    <w:p>
      <w:pPr>
        <w:jc w:val="both"/>
        <w:ind w:firstLine="1304"/>
        <w:spacing w:after="0" w:line="255" w:lineRule="auto"/>
        <w:tabs>
          <w:tab w:leader="none" w:pos="1529" w:val="left"/>
        </w:tabs>
        <w:numPr>
          <w:ilvl w:val="1"/>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of Inventions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that all right, title, and interest in and to any copyrightable material, notes, records,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drawings, designs,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are the sole property of the Company. Consultant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88" w:lineRule="exact"/>
        <w:rPr>
          <w:rFonts w:ascii="Arial" w:cs="Arial" w:eastAsia="Arial" w:hAnsi="Arial"/>
          <w:sz w:val="18"/>
          <w:szCs w:val="18"/>
          <w:color w:val="auto"/>
        </w:rPr>
      </w:pPr>
    </w:p>
    <w:p>
      <w:pPr>
        <w:jc w:val="both"/>
        <w:ind w:firstLine="1304"/>
        <w:spacing w:after="0" w:line="289" w:lineRule="auto"/>
        <w:tabs>
          <w:tab w:leader="none" w:pos="1519"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Pre-Existing Material</w:t>
      </w:r>
      <w:r>
        <w:rPr>
          <w:rFonts w:ascii="Arial" w:cs="Arial" w:eastAsia="Arial" w:hAnsi="Arial"/>
          <w:sz w:val="16"/>
          <w:szCs w:val="16"/>
          <w:b w:val="1"/>
          <w:bCs w:val="1"/>
          <w:color w:val="auto"/>
        </w:rPr>
        <w: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Section 3.A, Consultant will provide the Company with prior written notice if, in the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separate from, performing the Services under this Agreement (“</w:t>
      </w:r>
      <w:r>
        <w:rPr>
          <w:rFonts w:ascii="Arial" w:cs="Arial" w:eastAsia="Arial" w:hAnsi="Arial"/>
          <w:sz w:val="16"/>
          <w:szCs w:val="16"/>
          <w:b w:val="1"/>
          <w:bCs w:val="1"/>
          <w:i w:val="1"/>
          <w:iCs w:val="1"/>
          <w:color w:val="auto"/>
        </w:rPr>
        <w:t>Prior Invention</w:t>
      </w:r>
      <w:r>
        <w:rPr>
          <w:rFonts w:ascii="Arial" w:cs="Arial" w:eastAsia="Arial" w:hAnsi="Arial"/>
          <w:sz w:val="16"/>
          <w:szCs w:val="16"/>
          <w:i w:val="1"/>
          <w:iCs w:val="1"/>
          <w:color w:val="auto"/>
        </w:rPr>
        <w:t>s</w:t>
      </w:r>
      <w:r>
        <w:rPr>
          <w:rFonts w:ascii="Arial" w:cs="Arial" w:eastAsia="Arial" w:hAnsi="Arial"/>
          <w:sz w:val="16"/>
          <w:szCs w:val="16"/>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2" w:name="page113"/>
    <w:bookmarkEnd w:id="112"/>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Moral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8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Maintenance of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to keep and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Further Assurances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3.E shall continue after the termination of this Agreement.</w:t>
      </w:r>
    </w:p>
    <w:p>
      <w:pPr>
        <w:spacing w:after="0" w:line="1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i w:val="1"/>
          <w:iCs w:val="1"/>
          <w:color w:val="auto"/>
        </w:rPr>
        <w:t>Attorney-in-Fact</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ind w:left="840" w:hanging="184"/>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Obligations</w:t>
      </w:r>
    </w:p>
    <w:p>
      <w:pPr>
        <w:spacing w:after="0" w:line="229" w:lineRule="exact"/>
        <w:rPr>
          <w:rFonts w:ascii="Arial" w:cs="Arial" w:eastAsia="Arial" w:hAnsi="Arial"/>
          <w:sz w:val="18"/>
          <w:szCs w:val="18"/>
          <w:b w:val="1"/>
          <w:bCs w:val="1"/>
          <w:color w:val="auto"/>
        </w:rPr>
      </w:pPr>
    </w:p>
    <w:p>
      <w:pPr>
        <w:jc w:val="both"/>
        <w:ind w:firstLine="1304"/>
        <w:spacing w:after="0" w:line="263" w:lineRule="auto"/>
        <w:tabs>
          <w:tab w:leader="none" w:pos="15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83" w:lineRule="exact"/>
        <w:rPr>
          <w:rFonts w:ascii="Arial" w:cs="Arial" w:eastAsia="Arial" w:hAnsi="Arial"/>
          <w:sz w:val="18"/>
          <w:szCs w:val="18"/>
          <w:color w:val="auto"/>
        </w:rPr>
      </w:pPr>
    </w:p>
    <w:p>
      <w:pPr>
        <w:jc w:val="both"/>
        <w:ind w:right="20" w:firstLine="1304"/>
        <w:spacing w:after="0" w:line="286" w:lineRule="auto"/>
        <w:tabs>
          <w:tab w:leader="none" w:pos="1522" w:val="left"/>
        </w:tabs>
        <w:numPr>
          <w:ilvl w:val="1"/>
          <w:numId w:val="41"/>
        </w:numPr>
        <w:rPr>
          <w:rFonts w:ascii="Arial" w:cs="Arial" w:eastAsia="Arial" w:hAnsi="Arial"/>
          <w:sz w:val="17"/>
          <w:szCs w:val="17"/>
          <w:color w:val="auto"/>
        </w:rPr>
      </w:pPr>
      <w:r>
        <w:rPr>
          <w:rFonts w:ascii="Arial" w:cs="Arial" w:eastAsia="Arial" w:hAnsi="Arial"/>
          <w:sz w:val="17"/>
          <w:szCs w:val="17"/>
          <w:color w:val="auto"/>
        </w:rPr>
        <w:t>Consultant shall require all Consultant’s employees, contractors, or other third-parties performing Services under this Agreement to execute a Confidential Information and Assignment Agreement in a form reasonably acceptable to the Company, and promptly provide a copy of each such executed agreement to the Company. Consultant’s violation of this Section 4 will be considered a material breach under Section 6.B.</w:t>
      </w:r>
    </w:p>
    <w:p>
      <w:pPr>
        <w:spacing w:after="0" w:line="161" w:lineRule="exact"/>
        <w:rPr>
          <w:rFonts w:ascii="Arial" w:cs="Arial" w:eastAsia="Arial" w:hAnsi="Arial"/>
          <w:sz w:val="17"/>
          <w:szCs w:val="17"/>
          <w:color w:val="auto"/>
        </w:rPr>
      </w:pPr>
    </w:p>
    <w:p>
      <w:pPr>
        <w:ind w:left="840" w:hanging="184"/>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Materials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termination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may have in Consultant’s possession or control.</w:t>
      </w:r>
    </w:p>
    <w:p>
      <w:pPr>
        <w:spacing w:after="0" w:line="184" w:lineRule="exact"/>
        <w:rPr>
          <w:sz w:val="20"/>
          <w:szCs w:val="20"/>
          <w:color w:val="auto"/>
        </w:rPr>
      </w:pPr>
    </w:p>
    <w:p>
      <w:pPr>
        <w:ind w:left="840" w:hanging="184"/>
        <w:spacing w:after="0"/>
        <w:tabs>
          <w:tab w:leader="none" w:pos="84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rFonts w:ascii="Arial" w:cs="Arial" w:eastAsia="Arial" w:hAnsi="Arial"/>
          <w:sz w:val="18"/>
          <w:szCs w:val="18"/>
          <w:b w:val="1"/>
          <w:bCs w:val="1"/>
          <w:color w:val="auto"/>
        </w:rPr>
      </w:pPr>
    </w:p>
    <w:p>
      <w:pPr>
        <w:jc w:val="both"/>
        <w:ind w:firstLine="1304"/>
        <w:spacing w:after="0" w:line="293" w:lineRule="auto"/>
        <w:tabs>
          <w:tab w:leader="none" w:pos="1543" w:val="left"/>
        </w:tabs>
        <w:numPr>
          <w:ilvl w:val="2"/>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Term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 commenced providing Services to the Company on or about December 1, 2019 and shall provide the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earlier of (i) one year from the Effective Date, (ii) a Change in Control (as defined in the Company’s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0" w:firstLine="8"/>
        <w:spacing w:after="0" w:line="260" w:lineRule="auto"/>
        <w:tabs>
          <w:tab w:leader="none" w:pos="3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IPO (as defined in the Plan), (iv) a Qualified Financing (as set forth in Exhibit A attached hereto) or (v) such earlier date as the Services are terminated by the Company or Consultant as provided in Section 6.B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4"/>
        <w:spacing w:after="0" w:line="266" w:lineRule="auto"/>
        <w:tabs>
          <w:tab w:leader="none" w:pos="1519" w:val="left"/>
        </w:tabs>
        <w:numPr>
          <w:ilvl w:val="2"/>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terminate this Agreement upon giving Consultant fourteen (14) days prior written notice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pursuant to Section 12.G of this Agreement. The Company may terminate this Agreement immediately and without prior notice if Consultant refuses to or is unable to perform the Services or is in breach of any material provision of this Agreement.</w:t>
      </w:r>
    </w:p>
    <w:p>
      <w:pPr>
        <w:spacing w:after="0" w:line="175" w:lineRule="exact"/>
        <w:rPr>
          <w:rFonts w:ascii="Arial" w:cs="Arial" w:eastAsia="Arial" w:hAnsi="Arial"/>
          <w:sz w:val="18"/>
          <w:szCs w:val="18"/>
          <w:color w:val="auto"/>
        </w:rPr>
      </w:pPr>
    </w:p>
    <w:p>
      <w:pPr>
        <w:ind w:left="1520" w:hanging="216"/>
        <w:spacing w:after="0"/>
        <w:tabs>
          <w:tab w:leader="none" w:pos="1520" w:val="left"/>
        </w:tabs>
        <w:numPr>
          <w:ilvl w:val="2"/>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Survival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any termination, all rights and duties of the Company and Consultant toward each other shall cease except:</w:t>
      </w:r>
    </w:p>
    <w:p>
      <w:pPr>
        <w:spacing w:after="0" w:line="240" w:lineRule="exact"/>
        <w:rPr>
          <w:rFonts w:ascii="Arial" w:cs="Arial" w:eastAsia="Arial" w:hAnsi="Arial"/>
          <w:sz w:val="17"/>
          <w:szCs w:val="17"/>
          <w:color w:val="auto"/>
        </w:rPr>
      </w:pPr>
    </w:p>
    <w:p>
      <w:pPr>
        <w:jc w:val="both"/>
        <w:ind w:firstLine="1952"/>
        <w:spacing w:after="0" w:line="263" w:lineRule="auto"/>
        <w:tabs>
          <w:tab w:leader="none" w:pos="2209" w:val="left"/>
        </w:tabs>
        <w:numPr>
          <w:ilvl w:val="3"/>
          <w:numId w:val="43"/>
        </w:numPr>
        <w:rPr>
          <w:rFonts w:ascii="Arial" w:cs="Arial" w:eastAsia="Arial" w:hAnsi="Arial"/>
          <w:sz w:val="18"/>
          <w:szCs w:val="18"/>
          <w:color w:val="auto"/>
        </w:rPr>
      </w:pPr>
      <w:r>
        <w:rPr>
          <w:rFonts w:ascii="Arial" w:cs="Arial" w:eastAsia="Arial" w:hAnsi="Arial"/>
          <w:sz w:val="18"/>
          <w:szCs w:val="18"/>
          <w:color w:val="auto"/>
        </w:rPr>
        <w:t>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and</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218" w:val="left"/>
        </w:tabs>
        <w:numPr>
          <w:ilvl w:val="3"/>
          <w:numId w:val="43"/>
        </w:numPr>
        <w:rPr>
          <w:rFonts w:ascii="Arial" w:cs="Arial" w:eastAsia="Arial" w:hAnsi="Arial"/>
          <w:sz w:val="18"/>
          <w:szCs w:val="18"/>
          <w:color w:val="auto"/>
        </w:rPr>
      </w:pPr>
      <w:r>
        <w:rPr>
          <w:rFonts w:ascii="Arial" w:cs="Arial" w:eastAsia="Arial" w:hAnsi="Arial"/>
          <w:sz w:val="18"/>
          <w:szCs w:val="18"/>
          <w:color w:val="auto"/>
        </w:rPr>
        <w:t>Section 2 (Confidentiality), Section 3 (Ownership), Section 4.B (Conflicting Obligations), Section 5 (Return of Company Materials), Section 6 (Term and Termination), Section 7 (Independent Contractor; Benefits), Section 8 (Indemnification), Section 9 (Nonsolicitation), Section 10 (Limitation of Liability), Section 11 (Arbitration and Equitable Relief), and Section 12 (Miscellaneous) will survive termination or expiration of this Agreement in accordance with their terms.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4" w:name="page115"/>
    <w:bookmarkEnd w:id="114"/>
    <w:p>
      <w:pPr>
        <w:ind w:left="840" w:hanging="184"/>
        <w:spacing w:after="0"/>
        <w:tabs>
          <w:tab w:leader="none" w:pos="8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Benefits</w:t>
      </w:r>
    </w:p>
    <w:p>
      <w:pPr>
        <w:spacing w:after="0" w:line="229" w:lineRule="exact"/>
        <w:rPr>
          <w:rFonts w:ascii="Arial" w:cs="Arial" w:eastAsia="Arial" w:hAnsi="Arial"/>
          <w:sz w:val="18"/>
          <w:szCs w:val="18"/>
          <w:b w:val="1"/>
          <w:bCs w:val="1"/>
          <w:color w:val="auto"/>
        </w:rPr>
      </w:pPr>
    </w:p>
    <w:p>
      <w:pPr>
        <w:jc w:val="both"/>
        <w:ind w:firstLine="1304"/>
        <w:spacing w:after="0" w:line="254" w:lineRule="auto"/>
        <w:tabs>
          <w:tab w:leader="none" w:pos="1543"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Contractor. </w:t>
      </w:r>
      <w:r>
        <w:rPr>
          <w:rFonts w:ascii="Arial" w:cs="Arial" w:eastAsia="Arial" w:hAnsi="Arial"/>
          <w:sz w:val="18"/>
          <w:szCs w:val="18"/>
          <w:color w:val="auto"/>
        </w:rPr>
        <w:t>It is the express intention of the Company and Consultant that Consultant perform the Services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90" w:lineRule="exact"/>
        <w:rPr>
          <w:rFonts w:ascii="Arial" w:cs="Arial" w:eastAsia="Arial" w:hAnsi="Arial"/>
          <w:sz w:val="18"/>
          <w:szCs w:val="18"/>
          <w:color w:val="auto"/>
        </w:rPr>
      </w:pPr>
    </w:p>
    <w:p>
      <w:pPr>
        <w:jc w:val="both"/>
        <w:ind w:firstLine="1304"/>
        <w:spacing w:after="0" w:line="258" w:lineRule="auto"/>
        <w:tabs>
          <w:tab w:leader="none" w:pos="1506"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Consultant agree that Consultant will receive no Company-sponsored benefits from the Company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Consultant agrees to indemnify and hold harmless the Company and its affiliates and their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or Consultant’s assistants, employees, contractors or agents, (ii) a determination by a court or agency that the Consultant is not an independent contractor, (iii) any breach by the Consultant or Consultant’s assistants, employees, contractors or agents of any of the covenants contained in this Agreement and corresponding Confidential Information and Invention Assignment Agreement, (iv) any failure of Consultant to perform the Services in accordance with all applicable laws, rules and regulations, or (v) any violation or claimed violation of a third party’s rights resulting in whole, or in part, from the Company’s use of the Inventions or other deliverables of Consultant under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 Nonsolicitation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 the fullest extent permitted under applicable law, from the date of this Agreement until twelve (12) months after the termination of this Agreement for any reason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Section 9 shall affect Consultant’s continuing obligations under this Agreement during and after this twelve</w:t>
      </w:r>
    </w:p>
    <w:p>
      <w:pPr>
        <w:spacing w:after="0" w:line="1" w:lineRule="exact"/>
        <w:rPr>
          <w:sz w:val="20"/>
          <w:szCs w:val="20"/>
          <w:color w:val="auto"/>
        </w:rPr>
      </w:pPr>
    </w:p>
    <w:p>
      <w:pPr>
        <w:ind w:left="5520" w:right="4720" w:hanging="5512"/>
        <w:spacing w:after="0" w:line="555" w:lineRule="auto"/>
        <w:tabs>
          <w:tab w:leader="none" w:pos="3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month period, including, without limitation, Consultant’s obligations under Section 2.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b w:val="1"/>
          <w:bCs w:val="1"/>
          <w:color w:val="auto"/>
        </w:rPr>
        <w:t>10. Limitation of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 EVENT SHALL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91" w:lineRule="exact"/>
        <w:rPr>
          <w:sz w:val="20"/>
          <w:szCs w:val="20"/>
          <w:color w:val="auto"/>
        </w:rPr>
      </w:pPr>
    </w:p>
    <w:p>
      <w:pPr>
        <w:ind w:left="900" w:hanging="244"/>
        <w:spacing w:after="0"/>
        <w:tabs>
          <w:tab w:leader="none" w:pos="90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and Equitable Relief</w:t>
      </w:r>
    </w:p>
    <w:p>
      <w:pPr>
        <w:spacing w:after="0" w:line="236" w:lineRule="exact"/>
        <w:rPr>
          <w:rFonts w:ascii="Arial" w:cs="Arial" w:eastAsia="Arial" w:hAnsi="Arial"/>
          <w:sz w:val="17"/>
          <w:szCs w:val="17"/>
          <w:b w:val="1"/>
          <w:bCs w:val="1"/>
          <w:color w:val="auto"/>
        </w:rPr>
      </w:pPr>
    </w:p>
    <w:p>
      <w:pPr>
        <w:jc w:val="both"/>
        <w:ind w:firstLine="1296"/>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Arbitration</w:t>
      </w:r>
      <w:r>
        <w:rPr>
          <w:rFonts w:ascii="Arial" w:cs="Arial" w:eastAsia="Arial" w:hAnsi="Arial"/>
          <w:sz w:val="17"/>
          <w:szCs w:val="17"/>
          <w:b w:val="1"/>
          <w:bCs w:val="1"/>
          <w:color w:val="auto"/>
        </w:rPr>
        <w:t>.</w:t>
      </w:r>
      <w:r>
        <w:rPr>
          <w:rFonts w:ascii="Arial" w:cs="Arial" w:eastAsia="Arial" w:hAnsi="Arial"/>
          <w:sz w:val="17"/>
          <w:szCs w:val="17"/>
          <w:color w:val="auto"/>
        </w:rPr>
        <w:t xml:space="preserve"> IN CONSIDERATION OF CONSULTANT’S CONSULTING RELATIONSHIP WITH THE COMPANY, ITS PROMISE TO ARBITRATE ALL DISPUTES RELATED TO CONSULTANT’S CONSULTING RELATIONSHIP WITH THE COMPANY AND CONSULTANT’S RECEIPT OF THE COMPENSATION AND OTHER BENEFITS PAID TO CONSULTANT BY COMPANY, AT PRESENT AND IN THE FUTURE, CONSULTANT AGREES THAT ANY AND ALL CONTROVERSIES, CLAIMS, OR DISPUTES WITH ANYONE (INCLUDING COMPANY AND ANY EMPLOYEE, OFFICER, DIRECTOR, SHAREHOLDER OR BENEFIT PLAN OF THE COMPANY IN THEIR CAPACITY AS SUCH OR OTHERWISE), ARISING OUT OF, RELATING TO, OR RESULTING FROM CONSULTANT’S CONSULTING OR OTHER RELATIONSHIP WITH THE COMPANY OR THE TERMINATION OF CONSULTANT’S CONSULTING OR OTHER RELATIONSHIP WITH THE COMPANY, INCLUDING ANY BREACH OF THIS AGREEMENT, SHALL BE SUBJECT TO BINDING ARBITRATION PURSUANT TO THE FEDERAL ARBITRATION ACT (THE “FAA”). THE FAA’S SUBSTANTIVE AND PROCEDURAL RULES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 CONSULTANT FURTHER AGREES THAT, TO THE FULLEST EXTENT PERMITTED BY LAW, CONSULTANT MAY BRING ANY ARBITRATION PROCEEDING ONLY IN CONSULTANT’S INDIVIDUAL CAPACITY, AND NOT AS A PLAINTIFF, REPRESENTATIVE, OR CLASS MEMBER IN ANY PURPORTED CLASS, COLLECTIVE, OR REPRESENTATIVE LAWSUIT OR PROCEEDING. CONSULTANT MAY, HOWEVER, BRING A PROCEEDING AS A PRIVATE ATTORNEY GENERAL AS PERMITTED BY LAW.</w:t>
      </w:r>
    </w:p>
    <w:p>
      <w:pPr>
        <w:spacing w:after="0" w:line="8" w:lineRule="exact"/>
        <w:rPr>
          <w:rFonts w:ascii="Arial" w:cs="Arial" w:eastAsia="Arial" w:hAnsi="Arial"/>
          <w:sz w:val="17"/>
          <w:szCs w:val="17"/>
          <w:b w:val="1"/>
          <w:bCs w:val="1"/>
          <w:color w:val="auto"/>
        </w:rPr>
      </w:pPr>
    </w:p>
    <w:p>
      <w:pPr>
        <w:jc w:val="both"/>
        <w:spacing w:after="0" w:line="251" w:lineRule="auto"/>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TO THE FULLEST EXTENT PERMITTED BY LAW, CONSULTANT AGREES TO ARBITRATE ANY AND ALL COMMON LAW AND/OR STATUTORY CLAIMS UNDER LOCAL, STATE, OR FEDERAL LAW, INCLUDING, BUT NOT LIMITED TO, CLAIMS UNDER THE CALIFORNIA LABOR CODE, CLAIMS RELATING TO EMPLOYMENT OR INDEPENDENT CONTRACTOR STATUS, CLASSIFICATION, AND RELATIONSHIP WITH THE COMPANY, AND CLAIMS OF BREACH OF CONTRACT, EXCEPT AS PROHIBITED BY LAW. CONSULTANT ALSO AGREES TO ARBITRATE ANY AND ALL DISPUTES ARISING OUT OF OR RELATING TO THE INTERPRETATION OR APPLICATION OF THIS AGREEMENT TO ARBITRATE, BUT NOT DISPUTES ABOUT THE ENFORCEABILITY, REVOCABILITY OR VALIDITY OF THIS AGREEMENT TO ARBITRATE OR THE CLASS, COLLECTIVE AND REPRESENTATIVE PROCEEDING WAIVER HEREIN. WITH RESPECT TO ALL SUCH CLAIMS AND DISPUTES THAT CONSULTANT AGREES TO ARBITRATE, CONSULTANT HEREBY EXPRESSLY AGREES TO WAIVE, AND DOES WAIVE, ANY RIGHT TO A TRIAL BY JURY. </w:t>
      </w:r>
      <w:r>
        <w:rPr>
          <w:rFonts w:ascii="Arial" w:cs="Arial" w:eastAsia="Arial" w:hAnsi="Arial"/>
          <w:sz w:val="18"/>
          <w:szCs w:val="18"/>
          <w:color w:val="auto"/>
        </w:rPr>
        <w:t>CONSULTANT FURTHER UNDERSTANDS THAT THIS AGREEMENT TO ARBITRATE ALSO APPLIES TO ANY DISPUTES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HAVE WITH CONSULTANT. CONSULTANT UNDERSTANDS THAT NOTHING IN THIS AGREEMENT REQUIRES CONSULTANT TO ARBITRATE CLAIMS THAT CANNOT BE ARBITRATED UNDER APPLICABLE LAW, SUCH AS CLAIMS UNDER THE SARBANES-OXLEY ACT.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jc w:val="both"/>
        <w:ind w:firstLine="1296"/>
        <w:spacing w:after="0" w:line="25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Procedure</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THAT ANY ARBITRATION WILL BE ADMINISTERED BY JAMS PURSUANT TO ITS 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xml:space="preserve">”), WHICH ARE AVAILABLE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 IF THE JAMS RULES CANNOT BE ENFORCED AS TO THE ARBITRATION, THEN THE PARTIES AGREE THAT THEY WILL ARBITRATE THIS DISPUTE UNDER THE CALIFORNIA ARBITRATION ACT (CALIFORNIA CODE CIV. PROC. § 1280 ET. SEQ (THE “CAA”), PROVIDED, HOWEVER, THAT NOTHING IN THIS PARAGRAPH WILL AFFECT THE APPLICABILITY OF THE FAA TO THE ENFORCEMENT OF THIS ARBITRATION AGREEMENT. CONSULTANT AGREES THAT THE USE OF THE JAMS RULES DOES NOT CHANGE CONSULTANT’S CLASSIFICATION TO THAT OF AN EMPLOYEE. TO THE CONTRARY, CONSULTANT REAFFIRMS THAT CONSULTANT IS AN INDEPENDENT CONTRACTOR. CONSULTANT AGREES THAT THE ARBITRATOR SHALL HAVE THE POWER TO DECIDE ANY MOTIONS BROUGHT BY ANY PARTY TO THE ARBITRATION, INCLUDING MOTIONS FOR SUMMARY JUDGMENT AND/OR ADJUDICATION AND MOTIONS TO DISMISS AND DEMURRERS APPLYING THE STANDARDS SET FORTH UNDER THE CALIFORNIA CODE OF CIVIL PROCEDURE. CONSULTANT AGREES THAT THE ARBITRATOR SHALL ISSUE A WRITTEN DECISION ON THE MERITS. CONSULTANT ALSO AGREES THAT THE ARBITRATOR SHALL HAVE THE POWER TO AWARD ANY REMEDIES AVAILABLE UNDER APPLICABLE LAW, AND THAT THE ARBITRATOR SHALL AWARD ATTORNEYS’ FEES AND COSTS TO THE PREVAILING PARTY, WHERE PERMITTED BY APPLICABLE LAW. CONSULTANT AGREES THAT THE DECREE OR AWARD RENDERED BY THE ARBITRATOR MAY BE ENTERED AS A FINAL AND BINDING JUDGMENT IN ANY COURT HAVING JURISDICTION THEREOF. CONSULTANT AGREES THAT THE ARBITRATOR SHALL ADMINISTER AND CONDUCT ANY ARBITRATION IN ACCORDANCE WITH CALIFORNIA LAW, AND THAT THE ARBITRATOR SHALL APPLY SUBSTANTIVE AND PROCEDURAL CALIFORNIA LAW TO ANY DISPUTE OR CLAIM, WITHOUT REFERENCE TO RULES OF CONFLICT OF LAW. CONSULTANT FURTHER AGREES THAT ANY ARBITRATION UNDER THIS AGREEMENT SHALL BE CONDUCTED IN SAN DIEGO COUNTY, CALIFORNIA.</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Remedy</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PROVIDED BY THE CCP ACT AND THIS AGREEMENT, ARBITRATION SHALL BE THE SOLE, EXCLUSIVE, AND FINAL REMEDY FOR ANY DISPUTE BETWEEN CONSULTANT AND THE COMPANY. ACCORDINGLY, EXCEPT AS PROVIDED FOR BY THE CCP ACT AND THIS AGREEMENT, NEITHER CONSULTANT NOR THE COMPANY WILL BE PERMITTED TO PURSUE COURT ACTION REGARDING CLAIMS THAT ARE SUBJECT TO ARBITRATION.</w:t>
      </w:r>
    </w:p>
    <w:p>
      <w:pPr>
        <w:spacing w:after="0" w:line="18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Availability of Injunctive Relief</w:t>
      </w:r>
      <w:r>
        <w:rPr>
          <w:rFonts w:ascii="Arial" w:cs="Arial" w:eastAsia="Arial" w:hAnsi="Arial"/>
          <w:sz w:val="18"/>
          <w:szCs w:val="18"/>
          <w:b w:val="1"/>
          <w:bCs w:val="1"/>
          <w:color w:val="auto"/>
        </w:rPr>
        <w:t>.</w:t>
      </w:r>
      <w:r>
        <w:rPr>
          <w:rFonts w:ascii="Arial" w:cs="Arial" w:eastAsia="Arial" w:hAnsi="Arial"/>
          <w:sz w:val="18"/>
          <w:szCs w:val="18"/>
          <w:color w:val="auto"/>
        </w:rPr>
        <w:t xml:space="preserve"> IN ACCORDANCE WITH RULE 1281.8 OF THE CALIFORNIA CODE OF CIVIL PROCEDURE, THE PARTIES AGREE THAT ANY PARTY MAY ALSO PETITION THE COURT FOR INJUNCTIVE RELIEF WHERE EITHER PARTY ALLEGES OR CLAIMS A VIOLATION OF ANY AGREEMENT REGARDING INTELLECTUAL PROPERTY, CONFIDENTIAL INFORMATION OR NONINTERFERENCE. IN THE EVENT EITHER PARTY SEEKS INJUNCTIVE RELIEF, THE PREVAILING PARTY SHALL BE ENTITLED TO RECOVER REASONABLE COSTS AND ATTORNEYS’ FEES.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both"/>
        <w:ind w:firstLine="1296"/>
        <w:spacing w:after="0" w:line="25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Administrative Relief.</w:t>
      </w:r>
      <w:r>
        <w:rPr>
          <w:rFonts w:ascii="Arial" w:cs="Arial" w:eastAsia="Arial" w:hAnsi="Arial"/>
          <w:sz w:val="18"/>
          <w:szCs w:val="18"/>
          <w:color w:val="auto"/>
        </w:rPr>
        <w:t xml:space="preserve"> CONSULTANT UNDERSTANDS THAT EXCEPT AS PERMITTED BY LAW THIS AGREEMENT DOES NOT PROHIBIT CONSULTANT FROM PURSUING CERTAIN ADMINISTRATIVE CLAIMS WITH LOCAL, STATE OR FEDERAL ADMINISTRATIVE BODIES OR GOVERNMENT AGENCIES SUCH AS THE DEPARTMENT OF FAIR EMPLOYMENT AND HOUSING, THE EQUAL EMPLOYMENT OPPORTUNITY COMMISSION, THE NATIONAL LABOR RELATIONS BOARD, OR THE WORKERS’ COMPENSATION BOARD. THIS AGREEMENT DOES, HOWEVER, PRECLUDE CONSULTANT FROM BRINGING ANY ALLEGED WAGE CLAIMS WITH THE DEPARTMENT OF LABOR STANDARDS ENFORCEMENT. LIKEWISE, THIS AGREEMENT DOES PRECLUDE CONSULTANT FROM PURSUING COURT ACTION REGARDING ANY ADMINISTRATIVE CLAIMS, EXCEPT AS PERMITTED BY LAW.</w:t>
      </w:r>
    </w:p>
    <w:p>
      <w:pPr>
        <w:spacing w:after="0" w:line="19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Voluntary Nature of Agreement.</w:t>
      </w:r>
      <w:r>
        <w:rPr>
          <w:rFonts w:ascii="Arial" w:cs="Arial" w:eastAsia="Arial" w:hAnsi="Arial"/>
          <w:sz w:val="18"/>
          <w:szCs w:val="18"/>
          <w:color w:val="auto"/>
        </w:rPr>
        <w:t xml:space="preserve"> CONSULTANT ACKNOWLEDGES AND AGREES THAT CONSULTANT IS EXECUTING THIS AGREEMENT VOLUNTARILY AND WITHOUT ANY DURESS OR UNDUE INFLUENCE BY THE COMPANY OR ANYONE ELSE. CONSULTANT FURTHER ACKNOWLEDGES AND AGREES THAT CONSULTANT HAS CAREFULLY READ THIS AGREEMENT AND THAT CONSULTANT HAS ASKED ANY QUESTIONS NEEDED FOR CONSULTANT TO UNDERSTAND THE TERMS, CONSEQUENCES AND BINDING EFFECT OF THIS AGREEMENT AND FULLY UNDERSTAND IT, INCLUDING THAT </w:t>
      </w:r>
      <w:r>
        <w:rPr>
          <w:rFonts w:ascii="Arial" w:cs="Arial" w:eastAsia="Arial" w:hAnsi="Arial"/>
          <w:sz w:val="18"/>
          <w:szCs w:val="18"/>
          <w:b w:val="1"/>
          <w:bCs w:val="1"/>
          <w:i w:val="1"/>
          <w:iCs w:val="1"/>
          <w:color w:val="auto"/>
        </w:rPr>
        <w:t>CONSULTANT IS WAIVING CONSULTANT’S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 TO A JURY TRIAL</w:t>
      </w:r>
      <w:r>
        <w:rPr>
          <w:rFonts w:ascii="Arial" w:cs="Arial" w:eastAsia="Arial" w:hAnsi="Arial"/>
          <w:sz w:val="18"/>
          <w:szCs w:val="18"/>
          <w:color w:val="auto"/>
        </w:rPr>
        <w:t>. FINALLY, CONSULTANT AGREES THAT CONSULTANT HAS BEEN PROVIDED AN OPPORTUNITY TO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ADVICE OF AN ATTORNEY OF CONSULTANT’S CHOICE BEFORE SIGNING THIS AGREEMENT.</w:t>
      </w:r>
    </w:p>
    <w:p>
      <w:pPr>
        <w:spacing w:after="0" w:line="191" w:lineRule="exact"/>
        <w:rPr>
          <w:sz w:val="20"/>
          <w:szCs w:val="20"/>
          <w:color w:val="auto"/>
        </w:rPr>
      </w:pPr>
    </w:p>
    <w:p>
      <w:pPr>
        <w:ind w:left="920" w:hanging="264"/>
        <w:spacing w:after="0"/>
        <w:tabs>
          <w:tab w:leader="none" w:pos="9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jc w:val="both"/>
        <w:ind w:firstLine="1304"/>
        <w:spacing w:after="0" w:line="289" w:lineRule="auto"/>
        <w:tabs>
          <w:tab w:leader="none" w:pos="1516" w:val="left"/>
        </w:tabs>
        <w:numPr>
          <w:ilvl w:val="1"/>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 Consent to Personal Jurisdiction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shall be governed by the laws of the State of California,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 to the conflicts of law provisions of any jurisdiction. To the extent that any lawsuit is permitted under this Agreement, the Parties hereby expressly consent to the personal and exclusive jurisdiction and venue of the state and federal courts located in California.</w:t>
      </w:r>
    </w:p>
    <w:p>
      <w:pPr>
        <w:spacing w:after="0" w:line="157" w:lineRule="exact"/>
        <w:rPr>
          <w:rFonts w:ascii="Arial" w:cs="Arial" w:eastAsia="Arial" w:hAnsi="Arial"/>
          <w:sz w:val="17"/>
          <w:szCs w:val="17"/>
          <w:color w:val="auto"/>
        </w:rPr>
      </w:pPr>
    </w:p>
    <w:p>
      <w:pPr>
        <w:jc w:val="both"/>
        <w:ind w:firstLine="1304"/>
        <w:spacing w:after="0" w:line="256" w:lineRule="auto"/>
        <w:tabs>
          <w:tab w:leader="none" w:pos="1560" w:val="left"/>
        </w:tabs>
        <w:numPr>
          <w:ilvl w:val="1"/>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Assignability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will be binding upon Consultant’s heirs, executors, assigns, administrators, and other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87" w:lineRule="exact"/>
        <w:rPr>
          <w:rFonts w:ascii="Arial" w:cs="Arial" w:eastAsia="Arial" w:hAnsi="Arial"/>
          <w:sz w:val="18"/>
          <w:szCs w:val="18"/>
          <w:color w:val="auto"/>
        </w:rPr>
      </w:pPr>
    </w:p>
    <w:p>
      <w:pPr>
        <w:jc w:val="both"/>
        <w:ind w:firstLine="1304"/>
        <w:spacing w:after="0" w:line="258" w:lineRule="auto"/>
        <w:tabs>
          <w:tab w:leader="none" w:pos="1506" w:val="left"/>
        </w:tabs>
        <w:numPr>
          <w:ilvl w:val="1"/>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between the Parties with respect to the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8" w:name="page119"/>
    <w:bookmarkEnd w:id="118"/>
    <w:p>
      <w:pPr>
        <w:ind w:left="130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Headings</w:t>
      </w:r>
      <w:r>
        <w:rPr>
          <w:rFonts w:ascii="Arial" w:cs="Arial" w:eastAsia="Arial" w:hAnsi="Arial"/>
          <w:sz w:val="16"/>
          <w:szCs w:val="16"/>
          <w:b w:val="1"/>
          <w:bCs w:val="1"/>
          <w:color w:val="auto"/>
        </w:rPr>
        <w:t>.</w:t>
      </w:r>
      <w:r>
        <w:rPr>
          <w:rFonts w:ascii="Arial" w:cs="Arial" w:eastAsia="Arial" w:hAnsi="Arial"/>
          <w:sz w:val="16"/>
          <w:szCs w:val="16"/>
          <w:color w:val="auto"/>
        </w:rPr>
        <w:t xml:space="preserve"> Headings are used in this Agreement for reference only and shall not be considered when interpreting this Agreement.</w:t>
      </w:r>
    </w:p>
    <w:p>
      <w:pPr>
        <w:spacing w:after="0" w:line="24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8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Modification, Waiver.</w:t>
      </w:r>
      <w:r>
        <w:rPr>
          <w:rFonts w:ascii="Arial" w:cs="Arial" w:eastAsia="Arial" w:hAnsi="Arial"/>
          <w:sz w:val="18"/>
          <w:szCs w:val="18"/>
          <w:color w:val="auto"/>
        </w:rPr>
        <w:t xml:space="preserve"> 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spacing w:after="0" w:line="18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i w:val="1"/>
          <w:iCs w:val="1"/>
          <w:color w:val="auto"/>
        </w:rPr>
        <w:t>Notices</w:t>
      </w:r>
      <w:r>
        <w:rPr>
          <w:rFonts w:ascii="Arial" w:cs="Arial" w:eastAsia="Arial" w:hAnsi="Arial"/>
          <w:sz w:val="16"/>
          <w:szCs w:val="16"/>
          <w:b w:val="1"/>
          <w:bCs w:val="1"/>
          <w:color w:val="auto"/>
        </w:rPr>
        <w:t>.</w:t>
      </w:r>
      <w:r>
        <w:rPr>
          <w:rFonts w:ascii="Arial" w:cs="Arial" w:eastAsia="Arial" w:hAnsi="Arial"/>
          <w:sz w:val="16"/>
          <w:szCs w:val="16"/>
          <w:color w:val="auto"/>
        </w:rPr>
        <w:t xml:space="preserve"> Any notice or other communication required or permitted by this Agreement to be given to a Party shall be in writing and 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12.G.</w:t>
      </w:r>
    </w:p>
    <w:p>
      <w:pPr>
        <w:spacing w:after="0" w:line="15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If to the Company, to:</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Stowe Pharmaceuticals, Inc.</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20" w:firstLine="1952"/>
        <w:spacing w:after="0" w:line="277" w:lineRule="auto"/>
        <w:tabs>
          <w:tab w:leader="none" w:pos="2209"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to Consultant, to the address for notice on the signature page to this Agreement or, if no such address is provided, to the last address of Consultant provided by Consultant to the Company.</w:t>
      </w:r>
    </w:p>
    <w:p>
      <w:pPr>
        <w:spacing w:after="0" w:line="166" w:lineRule="exact"/>
        <w:rPr>
          <w:rFonts w:ascii="Arial" w:cs="Arial" w:eastAsia="Arial" w:hAnsi="Arial"/>
          <w:sz w:val="18"/>
          <w:szCs w:val="18"/>
          <w:color w:val="auto"/>
        </w:rPr>
      </w:pPr>
    </w:p>
    <w:p>
      <w:pPr>
        <w:jc w:val="both"/>
        <w:ind w:firstLine="1304"/>
        <w:spacing w:after="0" w:line="266" w:lineRule="auto"/>
        <w:tabs>
          <w:tab w:leader="none" w:pos="1516"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Attorneys’ Fees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any court action at law or equity that is brought by one of the Parties to this Agreement to enforce or interpret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this Agreement, the prevailing Party will be entitled to reasonable attorneys’ fees, in addition to any other relief to which that Party may be entitled.</w:t>
      </w:r>
    </w:p>
    <w:p>
      <w:pPr>
        <w:spacing w:after="0" w:line="179" w:lineRule="exact"/>
        <w:rPr>
          <w:rFonts w:ascii="Arial" w:cs="Arial" w:eastAsia="Arial" w:hAnsi="Arial"/>
          <w:sz w:val="18"/>
          <w:szCs w:val="18"/>
          <w:color w:val="auto"/>
        </w:rPr>
      </w:pPr>
    </w:p>
    <w:p>
      <w:pPr>
        <w:ind w:right="20" w:firstLine="1304"/>
        <w:spacing w:after="0" w:line="277" w:lineRule="auto"/>
        <w:tabs>
          <w:tab w:leader="none" w:pos="1446"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Signatures. </w:t>
      </w:r>
      <w:r>
        <w:rPr>
          <w:rFonts w:ascii="Arial" w:cs="Arial" w:eastAsia="Arial" w:hAnsi="Arial"/>
          <w:sz w:val="18"/>
          <w:szCs w:val="18"/>
          <w:color w:val="auto"/>
        </w:rPr>
        <w:t>This Agreement may be signed in two counterparts, each of which shall be deemed an original, with the same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effectiveness as though executed in a single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9" w:name="page120"/>
    <w:bookmarkEnd w:id="119"/>
    <w:p>
      <w:pPr>
        <w:jc w:val="both"/>
        <w:ind w:firstLine="1296"/>
        <w:spacing w:after="0" w:line="286" w:lineRule="auto"/>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b w:val="1"/>
          <w:bCs w:val="1"/>
          <w:i w:val="1"/>
          <w:iCs w:val="1"/>
          <w:color w:val="auto"/>
        </w:rPr>
        <w:t>Applicability to Past Activities.</w:t>
      </w:r>
      <w:r>
        <w:rPr>
          <w:rFonts w:ascii="Arial" w:cs="Arial" w:eastAsia="Arial" w:hAnsi="Arial"/>
          <w:sz w:val="16"/>
          <w:szCs w:val="16"/>
          <w:color w:val="auto"/>
        </w:rPr>
        <w:t xml:space="preserve"> Consultant agrees that if and to the extent that Consultant provided any services or made efforts on behalf of or for the benefit of Company, or related to the current or prospective business of Company in anticipation of Consultant’s involvement with the Company, that would have been “Services” if performed during the term of this Agreement (the “</w:t>
      </w:r>
      <w:r>
        <w:rPr>
          <w:rFonts w:ascii="Arial" w:cs="Arial" w:eastAsia="Arial" w:hAnsi="Arial"/>
          <w:sz w:val="16"/>
          <w:szCs w:val="16"/>
          <w:b w:val="1"/>
          <w:bCs w:val="1"/>
          <w:i w:val="1"/>
          <w:iCs w:val="1"/>
          <w:color w:val="auto"/>
        </w:rPr>
        <w:t>Prior Consulting Period</w:t>
      </w:r>
      <w:r>
        <w:rPr>
          <w:rFonts w:ascii="Arial" w:cs="Arial" w:eastAsia="Arial" w:hAnsi="Arial"/>
          <w:sz w:val="16"/>
          <w:szCs w:val="16"/>
          <w:color w:val="auto"/>
        </w:rPr>
        <w:t>”) and to the extent that during the Prior Consulting Period: (i) Consultant received access to any information from or on behalf of Company that would have been “Confidential Information” if Consultant received access to such information during the term of this Agreement; or (ii) Consultant (a) conceived, created, authored, invented, developed or reduced to practice any item (including any intellectual property rights with respect thereto) on behalf of or for the benefit of Company, or related to the current or prospective business of Company in anticipation of Consultant’s involvement with Company, that would have been an Invention if conceived, created, authored, invented, developed or reduced to practice during the term of this Agreement; or (b) incorporated into any such item any pre-existing invention, improvement, development, concept, discovery or other proprietary information that would have been a Prior Invention if incorporated into such item during the term of this Agreement; 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Consultant further acknowledges that Consultant has been fully compensated for all services provided during any such Prior Consulting Period.</w:t>
      </w:r>
    </w:p>
    <w:p>
      <w:pPr>
        <w:spacing w:after="0" w:line="17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i w:val="1"/>
          <w:iCs w:val="1"/>
          <w:color w:val="auto"/>
        </w:rPr>
        <w:t>Protected Activity Not Prohibited.</w:t>
      </w:r>
      <w:r>
        <w:rPr>
          <w:rFonts w:ascii="Arial" w:cs="Arial" w:eastAsia="Arial" w:hAnsi="Arial"/>
          <w:sz w:val="16"/>
          <w:szCs w:val="16"/>
          <w:color w:val="auto"/>
        </w:rPr>
        <w:t xml:space="preserve"> Consultant understands that nothing in this Agreement shall in any way limit or prohibit Consultant from engaging in any Protected Activity. For purposes of this Agreement,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 w:cs="Arial" w:eastAsia="Arial" w:hAnsi="Arial"/>
          <w:sz w:val="16"/>
          <w:szCs w:val="16"/>
          <w:b w:val="1"/>
          <w:bCs w:val="1"/>
          <w:i w:val="1"/>
          <w:iCs w:val="1"/>
          <w:color w:val="auto"/>
        </w:rPr>
        <w:t>Government Agencies</w:t>
      </w:r>
      <w:r>
        <w:rPr>
          <w:rFonts w:ascii="Arial" w:cs="Arial" w:eastAsia="Arial" w:hAnsi="Arial"/>
          <w:sz w:val="16"/>
          <w:szCs w:val="16"/>
          <w:color w:val="auto"/>
        </w:rPr>
        <w:t>”). Consultant understands that in connection with such Protected Activity, Consultant is permitted to disclose documents or other information as permitted by law, and without giving notice to, or receiving authorization from, the Company. Notwithstanding the foregoing, Consultant agrees to take all reasonable precautions to prevent any unauthorized use or disclosure of any information that may constitute Company confidential information to any parties other than the Government Agencies. Consultant further understands that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xml:space="preserve">” does not include the disclosure of any Company attorney-client privileged communications.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6"/>
          <w:szCs w:val="16"/>
          <w:i w:val="1"/>
          <w:iCs w:val="1"/>
          <w:color w:val="auto"/>
        </w:rPr>
        <w:t>solely</w:t>
      </w:r>
      <w:r>
        <w:rPr>
          <w:rFonts w:ascii="Arial" w:cs="Arial" w:eastAsia="Arial" w:hAnsi="Arial"/>
          <w:sz w:val="16"/>
          <w:szCs w:val="16"/>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0" w:name="page121"/>
    <w:bookmarkEnd w:id="120"/>
    <w:p>
      <w:pPr>
        <w:ind w:left="660"/>
        <w:spacing w:after="0"/>
        <w:rPr>
          <w:sz w:val="20"/>
          <w:szCs w:val="20"/>
          <w:color w:val="auto"/>
        </w:rPr>
      </w:pPr>
      <w:r>
        <w:rPr>
          <w:rFonts w:ascii="Arial" w:cs="Arial" w:eastAsia="Arial" w:hAnsi="Arial"/>
          <w:sz w:val="16"/>
          <w:szCs w:val="16"/>
          <w:color w:val="auto"/>
        </w:rPr>
        <w:t>IN WITNESS WHEREOF, the Parties hereto have executed this Consulting Agreement as of the date first written above.</w:t>
      </w:r>
    </w:p>
    <w:p>
      <w:pPr>
        <w:spacing w:after="0" w:line="244"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CONSULTANT</w:t>
      </w:r>
      <w:r>
        <w:rPr>
          <w:sz w:val="20"/>
          <w:szCs w:val="20"/>
          <w:color w:val="auto"/>
        </w:rPr>
        <w:tab/>
      </w:r>
      <w:r>
        <w:rPr>
          <w:rFonts w:ascii="Arial" w:cs="Arial" w:eastAsia="Arial" w:hAnsi="Arial"/>
          <w:sz w:val="18"/>
          <w:szCs w:val="18"/>
          <w:b w:val="1"/>
          <w:bCs w:val="1"/>
          <w:color w:val="auto"/>
        </w:rPr>
        <w:t>Stowe Pharmaceuticals, Inc.</w:t>
      </w:r>
    </w:p>
    <w:p>
      <w:pPr>
        <w:sectPr>
          <w:pgSz w:w="11900" w:h="16838" w:orient="portrait"/>
          <w:cols w:equalWidth="0" w:num="1">
            <w:col w:w="10139"/>
          </w:cols>
          <w:pgMar w:left="320" w:top="665" w:right="1440" w:bottom="1440" w:gutter="0" w:footer="0" w:header="0"/>
        </w:sectPr>
      </w:pP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i w:val="1"/>
          <w:iCs w:val="1"/>
          <w:color w:val="auto"/>
        </w:rPr>
        <w:t>/s/ Andrew Boll</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30480</wp:posOffset>
            </wp:positionV>
            <wp:extent cx="31457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9">
                      <a:extLst>
                        <a:ext uri="{28A0092B-C50C-407E-A947-70E740481C1C}"/>
                      </a:extLst>
                    </a:blip>
                    <a:srcRect/>
                    <a:stretch>
                      <a:fillRect/>
                    </a:stretch>
                  </pic:blipFill>
                  <pic:spPr bwMode="auto">
                    <a:xfrm>
                      <a:off x="0" y="0"/>
                      <a:ext cx="314579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-123190</wp:posOffset>
            </wp:positionV>
            <wp:extent cx="31457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0">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3566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3566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2">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3566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Baum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23495</wp:posOffset>
            </wp:positionV>
            <wp:extent cx="31375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4">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-130175</wp:posOffset>
            </wp:positionV>
            <wp:extent cx="31375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5">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31750</wp:posOffset>
            </wp:positionV>
            <wp:extent cx="31375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6">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1377315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020" w:space="720"/>
            <w:col w:w="4399"/>
          </w:cols>
          <w:pgMar w:left="320" w:top="665" w:right="1440"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SERVICES AND COMPENSATION</w:t>
      </w:r>
    </w:p>
    <w:p>
      <w:pPr>
        <w:spacing w:after="0" w:line="225" w:lineRule="exact"/>
        <w:rPr>
          <w:sz w:val="20"/>
          <w:szCs w:val="20"/>
          <w:color w:val="auto"/>
        </w:rPr>
      </w:pPr>
    </w:p>
    <w:p>
      <w:pPr>
        <w:ind w:left="1700" w:right="6800" w:hanging="1044"/>
        <w:spacing w:after="0" w:line="518" w:lineRule="auto"/>
        <w:tabs>
          <w:tab w:leader="none" w:pos="841"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Contact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principal Company contact: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 Andrew R. Boll</w:t>
      </w:r>
    </w:p>
    <w:p>
      <w:pPr>
        <w:spacing w:after="0" w:line="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Title:  Executive Director</w:t>
      </w:r>
    </w:p>
    <w:p>
      <w:pPr>
        <w:spacing w:after="0" w:line="252"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Email: aboll@harrowinc.com</w:t>
      </w:r>
    </w:p>
    <w:p>
      <w:pPr>
        <w:spacing w:after="0" w:line="252"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Phone: (615) 733-4731</w:t>
      </w:r>
    </w:p>
    <w:p>
      <w:pPr>
        <w:spacing w:after="0" w:line="252" w:lineRule="exact"/>
        <w:rPr>
          <w:rFonts w:ascii="Arial" w:cs="Arial" w:eastAsia="Arial" w:hAnsi="Arial"/>
          <w:sz w:val="18"/>
          <w:szCs w:val="18"/>
          <w:color w:val="auto"/>
        </w:rPr>
      </w:pPr>
    </w:p>
    <w:p>
      <w:pPr>
        <w:ind w:firstLine="656"/>
        <w:spacing w:after="0" w:line="277" w:lineRule="auto"/>
        <w:tabs>
          <w:tab w:leader="none" w:pos="841"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color w:val="auto"/>
        </w:rPr>
        <w:t>. Consultant shall provide management advisory services to the Company relating to its establishment, financing activities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services as may be requested from time to time by the Company.</w:t>
      </w:r>
    </w:p>
    <w:p>
      <w:pPr>
        <w:spacing w:after="0" w:line="166" w:lineRule="exact"/>
        <w:rPr>
          <w:rFonts w:ascii="Arial" w:cs="Arial" w:eastAsia="Arial" w:hAnsi="Arial"/>
          <w:sz w:val="18"/>
          <w:szCs w:val="18"/>
          <w:color w:val="auto"/>
        </w:rPr>
      </w:pPr>
    </w:p>
    <w:p>
      <w:pPr>
        <w:ind w:left="840" w:hanging="184"/>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4"/>
        <w:spacing w:after="0" w:line="259" w:lineRule="auto"/>
        <w:tabs>
          <w:tab w:leader="none" w:pos="15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Upon or shortly following commencement of Consultant’s Services to the Company, and subject to the approval of the Company’s Board of Directors, the Company shall issue to Consultant 375,000 shares of the Company’s common stock,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shall be subject to the terms and conditions of the Company’s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a restricted stock award agreement between the Company and Consultant.</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Shares subject to the Restricted Stock Award shall vest upon the earliest of:</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Common Stock, pursuant to which the Common Stock is priced for initial public offering; or</w:t>
      </w:r>
    </w:p>
    <w:p>
      <w:pPr>
        <w:spacing w:after="0" w:line="170"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date of closing of a bona-fide equity financing with third party investors resulting in cash gross proceeds to the Company of at least $10,000,000 (the “</w:t>
      </w:r>
      <w:r>
        <w:rPr>
          <w:rFonts w:ascii="Arial" w:cs="Arial" w:eastAsia="Arial" w:hAnsi="Arial"/>
          <w:sz w:val="18"/>
          <w:szCs w:val="18"/>
          <w:b w:val="1"/>
          <w:bCs w:val="1"/>
          <w:i w:val="1"/>
          <w:iCs w:val="1"/>
          <w:color w:val="auto"/>
        </w:rPr>
        <w:t>Qualified Financing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-2779395</wp:posOffset>
            </wp:positionV>
            <wp:extent cx="463740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8">
                      <a:extLst>
                        <a:ext uri="{28A0092B-C50C-407E-A947-70E740481C1C}"/>
                      </a:extLst>
                    </a:blip>
                    <a:srcRect/>
                    <a:stretch>
                      <a:fillRect/>
                    </a:stretch>
                  </pic:blipFill>
                  <pic:spPr bwMode="auto">
                    <a:xfrm>
                      <a:off x="0" y="0"/>
                      <a:ext cx="463740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-3070860</wp:posOffset>
            </wp:positionV>
            <wp:extent cx="463740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9">
                      <a:extLst>
                        <a:ext uri="{28A0092B-C50C-407E-A947-70E740481C1C}"/>
                      </a:extLst>
                    </a:blip>
                    <a:srcRect/>
                    <a:stretch>
                      <a:fillRect/>
                    </a:stretch>
                  </pic:blipFill>
                  <pic:spPr bwMode="auto">
                    <a:xfrm>
                      <a:off x="0" y="0"/>
                      <a:ext cx="463740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-3362325</wp:posOffset>
            </wp:positionV>
            <wp:extent cx="463740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0">
                      <a:extLst>
                        <a:ext uri="{28A0092B-C50C-407E-A947-70E740481C1C}"/>
                      </a:extLst>
                    </a:blip>
                    <a:srcRect/>
                    <a:stretch>
                      <a:fillRect/>
                    </a:stretch>
                  </pic:blipFill>
                  <pic:spPr bwMode="auto">
                    <a:xfrm>
                      <a:off x="0" y="0"/>
                      <a:ext cx="463740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-3653790</wp:posOffset>
            </wp:positionV>
            <wp:extent cx="463740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1">
                      <a:extLst>
                        <a:ext uri="{28A0092B-C50C-407E-A947-70E740481C1C}"/>
                      </a:extLst>
                    </a:blip>
                    <a:srcRect/>
                    <a:stretch>
                      <a:fillRect/>
                    </a:stretch>
                  </pic:blipFill>
                  <pic:spPr bwMode="auto">
                    <a:xfrm>
                      <a:off x="0" y="0"/>
                      <a:ext cx="4637405" cy="17145"/>
                    </a:xfrm>
                    <a:prstGeom prst="rect">
                      <a:avLst/>
                    </a:prstGeom>
                    <a:noFill/>
                  </pic:spPr>
                </pic:pic>
              </a:graphicData>
            </a:graphic>
          </wp:anchor>
        </w:drawing>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in any case of (1), (2) and (3), (each, a “</w:t>
      </w:r>
      <w:r>
        <w:rPr>
          <w:rFonts w:ascii="Arial" w:cs="Arial" w:eastAsia="Arial" w:hAnsi="Arial"/>
          <w:sz w:val="17"/>
          <w:szCs w:val="17"/>
          <w:b w:val="1"/>
          <w:bCs w:val="1"/>
          <w:i w:val="1"/>
          <w:iCs w:val="1"/>
          <w:color w:val="auto"/>
        </w:rPr>
        <w:t>Vesting Event</w:t>
      </w:r>
      <w:r>
        <w:rPr>
          <w:rFonts w:ascii="Arial" w:cs="Arial" w:eastAsia="Arial" w:hAnsi="Arial"/>
          <w:sz w:val="17"/>
          <w:szCs w:val="17"/>
          <w:color w:val="auto"/>
        </w:rPr>
        <w:t>”), subject to Grantee’s continuous status as a Service Provider (as defined in the Plan) through the date of such Vesting Event; provided, however, in the event Grantee’s continuous status as a Service Provider (as defined in the Plan) is terminated by the Company (other than for Cause (as defined in the Plan) or by death of Grantee) prior to the completion of any Vesting Event, the shares subject to the Restricted Stock Award shall be deemed to have vested in accordance with the following vesting schedule: the shares shall vest in equal monthly installments over the six (6) months following the date hereof, on the same date of the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jc w:val="both"/>
        <w:ind w:firstLine="1296"/>
        <w:spacing w:after="0" w:line="273" w:lineRule="auto"/>
        <w:rPr>
          <w:sz w:val="20"/>
          <w:szCs w:val="20"/>
          <w:color w:val="auto"/>
        </w:rPr>
      </w:pPr>
      <w:r>
        <w:rPr>
          <w:rFonts w:ascii="Arial" w:cs="Arial" w:eastAsia="Arial" w:hAnsi="Arial"/>
          <w:sz w:val="17"/>
          <w:szCs w:val="17"/>
          <w:color w:val="auto"/>
        </w:rPr>
        <w:t>C. All payments and benefits provided for under this Agreement are intended to be exempt from or otherwise comply with the requirements of Section 409A of the Internal Revenue Code of 1986, as amended, and the regulations and guidance thereunder (together,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reimburse Consultant for any taxes that may be imposed on Consultant as a result of Section 409A.</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accepted and agreed upon as of February 13,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190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STOWE PHARMACEUTICALS, INC.</w:t>
            </w:r>
          </w:p>
        </w:tc>
      </w:tr>
      <w:tr>
        <w:trPr>
          <w:trHeight w:val="453"/>
        </w:trPr>
        <w:tc>
          <w:tcPr>
            <w:tcW w:w="3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Boll</w:t>
            </w:r>
          </w:p>
        </w:tc>
        <w:tc>
          <w:tcPr>
            <w:tcW w:w="19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i w:val="1"/>
                <w:iCs w:val="1"/>
                <w:color w:val="auto"/>
              </w:rPr>
              <w:t>/s/ Mark BAum</w:t>
            </w:r>
          </w:p>
        </w:tc>
      </w:tr>
      <w:tr>
        <w:trPr>
          <w:trHeight w:val="223"/>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Andrew R. Boll</w:t>
            </w:r>
          </w:p>
        </w:tc>
        <w:tc>
          <w:tcPr>
            <w:tcW w:w="1900" w:type="dxa"/>
            <w:vAlign w:val="bottom"/>
            <w:tcBorders>
              <w:top w:val="single" w:sz="8" w:color="auto"/>
              <w:bottom w:val="single" w:sz="8" w:color="auto"/>
            </w:tcBorders>
          </w:tcPr>
          <w:p>
            <w:pPr>
              <w:spacing w:after="0"/>
              <w:rPr>
                <w:sz w:val="19"/>
                <w:szCs w:val="19"/>
                <w:color w:val="auto"/>
              </w:rPr>
            </w:pPr>
          </w:p>
        </w:tc>
        <w:tc>
          <w:tcPr>
            <w:tcW w:w="780" w:type="dxa"/>
            <w:vAlign w:val="bottom"/>
          </w:tcPr>
          <w:p>
            <w:pPr>
              <w:ind w:left="220"/>
              <w:spacing w:after="0" w:line="202"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Mark L. Baum</w:t>
            </w:r>
          </w:p>
        </w:tc>
      </w:tr>
      <w:tr>
        <w:trPr>
          <w:trHeight w:val="237"/>
        </w:trPr>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80" w:type="dxa"/>
            <w:vAlign w:val="bottom"/>
          </w:tcPr>
          <w:p>
            <w:pPr>
              <w:ind w:left="22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Director</w:t>
            </w:r>
          </w:p>
        </w:tc>
      </w:tr>
      <w:tr>
        <w:trPr>
          <w:trHeight w:val="439"/>
        </w:trPr>
        <w:tc>
          <w:tcPr>
            <w:tcW w:w="5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23" w:name="page124"/>
    <w:bookmarkEnd w:id="123"/>
    <w:p>
      <w:pPr>
        <w:ind w:left="10020"/>
        <w:spacing w:after="0"/>
        <w:rPr>
          <w:sz w:val="20"/>
          <w:szCs w:val="20"/>
          <w:color w:val="auto"/>
        </w:rPr>
      </w:pPr>
      <w:r>
        <w:rPr>
          <w:rFonts w:ascii="Arial" w:cs="Arial" w:eastAsia="Arial" w:hAnsi="Arial"/>
          <w:sz w:val="18"/>
          <w:szCs w:val="18"/>
          <w:b w:val="1"/>
          <w:bCs w:val="1"/>
          <w:color w:val="auto"/>
        </w:rPr>
        <w:t>EXHIBIT 10.66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STOWE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February 13,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Stowe Pharmaceuticals, Inc., a Delaware corporation with its principal place of business at 102 Woodmont Blvd., Suite 610, Nashville, TN 37205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John Saharek, an individual with a principal place of business at 12264 El Camino Real, Suite 350, San Diego, CA 92130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(each herein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Services and Compensation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Consultant shall perform the services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for the Company (or its designee), and the Company agrees to pay Consultant the compensation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for Consultant’s performance of the Services.</w:t>
      </w:r>
    </w:p>
    <w:p>
      <w:pPr>
        <w:spacing w:after="0" w:line="162" w:lineRule="exact"/>
        <w:rPr>
          <w:sz w:val="20"/>
          <w:szCs w:val="20"/>
          <w:color w:val="auto"/>
        </w:rPr>
      </w:pPr>
    </w:p>
    <w:p>
      <w:pPr>
        <w:ind w:left="840" w:hanging="184"/>
        <w:spacing w:after="0"/>
        <w:tabs>
          <w:tab w:leader="none" w:pos="8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rFonts w:ascii="Arial" w:cs="Arial" w:eastAsia="Arial" w:hAnsi="Arial"/>
          <w:sz w:val="18"/>
          <w:szCs w:val="18"/>
          <w:b w:val="1"/>
          <w:bCs w:val="1"/>
          <w:color w:val="auto"/>
        </w:rPr>
      </w:pPr>
    </w:p>
    <w:p>
      <w:pPr>
        <w:jc w:val="both"/>
        <w:ind w:firstLine="1296"/>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Definition of Confidential Information</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ind w:firstLine="1296"/>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i w:val="1"/>
          <w:iCs w:val="1"/>
          <w:color w:val="auto"/>
        </w:rPr>
        <w:t>Nonuse and Nondisclosure</w:t>
      </w:r>
      <w:r>
        <w:rPr>
          <w:rFonts w:ascii="Arial" w:cs="Arial" w:eastAsia="Arial" w:hAnsi="Arial"/>
          <w:sz w:val="17"/>
          <w:szCs w:val="17"/>
          <w:b w:val="1"/>
          <w:bCs w:val="1"/>
          <w:color w:val="auto"/>
        </w:rPr>
        <w:t>.</w:t>
      </w:r>
      <w:r>
        <w:rPr>
          <w:rFonts w:ascii="Arial" w:cs="Arial" w:eastAsia="Arial" w:hAnsi="Arial"/>
          <w:sz w:val="17"/>
          <w:szCs w:val="17"/>
          <w:color w:val="auto"/>
        </w:rPr>
        <w:t xml:space="preserve"> During and after the term of this Agreement, Consultant will hold in the strictest confidence, and take all reasonable precautions to prevent any unauthorized use or disclosure of Confidential Information, and Consultant will not (i) use the Confidential Information for any purpose whatsoever other than as necessary for the performance of the Services on behalf of the Company, or (ii) subject to Consultant’s right to engage in Protected Activity (as defined below), disclose the Confidential Information to any third party without the prior written consent of an authorized representative of the Company, except that Consultant may disclose Confidential Information to the extent compelled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prior to such disclosure, Consultant shall provide prior written notice to Company and seek a protective order or such similar confidential protection as may be available under applicable law. Consultant agrees that no ownership of Confidential Information is conveyed to the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2.B shall continue after the termination of this Agreement.</w:t>
      </w:r>
    </w:p>
    <w:p>
      <w:pPr>
        <w:spacing w:after="0" w:line="18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Other Client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that Consultant will not improperly use, disclose, or induce the Company to use any proprietary information or trade secrets of any former or current employer of Consultant or other person or entity with which Consultant has an obligation to keep in confidence. Consultant also agrees that Consultant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8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Third Party Confidential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at all times during the term of this Agreement and thereafter, Consultant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87" w:lineRule="exact"/>
        <w:rPr>
          <w:sz w:val="20"/>
          <w:szCs w:val="20"/>
          <w:color w:val="auto"/>
        </w:rPr>
      </w:pPr>
    </w:p>
    <w:p>
      <w:pPr>
        <w:ind w:left="840" w:hanging="184"/>
        <w:spacing w:after="0"/>
        <w:tabs>
          <w:tab w:leader="none" w:pos="8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225" w:lineRule="exact"/>
        <w:rPr>
          <w:rFonts w:ascii="Arial" w:cs="Arial" w:eastAsia="Arial" w:hAnsi="Arial"/>
          <w:sz w:val="18"/>
          <w:szCs w:val="18"/>
          <w:b w:val="1"/>
          <w:bCs w:val="1"/>
          <w:color w:val="auto"/>
        </w:rPr>
      </w:pPr>
    </w:p>
    <w:p>
      <w:pPr>
        <w:jc w:val="both"/>
        <w:ind w:firstLine="1304"/>
        <w:spacing w:after="0" w:line="255" w:lineRule="auto"/>
        <w:tabs>
          <w:tab w:leader="none" w:pos="1529" w:val="left"/>
        </w:tabs>
        <w:numPr>
          <w:ilvl w:val="1"/>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of Inventions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that all right, title, and interest in and to any copyrightable material, notes, records,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drawings, designs,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are the sole property of the Company. Consultant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88" w:lineRule="exact"/>
        <w:rPr>
          <w:rFonts w:ascii="Arial" w:cs="Arial" w:eastAsia="Arial" w:hAnsi="Arial"/>
          <w:sz w:val="18"/>
          <w:szCs w:val="18"/>
          <w:color w:val="auto"/>
        </w:rPr>
      </w:pPr>
    </w:p>
    <w:p>
      <w:pPr>
        <w:jc w:val="both"/>
        <w:ind w:firstLine="1304"/>
        <w:spacing w:after="0" w:line="289" w:lineRule="auto"/>
        <w:tabs>
          <w:tab w:leader="none" w:pos="1519" w:val="left"/>
        </w:tabs>
        <w:numPr>
          <w:ilvl w:val="1"/>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Pre-Existing Material</w:t>
      </w:r>
      <w:r>
        <w:rPr>
          <w:rFonts w:ascii="Arial" w:cs="Arial" w:eastAsia="Arial" w:hAnsi="Arial"/>
          <w:sz w:val="16"/>
          <w:szCs w:val="16"/>
          <w:b w:val="1"/>
          <w:bCs w:val="1"/>
          <w:color w:val="auto"/>
        </w:rPr>
        <w: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Section 3.A, Consultant will provide the Company with prior written notice if, in the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separate from, performing the Services under this Agreement (“</w:t>
      </w:r>
      <w:r>
        <w:rPr>
          <w:rFonts w:ascii="Arial" w:cs="Arial" w:eastAsia="Arial" w:hAnsi="Arial"/>
          <w:sz w:val="16"/>
          <w:szCs w:val="16"/>
          <w:b w:val="1"/>
          <w:bCs w:val="1"/>
          <w:i w:val="1"/>
          <w:iCs w:val="1"/>
          <w:color w:val="auto"/>
        </w:rPr>
        <w:t>Prior Invention</w:t>
      </w:r>
      <w:r>
        <w:rPr>
          <w:rFonts w:ascii="Arial" w:cs="Arial" w:eastAsia="Arial" w:hAnsi="Arial"/>
          <w:sz w:val="16"/>
          <w:szCs w:val="16"/>
          <w:i w:val="1"/>
          <w:iCs w:val="1"/>
          <w:color w:val="auto"/>
        </w:rPr>
        <w:t>s</w:t>
      </w:r>
      <w:r>
        <w:rPr>
          <w:rFonts w:ascii="Arial" w:cs="Arial" w:eastAsia="Arial" w:hAnsi="Arial"/>
          <w:sz w:val="16"/>
          <w:szCs w:val="16"/>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5" w:name="page126"/>
    <w:bookmarkEnd w:id="125"/>
    <w:p>
      <w:pPr>
        <w:jc w:val="both"/>
        <w:ind w:firstLine="129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Moral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8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Maintenance of Records</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to keep and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Further Assurances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to assist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3.E shall continue after the termination of this Agreement.</w:t>
      </w:r>
    </w:p>
    <w:p>
      <w:pPr>
        <w:spacing w:after="0" w:line="16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i w:val="1"/>
          <w:iCs w:val="1"/>
          <w:color w:val="auto"/>
        </w:rPr>
        <w:t>Attorney-in-Fact</w:t>
      </w:r>
      <w:r>
        <w:rPr>
          <w:rFonts w:ascii="Arial" w:cs="Arial" w:eastAsia="Arial" w:hAnsi="Arial"/>
          <w:sz w:val="16"/>
          <w:szCs w:val="16"/>
          <w:b w:val="1"/>
          <w:bCs w:val="1"/>
          <w:color w:val="auto"/>
        </w:rPr>
        <w:t>.</w:t>
      </w:r>
      <w:r>
        <w:rPr>
          <w:rFonts w:ascii="Arial" w:cs="Arial" w:eastAsia="Arial" w:hAnsi="Arial"/>
          <w:sz w:val="16"/>
          <w:szCs w:val="16"/>
          <w:color w:val="auto"/>
        </w:rPr>
        <w:t xml:space="preserve"> Consultant agrees that, if the Company is unable because of Consultant’s unavailability, dissolution, mental or 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ind w:left="840" w:hanging="184"/>
        <w:spacing w:after="0"/>
        <w:tabs>
          <w:tab w:leader="none" w:pos="8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Obligations</w:t>
      </w:r>
    </w:p>
    <w:p>
      <w:pPr>
        <w:spacing w:after="0" w:line="229" w:lineRule="exact"/>
        <w:rPr>
          <w:rFonts w:ascii="Arial" w:cs="Arial" w:eastAsia="Arial" w:hAnsi="Arial"/>
          <w:sz w:val="18"/>
          <w:szCs w:val="18"/>
          <w:b w:val="1"/>
          <w:bCs w:val="1"/>
          <w:color w:val="auto"/>
        </w:rPr>
      </w:pPr>
    </w:p>
    <w:p>
      <w:pPr>
        <w:jc w:val="both"/>
        <w:ind w:firstLine="1304"/>
        <w:spacing w:after="0" w:line="263" w:lineRule="auto"/>
        <w:tabs>
          <w:tab w:leader="none" w:pos="15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83" w:lineRule="exact"/>
        <w:rPr>
          <w:rFonts w:ascii="Arial" w:cs="Arial" w:eastAsia="Arial" w:hAnsi="Arial"/>
          <w:sz w:val="18"/>
          <w:szCs w:val="18"/>
          <w:color w:val="auto"/>
        </w:rPr>
      </w:pPr>
    </w:p>
    <w:p>
      <w:pPr>
        <w:jc w:val="both"/>
        <w:ind w:right="20" w:firstLine="1304"/>
        <w:spacing w:after="0" w:line="286" w:lineRule="auto"/>
        <w:tabs>
          <w:tab w:leader="none" w:pos="1522" w:val="left"/>
        </w:tabs>
        <w:numPr>
          <w:ilvl w:val="1"/>
          <w:numId w:val="53"/>
        </w:numPr>
        <w:rPr>
          <w:rFonts w:ascii="Arial" w:cs="Arial" w:eastAsia="Arial" w:hAnsi="Arial"/>
          <w:sz w:val="17"/>
          <w:szCs w:val="17"/>
          <w:color w:val="auto"/>
        </w:rPr>
      </w:pPr>
      <w:r>
        <w:rPr>
          <w:rFonts w:ascii="Arial" w:cs="Arial" w:eastAsia="Arial" w:hAnsi="Arial"/>
          <w:sz w:val="17"/>
          <w:szCs w:val="17"/>
          <w:color w:val="auto"/>
        </w:rPr>
        <w:t>Consultant shall require all Consultant’s employees, contractors, or other third-parties performing Services under this Agreement to execute a Confidential Information and Assignment Agreement in a form reasonably acceptable to the Company, and promptly provide a copy of each such executed agreement to the Company. Consultant’s violation of this Section 4 will be considered a material breach under Section 6.B.</w:t>
      </w:r>
    </w:p>
    <w:p>
      <w:pPr>
        <w:spacing w:after="0" w:line="161" w:lineRule="exact"/>
        <w:rPr>
          <w:rFonts w:ascii="Arial" w:cs="Arial" w:eastAsia="Arial" w:hAnsi="Arial"/>
          <w:sz w:val="17"/>
          <w:szCs w:val="17"/>
          <w:color w:val="auto"/>
        </w:rPr>
      </w:pPr>
    </w:p>
    <w:p>
      <w:pPr>
        <w:ind w:left="840" w:hanging="184"/>
        <w:spacing w:after="0"/>
        <w:tabs>
          <w:tab w:leader="none" w:pos="8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Materials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termination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may have in Consultant’s possession or control.</w:t>
      </w:r>
    </w:p>
    <w:p>
      <w:pPr>
        <w:spacing w:after="0" w:line="184" w:lineRule="exact"/>
        <w:rPr>
          <w:sz w:val="20"/>
          <w:szCs w:val="20"/>
          <w:color w:val="auto"/>
        </w:rPr>
      </w:pPr>
    </w:p>
    <w:p>
      <w:pPr>
        <w:ind w:left="840" w:hanging="184"/>
        <w:spacing w:after="0"/>
        <w:tabs>
          <w:tab w:leader="none" w:pos="84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rFonts w:ascii="Arial" w:cs="Arial" w:eastAsia="Arial" w:hAnsi="Arial"/>
          <w:sz w:val="18"/>
          <w:szCs w:val="18"/>
          <w:b w:val="1"/>
          <w:bCs w:val="1"/>
          <w:color w:val="auto"/>
        </w:rPr>
      </w:pPr>
    </w:p>
    <w:p>
      <w:pPr>
        <w:jc w:val="both"/>
        <w:ind w:firstLine="1304"/>
        <w:spacing w:after="0" w:line="293" w:lineRule="auto"/>
        <w:tabs>
          <w:tab w:leader="none" w:pos="1543" w:val="left"/>
        </w:tabs>
        <w:numPr>
          <w:ilvl w:val="2"/>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Term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 commenced providing Services to the Company on or about December 1, 2019 and shall provide the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earlier of (i) one year from the Effective Date, (ii) a Change in Control (as defined in the Company’s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0" w:firstLine="8"/>
        <w:spacing w:after="0" w:line="260" w:lineRule="auto"/>
        <w:tabs>
          <w:tab w:leader="none" w:pos="3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IPO (as defined in the Plan), (iv) a Qualified Financing (as set forth in Exhibit A attached hereto) or (v) such earlier date as the Services are terminated by the Company or Consultant as provided in Section 6.B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4"/>
        <w:spacing w:after="0" w:line="266" w:lineRule="auto"/>
        <w:tabs>
          <w:tab w:leader="none" w:pos="1519" w:val="left"/>
        </w:tabs>
        <w:numPr>
          <w:ilvl w:val="2"/>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terminate this Agreement upon giving Consultant fourteen (14) days prior written notice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pursuant to Section 12.G of this Agreement. The Company may terminate this Agreement immediately and without prior notice if Consultant refuses to or is unable to perform the Services or is in breach of any material provision of this Agreement.</w:t>
      </w:r>
    </w:p>
    <w:p>
      <w:pPr>
        <w:spacing w:after="0" w:line="175" w:lineRule="exact"/>
        <w:rPr>
          <w:rFonts w:ascii="Arial" w:cs="Arial" w:eastAsia="Arial" w:hAnsi="Arial"/>
          <w:sz w:val="18"/>
          <w:szCs w:val="18"/>
          <w:color w:val="auto"/>
        </w:rPr>
      </w:pPr>
    </w:p>
    <w:p>
      <w:pPr>
        <w:ind w:left="1520" w:hanging="216"/>
        <w:spacing w:after="0"/>
        <w:tabs>
          <w:tab w:leader="none" w:pos="1520" w:val="left"/>
        </w:tabs>
        <w:numPr>
          <w:ilvl w:val="2"/>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Survival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any termination, all rights and duties of the Company and Consultant toward each other shall cease except:</w:t>
      </w:r>
    </w:p>
    <w:p>
      <w:pPr>
        <w:spacing w:after="0" w:line="240" w:lineRule="exact"/>
        <w:rPr>
          <w:rFonts w:ascii="Arial" w:cs="Arial" w:eastAsia="Arial" w:hAnsi="Arial"/>
          <w:sz w:val="17"/>
          <w:szCs w:val="17"/>
          <w:color w:val="auto"/>
        </w:rPr>
      </w:pPr>
    </w:p>
    <w:p>
      <w:pPr>
        <w:jc w:val="both"/>
        <w:ind w:firstLine="1952"/>
        <w:spacing w:after="0" w:line="263" w:lineRule="auto"/>
        <w:tabs>
          <w:tab w:leader="none" w:pos="2209"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and</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218" w:val="left"/>
        </w:tabs>
        <w:numPr>
          <w:ilvl w:val="3"/>
          <w:numId w:val="55"/>
        </w:numPr>
        <w:rPr>
          <w:rFonts w:ascii="Arial" w:cs="Arial" w:eastAsia="Arial" w:hAnsi="Arial"/>
          <w:sz w:val="18"/>
          <w:szCs w:val="18"/>
          <w:color w:val="auto"/>
        </w:rPr>
      </w:pPr>
      <w:r>
        <w:rPr>
          <w:rFonts w:ascii="Arial" w:cs="Arial" w:eastAsia="Arial" w:hAnsi="Arial"/>
          <w:sz w:val="18"/>
          <w:szCs w:val="18"/>
          <w:color w:val="auto"/>
        </w:rPr>
        <w:t>Section 2 (Confidentiality), Section 3 (Ownership), Section 4.B (Conflicting Obligations), Section 5 (Return of Company Materials), Section 6 (Term and Termination), Section 7 (Independent Contractor; Benefits), Section 8 (Indemnification), Section 9 (Nonsolicitation), Section 10 (Limitation of Liability), Section 11 (Arbitration and Equitable Relief), and Section 12 (Miscellaneous) will survive termination or expiration of this Agreement in accordance with their terms.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ind w:left="840" w:hanging="184"/>
        <w:spacing w:after="0"/>
        <w:tabs>
          <w:tab w:leader="none" w:pos="8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Benefits</w:t>
      </w:r>
    </w:p>
    <w:p>
      <w:pPr>
        <w:spacing w:after="0" w:line="229" w:lineRule="exact"/>
        <w:rPr>
          <w:rFonts w:ascii="Arial" w:cs="Arial" w:eastAsia="Arial" w:hAnsi="Arial"/>
          <w:sz w:val="18"/>
          <w:szCs w:val="18"/>
          <w:b w:val="1"/>
          <w:bCs w:val="1"/>
          <w:color w:val="auto"/>
        </w:rPr>
      </w:pPr>
    </w:p>
    <w:p>
      <w:pPr>
        <w:jc w:val="both"/>
        <w:ind w:firstLine="1304"/>
        <w:spacing w:after="0" w:line="254" w:lineRule="auto"/>
        <w:tabs>
          <w:tab w:leader="none" w:pos="1543" w:val="left"/>
        </w:tabs>
        <w:numPr>
          <w:ilvl w:val="1"/>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Contractor. </w:t>
      </w:r>
      <w:r>
        <w:rPr>
          <w:rFonts w:ascii="Arial" w:cs="Arial" w:eastAsia="Arial" w:hAnsi="Arial"/>
          <w:sz w:val="18"/>
          <w:szCs w:val="18"/>
          <w:color w:val="auto"/>
        </w:rPr>
        <w:t>It is the express intention of the Company and Consultant that Consultant perform the Services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90" w:lineRule="exact"/>
        <w:rPr>
          <w:rFonts w:ascii="Arial" w:cs="Arial" w:eastAsia="Arial" w:hAnsi="Arial"/>
          <w:sz w:val="18"/>
          <w:szCs w:val="18"/>
          <w:color w:val="auto"/>
        </w:rPr>
      </w:pPr>
    </w:p>
    <w:p>
      <w:pPr>
        <w:jc w:val="both"/>
        <w:ind w:firstLine="1304"/>
        <w:spacing w:after="0" w:line="258" w:lineRule="auto"/>
        <w:tabs>
          <w:tab w:leader="none" w:pos="1506" w:val="left"/>
        </w:tabs>
        <w:numPr>
          <w:ilvl w:val="1"/>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Consultant agree that Consultant will receive no Company-sponsored benefits from the Company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Consultant agrees to indemnify and hold harmless the Company and its affiliates and their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or Consultant’s assistants, employees, contractors or agents, (ii) a determination by a court or agency that the Consultant is not an independent contractor, (iii) any breach by the Consultant or Consultant’s assistants, employees, contractors or agents of any of the covenants contained in this Agreement and corresponding Confidential Information and Invention Assignment Agreement, (iv) any failure of Consultant to perform the Services in accordance with all applicable laws, rules and regulations, or (v) any violation or claimed violation of a third party’s rights resulting in whole, or in part, from the Company’s use of the Inventions or other deliverables of Consultant under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 Nonsolicitation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 the fullest extent permitted under applicable law, from the date of this Agreement until twelve (12) months after the termination of this Agreement for any reason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Consultant will not, without the Company’s prior written consent, directly or indirectly, solicit any of the Company’s employees to leave their employment, or attempt to solicit employees of the Company, either for Consultant or for any other person or entity. Consultant agrees that nothing in this Section 9 shall affect Consultant’s continuing obligations under this Agreement during and after this twelve</w:t>
      </w:r>
    </w:p>
    <w:p>
      <w:pPr>
        <w:spacing w:after="0" w:line="1" w:lineRule="exact"/>
        <w:rPr>
          <w:sz w:val="20"/>
          <w:szCs w:val="20"/>
          <w:color w:val="auto"/>
        </w:rPr>
      </w:pPr>
    </w:p>
    <w:p>
      <w:pPr>
        <w:ind w:left="5520" w:right="4760" w:hanging="5512"/>
        <w:spacing w:after="0" w:line="555" w:lineRule="auto"/>
        <w:tabs>
          <w:tab w:leader="none" w:pos="354" w:val="left"/>
        </w:tabs>
        <w:numPr>
          <w:ilvl w:val="0"/>
          <w:numId w:val="57"/>
        </w:numPr>
        <w:rPr>
          <w:rFonts w:ascii="Arial" w:cs="Arial" w:eastAsia="Arial" w:hAnsi="Arial"/>
          <w:sz w:val="17"/>
          <w:szCs w:val="17"/>
          <w:color w:val="auto"/>
        </w:rPr>
      </w:pPr>
      <w:r>
        <w:rPr>
          <w:rFonts w:ascii="Arial" w:cs="Arial" w:eastAsia="Arial" w:hAnsi="Arial"/>
          <w:sz w:val="17"/>
          <w:szCs w:val="17"/>
          <w:color w:val="auto"/>
        </w:rPr>
        <w:t>month period, including, without limitation, Consultant’s obligations under Section 2 -5-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8"/>
          <w:szCs w:val="18"/>
          <w:b w:val="1"/>
          <w:bCs w:val="1"/>
          <w:color w:val="auto"/>
        </w:rPr>
        <w:t>10. Limitation of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 EVENT SHALL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91" w:lineRule="exact"/>
        <w:rPr>
          <w:sz w:val="20"/>
          <w:szCs w:val="20"/>
          <w:color w:val="auto"/>
        </w:rPr>
      </w:pPr>
    </w:p>
    <w:p>
      <w:pPr>
        <w:ind w:left="900" w:hanging="244"/>
        <w:spacing w:after="0"/>
        <w:tabs>
          <w:tab w:leader="none" w:pos="90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and Equitable Relief</w:t>
      </w:r>
    </w:p>
    <w:p>
      <w:pPr>
        <w:spacing w:after="0" w:line="236" w:lineRule="exact"/>
        <w:rPr>
          <w:rFonts w:ascii="Arial" w:cs="Arial" w:eastAsia="Arial" w:hAnsi="Arial"/>
          <w:sz w:val="17"/>
          <w:szCs w:val="17"/>
          <w:b w:val="1"/>
          <w:bCs w:val="1"/>
          <w:color w:val="auto"/>
        </w:rPr>
      </w:pPr>
    </w:p>
    <w:p>
      <w:pPr>
        <w:jc w:val="both"/>
        <w:ind w:firstLine="1296"/>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Arbitration</w:t>
      </w:r>
      <w:r>
        <w:rPr>
          <w:rFonts w:ascii="Arial" w:cs="Arial" w:eastAsia="Arial" w:hAnsi="Arial"/>
          <w:sz w:val="17"/>
          <w:szCs w:val="17"/>
          <w:b w:val="1"/>
          <w:bCs w:val="1"/>
          <w:color w:val="auto"/>
        </w:rPr>
        <w:t>.</w:t>
      </w:r>
      <w:r>
        <w:rPr>
          <w:rFonts w:ascii="Arial" w:cs="Arial" w:eastAsia="Arial" w:hAnsi="Arial"/>
          <w:sz w:val="17"/>
          <w:szCs w:val="17"/>
          <w:color w:val="auto"/>
        </w:rPr>
        <w:t xml:space="preserve"> IN CONSIDERATION OF CONSULTANT’S CONSULTING RELATIONSHIP WITH THE COMPANY, ITS PROMISE TO ARBITRATE ALL DISPUTES RELATED TO CONSULTANT’S CONSULTING RELATIONSHIP WITH THE COMPANY AND CONSULTANT’S RECEIPT OF THE COMPENSATION AND OTHER BENEFITS PAID TO CONSULTANT BY COMPANY, AT PRESENT AND IN THE FUTURE, CONSULTANT AGREES THAT ANY AND ALL CONTROVERSIES, CLAIMS, OR DISPUTES WITH ANYONE (INCLUDING COMPANY AND ANY EMPLOYEE, OFFICER, DIRECTOR, SHAREHOLDER OR BENEFIT PLAN OF THE COMPANY IN THEIR CAPACITY AS SUCH OR OTHERWISE), ARISING OUT OF, RELATING TO, OR RESULTING FROM CONSULTANT’S CONSULTING OR OTHER RELATIONSHIP WITH THE COMPANY OR THE TERMINATION OF CONSULTANT’S CONSULTING OR OTHER RELATIONSHIP WITH THE COMPANY, INCLUDING ANY BREACH OF THIS AGREEMENT, SHALL BE SUBJECT TO BINDING ARBITRATION PURSUANT TO THE FEDERAL ARBITRATION ACT (THE “FAA”). THE FAA’S SUBSTANTIVE AND PROCEDURAL RULES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 CONSULTANT FURTHER AGREES THAT, TO THE FULLEST EXTENT PERMITTED BY LAW, CONSULTANT MAY BRING ANY ARBITRATION PROCEEDING ONLY IN CONSULTANT’S INDIVIDUAL CAPACITY, AND NOT AS A PLAINTIFF, REPRESENTATIVE, OR CLASS MEMBER IN ANY PURPORTED CLASS, COLLECTIVE, OR REPRESENTATIVE LAWSUIT OR PROCEEDING. CONSULTANT MAY, HOWEVER, BRING A PROCEEDING AS A PRIVATE ATTORNEY GENERAL AS PERMITTED BY LAW.</w:t>
      </w:r>
    </w:p>
    <w:p>
      <w:pPr>
        <w:spacing w:after="0" w:line="8" w:lineRule="exact"/>
        <w:rPr>
          <w:rFonts w:ascii="Arial" w:cs="Arial" w:eastAsia="Arial" w:hAnsi="Arial"/>
          <w:sz w:val="17"/>
          <w:szCs w:val="17"/>
          <w:b w:val="1"/>
          <w:bCs w:val="1"/>
          <w:color w:val="auto"/>
        </w:rPr>
      </w:pPr>
    </w:p>
    <w:p>
      <w:pPr>
        <w:jc w:val="both"/>
        <w:spacing w:after="0" w:line="251" w:lineRule="auto"/>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TO THE FULLEST EXTENT PERMITTED BY LAW, CONSULTANT AGREES TO ARBITRATE ANY AND ALL COMMON LAW AND/OR STATUTORY CLAIMS UNDER LOCAL, STATE, OR FEDERAL LAW, INCLUDING, BUT NOT LIMITED TO, CLAIMS UNDER THE CALIFORNIA LABOR CODE, CLAIMS RELATING TO EMPLOYMENT OR INDEPENDENT CONTRACTOR STATUS, CLASSIFICATION, AND RELATIONSHIP WITH THE COMPANY, AND CLAIMS OF BREACH OF CONTRACT, EXCEPT AS PROHIBITED BY LAW. CONSULTANT ALSO AGREES TO ARBITRATE ANY AND ALL DISPUTES ARISING OUT OF OR RELATING TO THE INTERPRETATION OR APPLICATION OF THIS AGREEMENT TO ARBITRATE, BUT NOT DISPUTES ABOUT THE ENFORCEABILITY, REVOCABILITY OR VALIDITY OF THIS AGREEMENT TO ARBITRATE OR THE CLASS, COLLECTIVE AND REPRESENTATIVE PROCEEDING WAIVER HEREIN. WITH RESPECT TO ALL SUCH CLAIMS AND DISPUTES THAT CONSULTANT AGREES TO ARBITRATE, CONSULTANT HEREBY EXPRESSLY AGREES TO WAIVE, AND DOES WAIVE, ANY RIGHT TO A TRIAL BY JURY. </w:t>
      </w:r>
      <w:r>
        <w:rPr>
          <w:rFonts w:ascii="Arial" w:cs="Arial" w:eastAsia="Arial" w:hAnsi="Arial"/>
          <w:sz w:val="18"/>
          <w:szCs w:val="18"/>
          <w:color w:val="auto"/>
        </w:rPr>
        <w:t>CONSULTANT FURTHER UNDERSTANDS THAT THIS AGREEMENT TO ARBITRATE ALSO APPLIES TO ANY DISPUTES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HAVE WITH CONSULTANT. CONSULTANT UNDERSTANDS THAT NOTHING IN THIS AGREEMENT REQUIRES CONSULTANT TO ARBITRATE CLAIMS THAT CANNOT BE ARBITRATED UNDER APPLICABLE LAW, SUCH AS CLAIMS UNDER THE SARBANES-OXLEY ACT.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9" w:name="page130"/>
    <w:bookmarkEnd w:id="129"/>
    <w:p>
      <w:pPr>
        <w:jc w:val="both"/>
        <w:ind w:firstLine="1296"/>
        <w:spacing w:after="0" w:line="25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Procedure</w:t>
      </w:r>
      <w:r>
        <w:rPr>
          <w:rFonts w:ascii="Arial" w:cs="Arial" w:eastAsia="Arial" w:hAnsi="Arial"/>
          <w:sz w:val="18"/>
          <w:szCs w:val="18"/>
          <w:b w:val="1"/>
          <w:bCs w:val="1"/>
          <w:color w:val="auto"/>
        </w:rPr>
        <w:t>.</w:t>
      </w:r>
      <w:r>
        <w:rPr>
          <w:rFonts w:ascii="Arial" w:cs="Arial" w:eastAsia="Arial" w:hAnsi="Arial"/>
          <w:sz w:val="18"/>
          <w:szCs w:val="18"/>
          <w:color w:val="auto"/>
        </w:rPr>
        <w:t xml:space="preserve"> CONSULTANT AGREES THAT ANY ARBITRATION WILL BE ADMINISTERED BY JAMS PURSUANT TO ITS 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xml:space="preserve">”), WHICH ARE AVAILABLE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 IF THE JAMS RULES CANNOT BE ENFORCED AS TO THE ARBITRATION, THEN THE PARTIES AGREE THAT THEY WILL ARBITRATE THIS DISPUTE UNDER THE CALIFORNIA ARBITRATION ACT (CALIFORNIA CODE CIV. PROC. § 1280 ET. SEQ (THE “CAA”), PROVIDED, HOWEVER, THAT NOTHING IN THIS PARAGRAPH WILL AFFECT THE APPLICABILITY OF THE FAA TO THE ENFORCEMENT OF THIS ARBITRATION AGREEMENT. CONSULTANT AGREES THAT THE USE OF THE JAMS RULES DOES NOT CHANGE CONSULTANT’S CLASSIFICATION TO THAT OF AN EMPLOYEE. TO THE CONTRARY, CONSULTANT REAFFIRMS THAT CONSULTANT IS AN INDEPENDENT CONTRACTOR. CONSULTANT AGREES THAT THE ARBITRATOR SHALL HAVE THE POWER TO DECIDE ANY MOTIONS BROUGHT BY ANY PARTY TO THE ARBITRATION, INCLUDING MOTIONS FOR SUMMARY JUDGMENT AND/OR ADJUDICATION AND MOTIONS TO DISMISS AND DEMURRERS APPLYING THE STANDARDS SET FORTH UNDER THE CALIFORNIA CODE OF CIVIL PROCEDURE. CONSULTANT AGREES THAT THE ARBITRATOR SHALL ISSUE A WRITTEN DECISION ON THE MERITS. CONSULTANT ALSO AGREES THAT THE ARBITRATOR SHALL HAVE THE POWER TO AWARD ANY REMEDIES AVAILABLE UNDER APPLICABLE LAW, AND THAT THE ARBITRATOR SHALL AWARD ATTORNEYS’ FEES AND COSTS TO THE PREVAILING PARTY, WHERE PERMITTED BY APPLICABLE LAW. CONSULTANT AGREES THAT THE DECREE OR AWARD RENDERED BY THE ARBITRATOR MAY BE ENTERED AS A FINAL AND BINDING JUDGMENT IN ANY COURT HAVING JURISDICTION THEREOF. CONSULTANT AGREES THAT THE ARBITRATOR SHALL ADMINISTER AND CONDUCT ANY ARBITRATION IN ACCORDANCE WITH CALIFORNIA LAW, AND THAT THE ARBITRATOR SHALL APPLY SUBSTANTIVE AND PROCEDURAL CALIFORNIA LAW TO ANY DISPUTE OR CLAIM, WITHOUT REFERENCE TO RULES OF CONFLICT OF LAW. CONSULTANT FURTHER AGREES THAT ANY ARBITRATION UNDER THIS AGREEMENT SHALL BE CONDUCTED IN SAN DIEGO COUNTY, CALIFORNIA.</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Remedy</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PROVIDED BY THE CCP ACT AND THIS AGREEMENT, ARBITRATION SHALL BE THE SOLE, EXCLUSIVE, AND FINAL REMEDY FOR ANY DISPUTE BETWEEN CONSULTANT AND THE COMPANY. ACCORDINGLY, EXCEPT AS PROVIDED FOR BY THE CCP ACT AND THIS AGREEMENT, NEITHER CONSULTANT NOR THE COMPANY WILL BE PERMITTED TO PURSUE COURT ACTION REGARDING CLAIMS THAT ARE SUBJECT TO ARBITRATION.</w:t>
      </w:r>
    </w:p>
    <w:p>
      <w:pPr>
        <w:spacing w:after="0" w:line="18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i w:val="1"/>
          <w:iCs w:val="1"/>
          <w:color w:val="auto"/>
        </w:rPr>
        <w:t>Availability of Injunctive Relief</w:t>
      </w:r>
      <w:r>
        <w:rPr>
          <w:rFonts w:ascii="Arial" w:cs="Arial" w:eastAsia="Arial" w:hAnsi="Arial"/>
          <w:sz w:val="18"/>
          <w:szCs w:val="18"/>
          <w:b w:val="1"/>
          <w:bCs w:val="1"/>
          <w:color w:val="auto"/>
        </w:rPr>
        <w:t>.</w:t>
      </w:r>
      <w:r>
        <w:rPr>
          <w:rFonts w:ascii="Arial" w:cs="Arial" w:eastAsia="Arial" w:hAnsi="Arial"/>
          <w:sz w:val="18"/>
          <w:szCs w:val="18"/>
          <w:color w:val="auto"/>
        </w:rPr>
        <w:t xml:space="preserve"> IN ACCORDANCE WITH RULE 1281.8 OF THE CALIFORNIA CODE OF CIVIL PROCEDURE, THE PARTIES AGREE THAT ANY PARTY MAY ALSO PETITION THE COURT FOR INJUNCTIVE RELIEF WHERE EITHER PARTY ALLEGES OR CLAIMS A VIOLATION OF ANY AGREEMENT REGARDING INTELLECTUAL PROPERTY, CONFIDENTIAL INFORMATION OR NONINTERFERENCE. IN THE EVENT EITHER PARTY SEEKS INJUNCTIVE RELIEF, THE PREVAILING PARTY SHALL BE ENTITLED TO RECOVER REASONABLE COSTS AND ATTORNEYS’ FEES.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0" w:name="page131"/>
    <w:bookmarkEnd w:id="130"/>
    <w:p>
      <w:pPr>
        <w:jc w:val="both"/>
        <w:ind w:firstLine="1296"/>
        <w:spacing w:after="0" w:line="25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Administrative Relief.</w:t>
      </w:r>
      <w:r>
        <w:rPr>
          <w:rFonts w:ascii="Arial" w:cs="Arial" w:eastAsia="Arial" w:hAnsi="Arial"/>
          <w:sz w:val="18"/>
          <w:szCs w:val="18"/>
          <w:color w:val="auto"/>
        </w:rPr>
        <w:t xml:space="preserve"> CONSULTANT UNDERSTANDS THAT EXCEPT AS PERMITTED BY LAW THIS AGREEMENT DOES NOT PROHIBIT CONSULTANT FROM PURSUING CERTAIN ADMINISTRATIVE CLAIMS WITH LOCAL, STATE OR FEDERAL ADMINISTRATIVE BODIES OR GOVERNMENT AGENCIES SUCH AS THE DEPARTMENT OF FAIR EMPLOYMENT AND HOUSING, THE EQUAL EMPLOYMENT OPPORTUNITY COMMISSION, THE NATIONAL LABOR RELATIONS BOARD, OR THE WORKERS’ COMPENSATION BOARD. THIS AGREEMENT DOES, HOWEVER, PRECLUDE CONSULTANT FROM BRINGING ANY ALLEGED WAGE CLAIMS WITH THE DEPARTMENT OF LABOR STANDARDS ENFORCEMENT. LIKEWISE, THIS AGREEMENT DOES PRECLUDE CONSULTANT FROM PURSUING COURT ACTION REGARDING ANY ADMINISTRATIVE CLAIMS, EXCEPT AS PERMITTED BY LAW.</w:t>
      </w:r>
    </w:p>
    <w:p>
      <w:pPr>
        <w:spacing w:after="0" w:line="19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Voluntary Nature of Agreement.</w:t>
      </w:r>
      <w:r>
        <w:rPr>
          <w:rFonts w:ascii="Arial" w:cs="Arial" w:eastAsia="Arial" w:hAnsi="Arial"/>
          <w:sz w:val="18"/>
          <w:szCs w:val="18"/>
          <w:color w:val="auto"/>
        </w:rPr>
        <w:t xml:space="preserve"> CONSULTANT ACKNOWLEDGES AND AGREES THAT CONSULTANT IS EXECUTING THIS AGREEMENT VOLUNTARILY AND WITHOUT ANY DURESS OR UNDUE INFLUENCE BY THE COMPANY OR ANYONE ELSE. CONSULTANT FURTHER ACKNOWLEDGES AND AGREES THAT CONSULTANT HAS CAREFULLY READ THIS AGREEMENT AND THAT CONSULTANT HAS ASKED ANY QUESTIONS NEEDED FOR CONSULTANT TO UNDERSTAND THE TERMS, CONSEQUENCES AND BINDING EFFECT OF THIS AGREEMENT AND FULLY UNDERSTAND IT, INCLUDING THAT </w:t>
      </w:r>
      <w:r>
        <w:rPr>
          <w:rFonts w:ascii="Arial" w:cs="Arial" w:eastAsia="Arial" w:hAnsi="Arial"/>
          <w:sz w:val="18"/>
          <w:szCs w:val="18"/>
          <w:b w:val="1"/>
          <w:bCs w:val="1"/>
          <w:i w:val="1"/>
          <w:iCs w:val="1"/>
          <w:color w:val="auto"/>
        </w:rPr>
        <w:t>CONSULTANT IS WAIVING CONSULTANT’S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 TO A JURY TRIAL</w:t>
      </w:r>
      <w:r>
        <w:rPr>
          <w:rFonts w:ascii="Arial" w:cs="Arial" w:eastAsia="Arial" w:hAnsi="Arial"/>
          <w:sz w:val="18"/>
          <w:szCs w:val="18"/>
          <w:color w:val="auto"/>
        </w:rPr>
        <w:t>. FINALLY, CONSULTANT AGREES THAT CONSULTANT HAS BEEN PROVIDED AN OPPORTUNITY TO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ADVICE OF AN ATTORNEY OF CONSULTANT’S CHOICE BEFORE SIGNING THIS AGREEMENT.</w:t>
      </w:r>
    </w:p>
    <w:p>
      <w:pPr>
        <w:spacing w:after="0" w:line="191" w:lineRule="exact"/>
        <w:rPr>
          <w:sz w:val="20"/>
          <w:szCs w:val="20"/>
          <w:color w:val="auto"/>
        </w:rPr>
      </w:pPr>
    </w:p>
    <w:p>
      <w:pPr>
        <w:ind w:left="920" w:hanging="264"/>
        <w:spacing w:after="0"/>
        <w:tabs>
          <w:tab w:leader="none" w:pos="9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jc w:val="both"/>
        <w:ind w:firstLine="1304"/>
        <w:spacing w:after="0" w:line="289" w:lineRule="auto"/>
        <w:tabs>
          <w:tab w:leader="none" w:pos="1516"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 Consent to Personal Jurisdiction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shall be governed by the laws of the State of California,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 to the conflicts of law provisions of any jurisdiction. To the extent that any lawsuit is permitted under this Agreement, the Parties hereby expressly consent to the personal and exclusive jurisdiction and venue of the state and federal courts located in California.</w:t>
      </w:r>
    </w:p>
    <w:p>
      <w:pPr>
        <w:spacing w:after="0" w:line="157" w:lineRule="exact"/>
        <w:rPr>
          <w:rFonts w:ascii="Arial" w:cs="Arial" w:eastAsia="Arial" w:hAnsi="Arial"/>
          <w:sz w:val="17"/>
          <w:szCs w:val="17"/>
          <w:color w:val="auto"/>
        </w:rPr>
      </w:pPr>
    </w:p>
    <w:p>
      <w:pPr>
        <w:jc w:val="both"/>
        <w:ind w:firstLine="1304"/>
        <w:spacing w:after="0" w:line="256" w:lineRule="auto"/>
        <w:tabs>
          <w:tab w:leader="none" w:pos="1560"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Assignability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will be binding upon Consultant’s heirs, executors, assigns, administrators, and other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87" w:lineRule="exact"/>
        <w:rPr>
          <w:rFonts w:ascii="Arial" w:cs="Arial" w:eastAsia="Arial" w:hAnsi="Arial"/>
          <w:sz w:val="18"/>
          <w:szCs w:val="18"/>
          <w:color w:val="auto"/>
        </w:rPr>
      </w:pPr>
    </w:p>
    <w:p>
      <w:pPr>
        <w:jc w:val="both"/>
        <w:ind w:firstLine="1304"/>
        <w:spacing w:after="0" w:line="258" w:lineRule="auto"/>
        <w:tabs>
          <w:tab w:leader="none" w:pos="1506"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between the Parties with respect to the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1" w:name="page132"/>
    <w:bookmarkEnd w:id="131"/>
    <w:p>
      <w:pPr>
        <w:ind w:left="130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Headings</w:t>
      </w:r>
      <w:r>
        <w:rPr>
          <w:rFonts w:ascii="Arial" w:cs="Arial" w:eastAsia="Arial" w:hAnsi="Arial"/>
          <w:sz w:val="16"/>
          <w:szCs w:val="16"/>
          <w:b w:val="1"/>
          <w:bCs w:val="1"/>
          <w:color w:val="auto"/>
        </w:rPr>
        <w:t>.</w:t>
      </w:r>
      <w:r>
        <w:rPr>
          <w:rFonts w:ascii="Arial" w:cs="Arial" w:eastAsia="Arial" w:hAnsi="Arial"/>
          <w:sz w:val="16"/>
          <w:szCs w:val="16"/>
          <w:color w:val="auto"/>
        </w:rPr>
        <w:t xml:space="preserve"> Headings are used in this Agreement for reference only and shall not be considered when interpreting this Agreement.</w:t>
      </w:r>
    </w:p>
    <w:p>
      <w:pPr>
        <w:spacing w:after="0" w:line="24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8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Modification, Waiver.</w:t>
      </w:r>
      <w:r>
        <w:rPr>
          <w:rFonts w:ascii="Arial" w:cs="Arial" w:eastAsia="Arial" w:hAnsi="Arial"/>
          <w:sz w:val="18"/>
          <w:szCs w:val="18"/>
          <w:color w:val="auto"/>
        </w:rPr>
        <w:t xml:space="preserve"> 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p>
    <w:p>
      <w:pPr>
        <w:spacing w:after="0" w:line="18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i w:val="1"/>
          <w:iCs w:val="1"/>
          <w:color w:val="auto"/>
        </w:rPr>
        <w:t>Notices</w:t>
      </w:r>
      <w:r>
        <w:rPr>
          <w:rFonts w:ascii="Arial" w:cs="Arial" w:eastAsia="Arial" w:hAnsi="Arial"/>
          <w:sz w:val="16"/>
          <w:szCs w:val="16"/>
          <w:b w:val="1"/>
          <w:bCs w:val="1"/>
          <w:color w:val="auto"/>
        </w:rPr>
        <w:t>.</w:t>
      </w:r>
      <w:r>
        <w:rPr>
          <w:rFonts w:ascii="Arial" w:cs="Arial" w:eastAsia="Arial" w:hAnsi="Arial"/>
          <w:sz w:val="16"/>
          <w:szCs w:val="16"/>
          <w:color w:val="auto"/>
        </w:rPr>
        <w:t xml:space="preserve"> Any notice or other communication required or permitted by this Agreement to be given to a Party shall be in writing and 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12.G.</w:t>
      </w:r>
    </w:p>
    <w:p>
      <w:pPr>
        <w:spacing w:after="0" w:line="15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If to the Company, to:</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Stowe Pharmaceuticals, Inc.</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20" w:firstLine="1952"/>
        <w:spacing w:after="0" w:line="277" w:lineRule="auto"/>
        <w:tabs>
          <w:tab w:leader="none" w:pos="2209"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to Consultant, to the address for notice on the signature page to this Agreement or, if no such address is provided, to the last address of Consultant provided by Consultant to the Company.</w:t>
      </w:r>
    </w:p>
    <w:p>
      <w:pPr>
        <w:spacing w:after="0" w:line="166" w:lineRule="exact"/>
        <w:rPr>
          <w:rFonts w:ascii="Arial" w:cs="Arial" w:eastAsia="Arial" w:hAnsi="Arial"/>
          <w:sz w:val="18"/>
          <w:szCs w:val="18"/>
          <w:color w:val="auto"/>
        </w:rPr>
      </w:pPr>
    </w:p>
    <w:p>
      <w:pPr>
        <w:jc w:val="both"/>
        <w:ind w:firstLine="1304"/>
        <w:spacing w:after="0" w:line="266" w:lineRule="auto"/>
        <w:tabs>
          <w:tab w:leader="none" w:pos="1516"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Attorneys’ Fees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any court action at law or equity that is brought by one of the Parties to this Agreement to enforce or interpret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this Agreement, the prevailing Party will be entitled to reasonable attorneys’ fees, in addition to any other relief to which that Party may be entitled.</w:t>
      </w:r>
    </w:p>
    <w:p>
      <w:pPr>
        <w:spacing w:after="0" w:line="179" w:lineRule="exact"/>
        <w:rPr>
          <w:rFonts w:ascii="Arial" w:cs="Arial" w:eastAsia="Arial" w:hAnsi="Arial"/>
          <w:sz w:val="18"/>
          <w:szCs w:val="18"/>
          <w:color w:val="auto"/>
        </w:rPr>
      </w:pPr>
    </w:p>
    <w:p>
      <w:pPr>
        <w:ind w:firstLine="1304"/>
        <w:spacing w:after="0" w:line="277" w:lineRule="auto"/>
        <w:tabs>
          <w:tab w:leader="none" w:pos="1446"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Signatures. </w:t>
      </w:r>
      <w:r>
        <w:rPr>
          <w:rFonts w:ascii="Arial" w:cs="Arial" w:eastAsia="Arial" w:hAnsi="Arial"/>
          <w:sz w:val="18"/>
          <w:szCs w:val="18"/>
          <w:color w:val="auto"/>
        </w:rPr>
        <w:t>This Agreement may be signed in two counterparts, each of which shall be deemed an original, with the same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effectiveness as though executed in a single document.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2" w:name="page133"/>
    <w:bookmarkEnd w:id="132"/>
    <w:p>
      <w:pPr>
        <w:jc w:val="both"/>
        <w:ind w:firstLine="1296"/>
        <w:spacing w:after="0" w:line="286" w:lineRule="auto"/>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b w:val="1"/>
          <w:bCs w:val="1"/>
          <w:i w:val="1"/>
          <w:iCs w:val="1"/>
          <w:color w:val="auto"/>
        </w:rPr>
        <w:t>Applicability to Past Activities.</w:t>
      </w:r>
      <w:r>
        <w:rPr>
          <w:rFonts w:ascii="Arial" w:cs="Arial" w:eastAsia="Arial" w:hAnsi="Arial"/>
          <w:sz w:val="16"/>
          <w:szCs w:val="16"/>
          <w:color w:val="auto"/>
        </w:rPr>
        <w:t xml:space="preserve"> Consultant agrees that if and to the extent that Consultant provided any services or made efforts on behalf of or for the benefit of Company, or related to the current or prospective business of Company in anticipation of Consultant’s involvement with the Company, that would have been “Services” if performed during the term of this Agreement (the “</w:t>
      </w:r>
      <w:r>
        <w:rPr>
          <w:rFonts w:ascii="Arial" w:cs="Arial" w:eastAsia="Arial" w:hAnsi="Arial"/>
          <w:sz w:val="16"/>
          <w:szCs w:val="16"/>
          <w:b w:val="1"/>
          <w:bCs w:val="1"/>
          <w:i w:val="1"/>
          <w:iCs w:val="1"/>
          <w:color w:val="auto"/>
        </w:rPr>
        <w:t>Prior Consulting Period</w:t>
      </w:r>
      <w:r>
        <w:rPr>
          <w:rFonts w:ascii="Arial" w:cs="Arial" w:eastAsia="Arial" w:hAnsi="Arial"/>
          <w:sz w:val="16"/>
          <w:szCs w:val="16"/>
          <w:color w:val="auto"/>
        </w:rPr>
        <w:t>”) and to the extent that during the Prior Consulting Period: (i) Consultant received access to any information from or on behalf of Company that would have been “Confidential Information” if Consultant received access to such information during the term of this Agreement; or (ii) Consultant (a) conceived, created, authored, invented, developed or reduced to practice any item (including any intellectual property rights with respect thereto) on behalf of or for the benefit of Company, or related to the current or prospective business of Company in anticipation of Consultant’s involvement with Company, that would have been an Invention if conceived, created, authored, invented, developed or reduced to practice during the term of this Agreement; or (b) incorporated into any such item any pre-existing invention, improvement, development, concept, discovery or other proprietary information that would have been a Prior Invention if incorporated into such item during the term of this Agreement; 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Consultant further acknowledges that Consultant has been fully compensated for all services provided during any such Prior Consulting Period.</w:t>
      </w:r>
    </w:p>
    <w:p>
      <w:pPr>
        <w:spacing w:after="0" w:line="17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i w:val="1"/>
          <w:iCs w:val="1"/>
          <w:color w:val="auto"/>
        </w:rPr>
        <w:t>Protected Activity Not Prohibited.</w:t>
      </w:r>
      <w:r>
        <w:rPr>
          <w:rFonts w:ascii="Arial" w:cs="Arial" w:eastAsia="Arial" w:hAnsi="Arial"/>
          <w:sz w:val="16"/>
          <w:szCs w:val="16"/>
          <w:color w:val="auto"/>
        </w:rPr>
        <w:t xml:space="preserve"> Consultant understands that nothing in this Agreement shall in any way limit or prohibit Consultant from engaging in any Protected Activity. For purposes of this Agreement,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 w:cs="Arial" w:eastAsia="Arial" w:hAnsi="Arial"/>
          <w:sz w:val="16"/>
          <w:szCs w:val="16"/>
          <w:b w:val="1"/>
          <w:bCs w:val="1"/>
          <w:i w:val="1"/>
          <w:iCs w:val="1"/>
          <w:color w:val="auto"/>
        </w:rPr>
        <w:t>Government Agencies</w:t>
      </w:r>
      <w:r>
        <w:rPr>
          <w:rFonts w:ascii="Arial" w:cs="Arial" w:eastAsia="Arial" w:hAnsi="Arial"/>
          <w:sz w:val="16"/>
          <w:szCs w:val="16"/>
          <w:color w:val="auto"/>
        </w:rPr>
        <w:t>”). Consultant understands that in connection with such Protected Activity, Consultant is permitted to disclose documents or other information as permitted by law, and without giving notice to, or receiving authorization from, the Company. Notwithstanding the foregoing, Consultant agrees to take all reasonable precautions to prevent any unauthorized use or disclosure of any information that may constitute Company confidential information to any parties other than the Government Agencies. Consultant further understands that “</w:t>
      </w:r>
      <w:r>
        <w:rPr>
          <w:rFonts w:ascii="Arial" w:cs="Arial" w:eastAsia="Arial" w:hAnsi="Arial"/>
          <w:sz w:val="16"/>
          <w:szCs w:val="16"/>
          <w:b w:val="1"/>
          <w:bCs w:val="1"/>
          <w:i w:val="1"/>
          <w:iCs w:val="1"/>
          <w:color w:val="auto"/>
        </w:rPr>
        <w:t>Protected Activity</w:t>
      </w:r>
      <w:r>
        <w:rPr>
          <w:rFonts w:ascii="Arial" w:cs="Arial" w:eastAsia="Arial" w:hAnsi="Arial"/>
          <w:sz w:val="16"/>
          <w:szCs w:val="16"/>
          <w:color w:val="auto"/>
        </w:rPr>
        <w:t xml:space="preserve">” does not include the disclosure of any Company attorney-client privileged communications.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6"/>
          <w:szCs w:val="16"/>
          <w:i w:val="1"/>
          <w:iCs w:val="1"/>
          <w:color w:val="auto"/>
        </w:rPr>
        <w:t>solely</w:t>
      </w:r>
      <w:r>
        <w:rPr>
          <w:rFonts w:ascii="Arial" w:cs="Arial" w:eastAsia="Arial" w:hAnsi="Arial"/>
          <w:sz w:val="16"/>
          <w:szCs w:val="16"/>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3" w:name="page134"/>
    <w:bookmarkEnd w:id="133"/>
    <w:p>
      <w:pPr>
        <w:ind w:left="660"/>
        <w:spacing w:after="0"/>
        <w:rPr>
          <w:sz w:val="20"/>
          <w:szCs w:val="20"/>
          <w:color w:val="auto"/>
        </w:rPr>
      </w:pPr>
      <w:r>
        <w:rPr>
          <w:rFonts w:ascii="Arial" w:cs="Arial" w:eastAsia="Arial" w:hAnsi="Arial"/>
          <w:sz w:val="16"/>
          <w:szCs w:val="16"/>
          <w:color w:val="auto"/>
        </w:rPr>
        <w:t>IN WITNESS WHEREOF, the Parties hereto have executed this Consulting Agreement as of the date first written above.</w:t>
      </w:r>
    </w:p>
    <w:p>
      <w:pPr>
        <w:sectPr>
          <w:pgSz w:w="11900" w:h="16838" w:orient="portrait"/>
          <w:cols w:equalWidth="0" w:num="1">
            <w:col w:w="10139"/>
          </w:cols>
          <w:pgMar w:left="320" w:top="665" w:right="1440"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Saharek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1457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3">
                      <a:extLst>
                        <a:ext uri="{28A0092B-C50C-407E-A947-70E740481C1C}"/>
                      </a:extLst>
                    </a:blip>
                    <a:srcRect/>
                    <a:stretch>
                      <a:fillRect/>
                    </a:stretch>
                  </pic:blipFill>
                  <pic:spPr bwMode="auto">
                    <a:xfrm>
                      <a:off x="0" y="0"/>
                      <a:ext cx="314579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-130175</wp:posOffset>
            </wp:positionV>
            <wp:extent cx="31457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4">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102 Woodmont Blvd. Suite 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566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Nashville, TN 37205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566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Stowe Pharmaceuticals, Inc.</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Boll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23495</wp:posOffset>
            </wp:positionV>
            <wp:extent cx="313753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8">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-130175</wp:posOffset>
            </wp:positionV>
            <wp:extent cx="313753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31750</wp:posOffset>
            </wp:positionV>
            <wp:extent cx="313753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0">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1068705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020" w:space="720"/>
            <w:col w:w="4399"/>
          </w:cols>
          <w:pgMar w:left="320" w:top="665" w:right="1440"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SERVICES AND COMPENSATION</w:t>
      </w:r>
    </w:p>
    <w:p>
      <w:pPr>
        <w:spacing w:after="0" w:line="225" w:lineRule="exact"/>
        <w:rPr>
          <w:sz w:val="20"/>
          <w:szCs w:val="20"/>
          <w:color w:val="auto"/>
        </w:rPr>
      </w:pPr>
    </w:p>
    <w:p>
      <w:pPr>
        <w:ind w:left="1700" w:right="6800" w:hanging="1044"/>
        <w:spacing w:after="0" w:line="526" w:lineRule="auto"/>
        <w:tabs>
          <w:tab w:leader="none" w:pos="841"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Contact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principal Company contact: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 Andrew R. Boll</w:t>
      </w:r>
    </w:p>
    <w:p>
      <w:pPr>
        <w:spacing w:after="0" w:line="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Title:  Executive Director</w:t>
      </w:r>
    </w:p>
    <w:p>
      <w:pPr>
        <w:spacing w:after="0" w:line="26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Email: aboll@harrowinc.com</w:t>
      </w:r>
    </w:p>
    <w:p>
      <w:pPr>
        <w:spacing w:after="0" w:line="26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Phone: (615) 733-4731</w:t>
      </w:r>
    </w:p>
    <w:p>
      <w:pPr>
        <w:spacing w:after="0" w:line="265" w:lineRule="exact"/>
        <w:rPr>
          <w:rFonts w:ascii="Arial" w:cs="Arial" w:eastAsia="Arial" w:hAnsi="Arial"/>
          <w:sz w:val="18"/>
          <w:szCs w:val="18"/>
          <w:color w:val="auto"/>
        </w:rPr>
      </w:pPr>
    </w:p>
    <w:p>
      <w:pPr>
        <w:ind w:firstLine="656"/>
        <w:spacing w:after="0" w:line="277" w:lineRule="auto"/>
        <w:tabs>
          <w:tab w:leader="none" w:pos="828"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color w:val="auto"/>
        </w:rPr>
        <w:t>. Consultant shall provide advisory services to the Company relating to its sales and marketing activities and other related services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requested from time to time by the Company.</w:t>
      </w:r>
    </w:p>
    <w:p>
      <w:pPr>
        <w:spacing w:after="0" w:line="166" w:lineRule="exact"/>
        <w:rPr>
          <w:rFonts w:ascii="Arial" w:cs="Arial" w:eastAsia="Arial" w:hAnsi="Arial"/>
          <w:sz w:val="18"/>
          <w:szCs w:val="18"/>
          <w:color w:val="auto"/>
        </w:rPr>
      </w:pPr>
    </w:p>
    <w:p>
      <w:pPr>
        <w:ind w:left="840" w:hanging="184"/>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firstLine="1304"/>
        <w:spacing w:after="0" w:line="275" w:lineRule="auto"/>
        <w:tabs>
          <w:tab w:leader="none" w:pos="1519" w:val="left"/>
        </w:tabs>
        <w:numPr>
          <w:ilvl w:val="1"/>
          <w:numId w:val="62"/>
        </w:numPr>
        <w:rPr>
          <w:rFonts w:ascii="Arial" w:cs="Arial" w:eastAsia="Arial" w:hAnsi="Arial"/>
          <w:sz w:val="17"/>
          <w:szCs w:val="17"/>
          <w:color w:val="auto"/>
        </w:rPr>
      </w:pPr>
      <w:r>
        <w:rPr>
          <w:rFonts w:ascii="Arial" w:cs="Arial" w:eastAsia="Arial" w:hAnsi="Arial"/>
          <w:sz w:val="17"/>
          <w:szCs w:val="17"/>
          <w:color w:val="auto"/>
        </w:rPr>
        <w:t>Subject to the approval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and the approval of a valuation of the Company’s common stock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sufficient to satisfy the requirements of Section 409A of the Internal Revenue Code of 1986, the Company will grant Consultant a nonqualified stock option to purchase 25,000 shares of Common Stock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at a price per share equal to the fair market value per share of the Common Stock on the date of grant, as determined by the Board. The Shares will be subject to the terms and conditions of the Company’s 2020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a stock option agreement between Consultant and the Company.</w:t>
      </w:r>
    </w:p>
    <w:p>
      <w:pPr>
        <w:spacing w:after="0" w:line="176" w:lineRule="exact"/>
        <w:rPr>
          <w:rFonts w:ascii="Arial" w:cs="Arial" w:eastAsia="Arial" w:hAnsi="Arial"/>
          <w:sz w:val="17"/>
          <w:szCs w:val="17"/>
          <w:color w:val="auto"/>
        </w:rPr>
      </w:pPr>
    </w:p>
    <w:p>
      <w:pPr>
        <w:ind w:left="1520" w:hanging="216"/>
        <w:spacing w:after="0"/>
        <w:tabs>
          <w:tab w:leader="none" w:pos="15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shares subject to the Options shall immediately vest upon the earliest of:</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Common Stock, pursuant to which the Common Stock is priced for initial public offering; or</w:t>
      </w:r>
    </w:p>
    <w:p>
      <w:pPr>
        <w:spacing w:after="0" w:line="170"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date of closing of a bona-fide equity financing with third party investors resulting in cash gross proceeds to the Company of at least $10,000,000 (the “</w:t>
      </w:r>
      <w:r>
        <w:rPr>
          <w:rFonts w:ascii="Arial" w:cs="Arial" w:eastAsia="Arial" w:hAnsi="Arial"/>
          <w:sz w:val="18"/>
          <w:szCs w:val="18"/>
          <w:b w:val="1"/>
          <w:bCs w:val="1"/>
          <w:i w:val="1"/>
          <w:iCs w:val="1"/>
          <w:color w:val="auto"/>
        </w:rPr>
        <w:t>Qualified Financing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-2916555</wp:posOffset>
            </wp:positionV>
            <wp:extent cx="463740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2">
                      <a:extLst>
                        <a:ext uri="{28A0092B-C50C-407E-A947-70E740481C1C}"/>
                      </a:extLst>
                    </a:blip>
                    <a:srcRect/>
                    <a:stretch>
                      <a:fillRect/>
                    </a:stretch>
                  </pic:blipFill>
                  <pic:spPr bwMode="auto">
                    <a:xfrm>
                      <a:off x="0" y="0"/>
                      <a:ext cx="463740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-3216910</wp:posOffset>
            </wp:positionV>
            <wp:extent cx="463740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3">
                      <a:extLst>
                        <a:ext uri="{28A0092B-C50C-407E-A947-70E740481C1C}"/>
                      </a:extLst>
                    </a:blip>
                    <a:srcRect/>
                    <a:stretch>
                      <a:fillRect/>
                    </a:stretch>
                  </pic:blipFill>
                  <pic:spPr bwMode="auto">
                    <a:xfrm>
                      <a:off x="0" y="0"/>
                      <a:ext cx="463740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-3516630</wp:posOffset>
            </wp:positionV>
            <wp:extent cx="463740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4">
                      <a:extLst>
                        <a:ext uri="{28A0092B-C50C-407E-A947-70E740481C1C}"/>
                      </a:extLst>
                    </a:blip>
                    <a:srcRect/>
                    <a:stretch>
                      <a:fillRect/>
                    </a:stretch>
                  </pic:blipFill>
                  <pic:spPr bwMode="auto">
                    <a:xfrm>
                      <a:off x="0" y="0"/>
                      <a:ext cx="4637405" cy="1714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-3816985</wp:posOffset>
            </wp:positionV>
            <wp:extent cx="463740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5">
                      <a:extLst>
                        <a:ext uri="{28A0092B-C50C-407E-A947-70E740481C1C}"/>
                      </a:extLst>
                    </a:blip>
                    <a:srcRect/>
                    <a:stretch>
                      <a:fillRect/>
                    </a:stretch>
                  </pic:blipFill>
                  <pic:spPr bwMode="auto">
                    <a:xfrm>
                      <a:off x="0" y="0"/>
                      <a:ext cx="4637405" cy="17145"/>
                    </a:xfrm>
                    <a:prstGeom prst="rect">
                      <a:avLst/>
                    </a:prstGeom>
                    <a:noFill/>
                  </pic:spPr>
                </pic:pic>
              </a:graphicData>
            </a:graphic>
          </wp:anchor>
        </w:drawing>
      </w:r>
    </w:p>
    <w:p>
      <w:pPr>
        <w:spacing w:after="0" w:line="15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and in any case of (1), (2) and (3) (each, a “</w:t>
      </w:r>
      <w:r>
        <w:rPr>
          <w:rFonts w:ascii="Arial" w:cs="Arial" w:eastAsia="Arial" w:hAnsi="Arial"/>
          <w:sz w:val="18"/>
          <w:szCs w:val="18"/>
          <w:b w:val="1"/>
          <w:bCs w:val="1"/>
          <w:i w:val="1"/>
          <w:iCs w:val="1"/>
          <w:color w:val="auto"/>
        </w:rPr>
        <w:t>Vesting Event</w:t>
      </w:r>
      <w:r>
        <w:rPr>
          <w:rFonts w:ascii="Arial" w:cs="Arial" w:eastAsia="Arial" w:hAnsi="Arial"/>
          <w:sz w:val="18"/>
          <w:szCs w:val="18"/>
          <w:color w:val="auto"/>
        </w:rPr>
        <w:t>”), subject to Consultant’s continuous status as a Service Provider (as defined in the Plan) through the date of such Vesting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5" w:name="page136"/>
    <w:bookmarkEnd w:id="135"/>
    <w:p>
      <w:pPr>
        <w:jc w:val="both"/>
        <w:ind w:firstLine="1296"/>
        <w:spacing w:after="0" w:line="273" w:lineRule="auto"/>
        <w:rPr>
          <w:sz w:val="20"/>
          <w:szCs w:val="20"/>
          <w:color w:val="auto"/>
        </w:rPr>
      </w:pPr>
      <w:r>
        <w:rPr>
          <w:rFonts w:ascii="Arial" w:cs="Arial" w:eastAsia="Arial" w:hAnsi="Arial"/>
          <w:sz w:val="17"/>
          <w:szCs w:val="17"/>
          <w:color w:val="auto"/>
        </w:rPr>
        <w:t>C. All payments and benefits provided for under this Agreement are intended to be exempt from or otherwise comply with the requirements of Section 409A of the Internal Revenue Code of 1986, as amended, and the regulations and guidance thereunder (together,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reimburse Consultant for any taxes that may be imposed on Consultant as a result of Section 409A.</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accepted and agreed upon as of February 13,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188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STOWE PHARMACEUTICALS, INC.</w:t>
            </w:r>
          </w:p>
        </w:tc>
      </w:tr>
      <w:tr>
        <w:trPr>
          <w:trHeight w:val="453"/>
        </w:trPr>
        <w:tc>
          <w:tcPr>
            <w:tcW w:w="3640" w:type="dxa"/>
            <w:vAlign w:val="bottom"/>
            <w:gridSpan w:val="2"/>
          </w:tcPr>
          <w:p>
            <w:pPr>
              <w:spacing w:after="0"/>
              <w:rPr>
                <w:sz w:val="20"/>
                <w:szCs w:val="20"/>
                <w:color w:val="auto"/>
              </w:rPr>
            </w:pPr>
            <w:r>
              <w:rPr>
                <w:rFonts w:ascii="Arial" w:cs="Arial" w:eastAsia="Arial" w:hAnsi="Arial"/>
                <w:sz w:val="18"/>
                <w:szCs w:val="18"/>
                <w:color w:val="auto"/>
              </w:rPr>
              <w:t>By:   /s/ John Saharek</w:t>
            </w:r>
          </w:p>
        </w:tc>
        <w:tc>
          <w:tcPr>
            <w:tcW w:w="188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/s/ Andrew Boll</w:t>
            </w:r>
          </w:p>
        </w:tc>
      </w:tr>
      <w:tr>
        <w:trPr>
          <w:trHeight w:val="223"/>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John Saharek</w:t>
            </w:r>
          </w:p>
        </w:tc>
        <w:tc>
          <w:tcPr>
            <w:tcW w:w="1880" w:type="dxa"/>
            <w:vAlign w:val="bottom"/>
            <w:tcBorders>
              <w:top w:val="single" w:sz="8" w:color="auto"/>
              <w:bottom w:val="single" w:sz="8" w:color="auto"/>
            </w:tcBorders>
          </w:tcPr>
          <w:p>
            <w:pPr>
              <w:spacing w:after="0"/>
              <w:rPr>
                <w:sz w:val="19"/>
                <w:szCs w:val="19"/>
                <w:color w:val="auto"/>
              </w:rPr>
            </w:pPr>
          </w:p>
        </w:tc>
        <w:tc>
          <w:tcPr>
            <w:tcW w:w="780" w:type="dxa"/>
            <w:vAlign w:val="bottom"/>
          </w:tcPr>
          <w:p>
            <w:pPr>
              <w:ind w:left="220"/>
              <w:spacing w:after="0" w:line="202"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Andrew R. Boll</w:t>
            </w:r>
          </w:p>
        </w:tc>
      </w:tr>
      <w:tr>
        <w:trPr>
          <w:trHeight w:val="236"/>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80" w:type="dxa"/>
            <w:vAlign w:val="bottom"/>
          </w:tcPr>
          <w:p>
            <w:pPr>
              <w:ind w:left="22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Director</w:t>
            </w:r>
          </w:p>
        </w:tc>
      </w:tr>
      <w:tr>
        <w:trPr>
          <w:trHeight w:val="439"/>
        </w:trPr>
        <w:tc>
          <w:tcPr>
            <w:tcW w:w="5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7340" w:type="dxa"/>
            <w:vAlign w:val="bottom"/>
            <w:gridSpan w:val="3"/>
          </w:tcPr>
          <w:p>
            <w:pPr>
              <w:jc w:val="center"/>
              <w:ind w:right="3790"/>
              <w:spacing w:after="0"/>
              <w:rPr>
                <w:sz w:val="20"/>
                <w:szCs w:val="20"/>
                <w:color w:val="auto"/>
              </w:rPr>
            </w:pPr>
            <w:r>
              <w:rPr>
                <w:rFonts w:ascii="Arial" w:cs="Arial" w:eastAsia="Arial" w:hAnsi="Arial"/>
                <w:sz w:val="18"/>
                <w:szCs w:val="18"/>
                <w:b w:val="1"/>
                <w:bCs w:val="1"/>
                <w:color w:val="auto"/>
              </w:rPr>
              <w:t>HARROW HEALTH, INC. SUBSIDIARIES</w:t>
            </w:r>
          </w:p>
        </w:tc>
      </w:tr>
      <w:tr>
        <w:trPr>
          <w:trHeight w:val="230"/>
        </w:trPr>
        <w:tc>
          <w:tcPr>
            <w:tcW w:w="3900" w:type="dxa"/>
            <w:vAlign w:val="bottom"/>
          </w:tcPr>
          <w:p>
            <w:pPr>
              <w:spacing w:after="0"/>
              <w:rPr>
                <w:sz w:val="20"/>
                <w:szCs w:val="20"/>
                <w:color w:val="auto"/>
              </w:rPr>
            </w:pPr>
          </w:p>
        </w:tc>
        <w:tc>
          <w:tcPr>
            <w:tcW w:w="7340" w:type="dxa"/>
            <w:vAlign w:val="bottom"/>
            <w:gridSpan w:val="3"/>
          </w:tcPr>
          <w:p>
            <w:pPr>
              <w:jc w:val="center"/>
              <w:ind w:right="3810"/>
              <w:spacing w:after="0"/>
              <w:rPr>
                <w:sz w:val="20"/>
                <w:szCs w:val="20"/>
                <w:color w:val="auto"/>
              </w:rPr>
            </w:pPr>
            <w:r>
              <w:rPr>
                <w:rFonts w:ascii="Arial" w:cs="Arial" w:eastAsia="Arial" w:hAnsi="Arial"/>
                <w:sz w:val="18"/>
                <w:szCs w:val="18"/>
                <w:color w:val="auto"/>
                <w:w w:val="89"/>
              </w:rPr>
              <w:t>as of December 31, 2019</w:t>
            </w:r>
          </w:p>
        </w:tc>
      </w:tr>
      <w:tr>
        <w:trPr>
          <w:trHeight w:val="452"/>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1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of Incorporation or Organization</w:t>
            </w:r>
          </w:p>
        </w:tc>
      </w:tr>
      <w:tr>
        <w:trPr>
          <w:trHeight w:val="202"/>
        </w:trPr>
        <w:tc>
          <w:tcPr>
            <w:tcW w:w="3900" w:type="dxa"/>
            <w:vAlign w:val="bottom"/>
          </w:tcPr>
          <w:p>
            <w:pPr>
              <w:jc w:val="center"/>
              <w:ind w:left="1550"/>
              <w:spacing w:after="0" w:line="201" w:lineRule="exact"/>
              <w:rPr>
                <w:sz w:val="20"/>
                <w:szCs w:val="20"/>
                <w:color w:val="auto"/>
              </w:rPr>
            </w:pPr>
            <w:r>
              <w:rPr>
                <w:rFonts w:ascii="Arial" w:cs="Arial" w:eastAsia="Arial" w:hAnsi="Arial"/>
                <w:sz w:val="18"/>
                <w:szCs w:val="18"/>
                <w:color w:val="auto"/>
                <w:w w:val="97"/>
              </w:rPr>
              <w:t>ImprimisRx, LLC</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201" w:lineRule="exact"/>
              <w:rPr>
                <w:sz w:val="20"/>
                <w:szCs w:val="20"/>
                <w:color w:val="auto"/>
              </w:rPr>
            </w:pPr>
            <w:r>
              <w:rPr>
                <w:rFonts w:ascii="Arial" w:cs="Arial" w:eastAsia="Arial" w:hAnsi="Arial"/>
                <w:sz w:val="18"/>
                <w:szCs w:val="18"/>
                <w:color w:val="auto"/>
                <w:w w:val="92"/>
              </w:rPr>
              <w:t>Delaware</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5"/>
              </w:rPr>
              <w:t>Imprimis NJOF,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7"/>
              </w:rPr>
              <w:t>ImprimisRx NJ,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Park Compounding, Inc.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Harrow IP,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2"/>
              </w:rPr>
              <w:t>Eton Pharma Equity,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Surface Pharma Equity,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3"/>
              </w:rPr>
              <w:t>Melt Pharma Equity,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2"/>
              </w:rPr>
              <w:t>Stowe Pharma Equity,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Mayfield Pharma Equity, LLC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89"/>
              </w:rPr>
              <w:t>Stowe Pharmaceuticals, Inc.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3900" w:type="dxa"/>
            <w:vAlign w:val="bottom"/>
          </w:tcPr>
          <w:p>
            <w:pPr>
              <w:jc w:val="center"/>
              <w:ind w:left="1550"/>
              <w:spacing w:after="0"/>
              <w:rPr>
                <w:sz w:val="20"/>
                <w:szCs w:val="20"/>
                <w:color w:val="auto"/>
              </w:rPr>
            </w:pPr>
            <w:r>
              <w:rPr>
                <w:rFonts w:ascii="Arial" w:cs="Arial" w:eastAsia="Arial" w:hAnsi="Arial"/>
                <w:sz w:val="18"/>
                <w:szCs w:val="18"/>
                <w:color w:val="auto"/>
                <w:w w:val="90"/>
              </w:rPr>
              <w:t>Radley Pharmaceuticals, Inc.</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Mayfield Pharmaceuticals, Inc.</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9"/>
        </w:trPr>
        <w:tc>
          <w:tcPr>
            <w:tcW w:w="39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37" w:name="page138"/>
    <w:bookmarkEnd w:id="137"/>
    <w:p>
      <w:pPr>
        <w:ind w:left="1012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333-159159, 333-183488, 333-198674 and 333-220186 on Form S-8 and Registration Statement Nos. 333-198675, 333-215672 and 333-218308 on Form S-3 of our report dated March 13, 2020, relating to the consolidated financial statements of Harrow Health, Inc. and subsidiaries (the “Company”) and the effectiveness of the Company’s internal control over financial reporting, appearing in this Annual Report on Form 10-K of Harrow Health, Inc. for the year ended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2019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13, 2020</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ind w:left="10120"/>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2019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Date: March 13, 2020</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14605</wp:posOffset>
            </wp:positionV>
            <wp:extent cx="368617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0">
                      <a:extLst>
                        <a:ext uri="{28A0092B-C50C-407E-A947-70E740481C1C}"/>
                      </a:extLst>
                    </a:blip>
                    <a:srcRect/>
                    <a:stretch>
                      <a:fillRect/>
                    </a:stretch>
                  </pic:blipFill>
                  <pic:spPr bwMode="auto">
                    <a:xfrm>
                      <a:off x="0" y="0"/>
                      <a:ext cx="3686175" cy="17145"/>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Andrew R. Boll</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 Mark L. Baum, Chief Executive Officer of Harrow Health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660" w:hanging="271"/>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2019 (the “Report”) fully complies with the requirements of Section 13(a) or 15(d) of the Securities Exchange Act of 1934; and; and</w:t>
      </w:r>
    </w:p>
    <w:p>
      <w:pPr>
        <w:spacing w:after="0" w:line="170" w:lineRule="exact"/>
        <w:rPr>
          <w:rFonts w:ascii="Arial" w:cs="Arial" w:eastAsia="Arial" w:hAnsi="Arial"/>
          <w:sz w:val="18"/>
          <w:szCs w:val="18"/>
          <w:color w:val="auto"/>
        </w:rPr>
      </w:pPr>
    </w:p>
    <w:p>
      <w:pPr>
        <w:ind w:right="460" w:firstLine="389"/>
        <w:spacing w:after="0" w:line="500"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Date: March 13,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Andrew R. Boll, Chief Financial Officer of Harrow Health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firstLine="449"/>
        <w:spacing w:after="0" w:line="277" w:lineRule="auto"/>
        <w:tabs>
          <w:tab w:leader="none" w:pos="7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2019 (the “Report”) fully complies with the requirements of Section 13(a) or 15(d) of the Securities Exchange Act of 1934; and; and</w:t>
      </w:r>
    </w:p>
    <w:p>
      <w:pPr>
        <w:spacing w:after="0" w:line="170" w:lineRule="exact"/>
        <w:rPr>
          <w:rFonts w:ascii="Arial" w:cs="Arial" w:eastAsia="Arial" w:hAnsi="Arial"/>
          <w:sz w:val="18"/>
          <w:szCs w:val="18"/>
          <w:color w:val="auto"/>
        </w:rPr>
      </w:pPr>
    </w:p>
    <w:p>
      <w:pPr>
        <w:ind w:right="420" w:firstLine="449"/>
        <w:spacing w:after="0" w:line="500" w:lineRule="auto"/>
        <w:tabs>
          <w:tab w:leader="none" w:pos="6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 Date: March 13,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upperLetter"/>
      <w:start w:val="24"/>
    </w:lvl>
  </w:abstractNum>
  <w:abstractNum w:abstractNumId="1">
    <w:nsid w:val="614FD4A1"/>
    <w:multiLevelType w:val="hybridMultilevel"/>
    <w:lvl w:ilvl="0">
      <w:lvlJc w:val="left"/>
      <w:lvlText w:val="(%1)"/>
      <w:numFmt w:val="decimal"/>
      <w:start w:val="2"/>
    </w:lvl>
  </w:abstractNum>
  <w:abstractNum w:abstractNumId="2">
    <w:nsid w:val="419AC241"/>
    <w:multiLevelType w:val="hybridMultilevel"/>
    <w:lvl w:ilvl="0">
      <w:lvlJc w:val="left"/>
      <w:lvlText w:val="(%1)"/>
      <w:numFmt w:val="lowerRoman"/>
      <w:start w:val="2"/>
    </w:lvl>
  </w:abstractNum>
  <w:abstractNum w:abstractNumId="3">
    <w:nsid w:val="5577F8E1"/>
    <w:multiLevelType w:val="hybridMultilevel"/>
    <w:lvl w:ilvl="0">
      <w:lvlJc w:val="left"/>
      <w:lvlText w:val="(%1)"/>
      <w:numFmt w:val="lowerRoman"/>
      <w:start w:val="4"/>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decimal"/>
      <w:start w:val="2"/>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lowerLetter"/>
      <w:start w:val="1"/>
    </w:lvl>
    <w:lvl w:ilvl="1">
      <w:lvlJc w:val="left"/>
      <w:lvlText w:val="(%2)"/>
      <w:numFmt w:val="decimal"/>
      <w:start w:val="1"/>
    </w:lvl>
  </w:abstractNum>
  <w:abstractNum w:abstractNumId="16">
    <w:nsid w:val="3855585C"/>
    <w:multiLevelType w:val="hybridMultilevel"/>
    <w:lvl w:ilvl="0">
      <w:lvlJc w:val="left"/>
      <w:lvlText w:val="%1"/>
      <w:numFmt w:val="decimal"/>
      <w:start w:val="104"/>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2"/>
    </w:lvl>
    <w:lvl w:ilvl="1">
      <w:lvlJc w:val="left"/>
      <w:lvlText w:val="%2"/>
      <w:numFmt w:val="upperLetter"/>
      <w:start w:val="1"/>
    </w:lvl>
  </w:abstractNum>
  <w:abstractNum w:abstractNumId="27">
    <w:nsid w:val="6DE91B18"/>
    <w:multiLevelType w:val="hybridMultilevel"/>
    <w:lvl w:ilvl="0">
      <w:lvlJc w:val="left"/>
      <w:lvlText w:val="%1."/>
      <w:numFmt w:val="decimal"/>
      <w:start w:val="3"/>
    </w:lvl>
    <w:lvl w:ilvl="1">
      <w:lvlJc w:val="left"/>
      <w:lvlText w:val="%2."/>
      <w:numFmt w:val="upperLetter"/>
      <w:start w:val="1"/>
    </w:lvl>
  </w:abstractNum>
  <w:abstractNum w:abstractNumId="28">
    <w:nsid w:val="38437FDB"/>
    <w:multiLevelType w:val="hybridMultilevel"/>
    <w:lvl w:ilvl="0">
      <w:lvlJc w:val="left"/>
      <w:lvlText w:val="%1."/>
      <w:numFmt w:val="decimal"/>
      <w:start w:val="4"/>
    </w:lvl>
    <w:lvl w:ilvl="1">
      <w:lvlJc w:val="left"/>
      <w:lvlText w:val="%2."/>
      <w:numFmt w:val="upperLetter"/>
      <w:start w:val="1"/>
    </w:lvl>
  </w:abstractNum>
  <w:abstractNum w:abstractNumId="29">
    <w:nsid w:val="7644A45C"/>
    <w:multiLevelType w:val="hybridMultilevel"/>
    <w:lvl w:ilvl="0">
      <w:lvlJc w:val="left"/>
      <w:lvlText w:val="%1"/>
      <w:numFmt w:val="lowerRoman"/>
      <w:start w:val="1"/>
    </w:lvl>
    <w:lvl w:ilvl="1">
      <w:lvlJc w:val="left"/>
      <w:lvlText w:val="%2."/>
      <w:numFmt w:val="decimal"/>
      <w:start w:val="6"/>
    </w:lvl>
    <w:lvl w:ilvl="2">
      <w:lvlJc w:val="left"/>
      <w:lvlText w:val="%3."/>
      <w:numFmt w:val="upperLetter"/>
      <w:start w:val="1"/>
    </w:lvl>
    <w:lvl w:ilvl="3">
      <w:lvlJc w:val="left"/>
      <w:lvlText w:val="%4"/>
      <w:numFmt w:val="decimal"/>
      <w:start w:val="1"/>
    </w:lvl>
  </w:abstractNum>
  <w:abstractNum w:abstractNumId="30">
    <w:nsid w:val="32FFF902"/>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31">
    <w:nsid w:val="684A481A"/>
    <w:multiLevelType w:val="hybridMultilevel"/>
    <w:lvl w:ilvl="0">
      <w:lvlJc w:val="left"/>
      <w:lvlText w:val="%1."/>
      <w:numFmt w:val="decimal"/>
      <w:start w:val="7"/>
    </w:lvl>
    <w:lvl w:ilvl="1">
      <w:lvlJc w:val="left"/>
      <w:lvlText w:val="%2."/>
      <w:numFmt w:val="upperLetter"/>
      <w:start w:val="1"/>
    </w:lvl>
  </w:abstractNum>
  <w:abstractNum w:abstractNumId="32">
    <w:nsid w:val="579478FE"/>
    <w:multiLevelType w:val="hybridMultilevel"/>
    <w:lvl w:ilvl="0">
      <w:lvlJc w:val="left"/>
      <w:lvlText w:val="(%1)"/>
      <w:numFmt w:val="decimal"/>
      <w:start w:val="12"/>
    </w:lvl>
  </w:abstractNum>
  <w:abstractNum w:abstractNumId="33">
    <w:nsid w:val="749ABB43"/>
    <w:multiLevelType w:val="hybridMultilevel"/>
    <w:lvl w:ilvl="0">
      <w:lvlJc w:val="left"/>
      <w:lvlText w:val="%1."/>
      <w:numFmt w:val="decimal"/>
      <w:start w:val="11"/>
    </w:lvl>
    <w:lvl w:ilvl="1">
      <w:lvlJc w:val="left"/>
      <w:lvlText w:val="%2"/>
      <w:numFmt w:val="upperLetter"/>
      <w:start w:val="1"/>
    </w:lvl>
  </w:abstractNum>
  <w:abstractNum w:abstractNumId="34">
    <w:nsid w:val="3DC240FB"/>
    <w:multiLevelType w:val="hybridMultilevel"/>
    <w:lvl w:ilvl="0">
      <w:lvlJc w:val="left"/>
      <w:lvlText w:val="%1."/>
      <w:numFmt w:val="decimal"/>
      <w:start w:val="12"/>
    </w:lvl>
    <w:lvl w:ilvl="1">
      <w:lvlJc w:val="left"/>
      <w:lvlText w:val="%2."/>
      <w:numFmt w:val="upperLetter"/>
      <w:start w:val="1"/>
    </w:lvl>
  </w:abstractNum>
  <w:abstractNum w:abstractNumId="35">
    <w:nsid w:val="1BA026FA"/>
    <w:multiLevelType w:val="hybridMultilevel"/>
    <w:lvl w:ilvl="0">
      <w:lvlJc w:val="left"/>
      <w:lvlText w:val="%1"/>
      <w:numFmt w:val="upperLetter"/>
      <w:start w:val="1"/>
    </w:lvl>
    <w:lvl w:ilvl="1">
      <w:lvlJc w:val="left"/>
      <w:lvlText w:val="(%2)"/>
      <w:numFmt w:val="decimal"/>
      <w:start w:val="2"/>
    </w:lvl>
  </w:abstractNum>
  <w:abstractNum w:abstractNumId="36">
    <w:nsid w:val="79A1DEAA"/>
    <w:multiLevelType w:val="hybridMultilevel"/>
    <w:lvl w:ilvl="0">
      <w:lvlJc w:val="left"/>
      <w:lvlText w:val="%1."/>
      <w:numFmt w:val="upperLetter"/>
      <w:start w:val="8"/>
    </w:lvl>
    <w:lvl w:ilvl="1">
      <w:lvlJc w:val="left"/>
      <w:lvlText w:val="%2"/>
      <w:numFmt w:val="decimal"/>
      <w:start w:val="1"/>
    </w:lvl>
  </w:abstractNum>
  <w:abstractNum w:abstractNumId="37">
    <w:nsid w:val="75C6C33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8">
    <w:nsid w:val="12E685FB"/>
    <w:multiLevelType w:val="hybridMultilevel"/>
    <w:lvl w:ilvl="0">
      <w:lvlJc w:val="left"/>
      <w:lvlText w:val="%1."/>
      <w:numFmt w:val="decimal"/>
      <w:start w:val="2"/>
    </w:lvl>
    <w:lvl w:ilvl="1">
      <w:lvlJc w:val="left"/>
      <w:lvlText w:val="%2"/>
      <w:numFmt w:val="upperLetter"/>
      <w:start w:val="1"/>
    </w:lvl>
  </w:abstractNum>
  <w:abstractNum w:abstractNumId="39">
    <w:nsid w:val="70C6A529"/>
    <w:multiLevelType w:val="hybridMultilevel"/>
    <w:lvl w:ilvl="0">
      <w:lvlJc w:val="left"/>
      <w:lvlText w:val="%1."/>
      <w:numFmt w:val="decimal"/>
      <w:start w:val="3"/>
    </w:lvl>
    <w:lvl w:ilvl="1">
      <w:lvlJc w:val="left"/>
      <w:lvlText w:val="%2."/>
      <w:numFmt w:val="upperLetter"/>
      <w:start w:val="1"/>
    </w:lvl>
  </w:abstractNum>
  <w:abstractNum w:abstractNumId="40">
    <w:nsid w:val="520EEDD1"/>
    <w:multiLevelType w:val="hybridMultilevel"/>
    <w:lvl w:ilvl="0">
      <w:lvlJc w:val="left"/>
      <w:lvlText w:val="%1."/>
      <w:numFmt w:val="decimal"/>
      <w:start w:val="4"/>
    </w:lvl>
    <w:lvl w:ilvl="1">
      <w:lvlJc w:val="left"/>
      <w:lvlText w:val="%2."/>
      <w:numFmt w:val="upperLetter"/>
      <w:start w:val="1"/>
    </w:lvl>
  </w:abstractNum>
  <w:abstractNum w:abstractNumId="41">
    <w:nsid w:val="374A3FE6"/>
    <w:multiLevelType w:val="hybridMultilevel"/>
    <w:lvl w:ilvl="0">
      <w:lvlJc w:val="left"/>
      <w:lvlText w:val="%1"/>
      <w:numFmt w:val="lowerRoman"/>
      <w:start w:val="1"/>
    </w:lvl>
    <w:lvl w:ilvl="1">
      <w:lvlJc w:val="left"/>
      <w:lvlText w:val="%2."/>
      <w:numFmt w:val="decimal"/>
      <w:start w:val="6"/>
    </w:lvl>
    <w:lvl w:ilvl="2">
      <w:lvlJc w:val="left"/>
      <w:lvlText w:val="%3."/>
      <w:numFmt w:val="upperLetter"/>
      <w:start w:val="1"/>
    </w:lvl>
    <w:lvl w:ilvl="3">
      <w:lvlJc w:val="left"/>
      <w:lvlText w:val="%4"/>
      <w:numFmt w:val="decimal"/>
      <w:start w:val="1"/>
    </w:lvl>
  </w:abstractNum>
  <w:abstractNum w:abstractNumId="42">
    <w:nsid w:val="4F4EF005"/>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43">
    <w:nsid w:val="23F9C13C"/>
    <w:multiLevelType w:val="hybridMultilevel"/>
    <w:lvl w:ilvl="0">
      <w:lvlJc w:val="left"/>
      <w:lvlText w:val="%1."/>
      <w:numFmt w:val="decimal"/>
      <w:start w:val="7"/>
    </w:lvl>
    <w:lvl w:ilvl="1">
      <w:lvlJc w:val="left"/>
      <w:lvlText w:val="%2."/>
      <w:numFmt w:val="upperLetter"/>
      <w:start w:val="1"/>
    </w:lvl>
  </w:abstractNum>
  <w:abstractNum w:abstractNumId="44">
    <w:nsid w:val="649BB77C"/>
    <w:multiLevelType w:val="hybridMultilevel"/>
    <w:lvl w:ilvl="0">
      <w:lvlJc w:val="left"/>
      <w:lvlText w:val="(%1)"/>
      <w:numFmt w:val="decimal"/>
      <w:start w:val="12"/>
    </w:lvl>
  </w:abstractNum>
  <w:abstractNum w:abstractNumId="45">
    <w:nsid w:val="275AC794"/>
    <w:multiLevelType w:val="hybridMultilevel"/>
    <w:lvl w:ilvl="0">
      <w:lvlJc w:val="left"/>
      <w:lvlText w:val="%1."/>
      <w:numFmt w:val="decimal"/>
      <w:start w:val="11"/>
    </w:lvl>
    <w:lvl w:ilvl="1">
      <w:lvlJc w:val="left"/>
      <w:lvlText w:val="%2"/>
      <w:numFmt w:val="upperLetter"/>
      <w:start w:val="1"/>
    </w:lvl>
  </w:abstractNum>
  <w:abstractNum w:abstractNumId="46">
    <w:nsid w:val="39386575"/>
    <w:multiLevelType w:val="hybridMultilevel"/>
    <w:lvl w:ilvl="0">
      <w:lvlJc w:val="left"/>
      <w:lvlText w:val="%1."/>
      <w:numFmt w:val="decimal"/>
      <w:start w:val="12"/>
    </w:lvl>
    <w:lvl w:ilvl="1">
      <w:lvlJc w:val="left"/>
      <w:lvlText w:val="%2."/>
      <w:numFmt w:val="upperLetter"/>
      <w:start w:val="1"/>
    </w:lvl>
  </w:abstractNum>
  <w:abstractNum w:abstractNumId="47">
    <w:nsid w:val="1CF10FD8"/>
    <w:multiLevelType w:val="hybridMultilevel"/>
    <w:lvl w:ilvl="0">
      <w:lvlJc w:val="left"/>
      <w:lvlText w:val="%1"/>
      <w:numFmt w:val="upperLetter"/>
      <w:start w:val="1"/>
    </w:lvl>
    <w:lvl w:ilvl="1">
      <w:lvlJc w:val="left"/>
      <w:lvlText w:val="(%2)"/>
      <w:numFmt w:val="decimal"/>
      <w:start w:val="2"/>
    </w:lvl>
  </w:abstractNum>
  <w:abstractNum w:abstractNumId="48">
    <w:nsid w:val="180115BE"/>
    <w:multiLevelType w:val="hybridMultilevel"/>
    <w:lvl w:ilvl="0">
      <w:lvlJc w:val="left"/>
      <w:lvlText w:val="%1."/>
      <w:numFmt w:val="upperLetter"/>
      <w:start w:val="8"/>
    </w:lvl>
    <w:lvl w:ilvl="1">
      <w:lvlJc w:val="left"/>
      <w:lvlText w:val="%2"/>
      <w:numFmt w:val="decimal"/>
      <w:start w:val="1"/>
    </w:lvl>
  </w:abstractNum>
  <w:abstractNum w:abstractNumId="49">
    <w:nsid w:val="235BA86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50">
    <w:nsid w:val="47398C89"/>
    <w:multiLevelType w:val="hybridMultilevel"/>
    <w:lvl w:ilvl="0">
      <w:lvlJc w:val="left"/>
      <w:lvlText w:val="%1."/>
      <w:numFmt w:val="decimal"/>
      <w:start w:val="2"/>
    </w:lvl>
    <w:lvl w:ilvl="1">
      <w:lvlJc w:val="left"/>
      <w:lvlText w:val="%2"/>
      <w:numFmt w:val="upperLetter"/>
      <w:start w:val="1"/>
    </w:lvl>
  </w:abstractNum>
  <w:abstractNum w:abstractNumId="51">
    <w:nsid w:val="354FE9F9"/>
    <w:multiLevelType w:val="hybridMultilevel"/>
    <w:lvl w:ilvl="0">
      <w:lvlJc w:val="left"/>
      <w:lvlText w:val="%1."/>
      <w:numFmt w:val="decimal"/>
      <w:start w:val="3"/>
    </w:lvl>
    <w:lvl w:ilvl="1">
      <w:lvlJc w:val="left"/>
      <w:lvlText w:val="%2."/>
      <w:numFmt w:val="upperLetter"/>
      <w:start w:val="1"/>
    </w:lvl>
  </w:abstractNum>
  <w:abstractNum w:abstractNumId="52">
    <w:nsid w:val="15B5AF5C"/>
    <w:multiLevelType w:val="hybridMultilevel"/>
    <w:lvl w:ilvl="0">
      <w:lvlJc w:val="left"/>
      <w:lvlText w:val="%1."/>
      <w:numFmt w:val="decimal"/>
      <w:start w:val="4"/>
    </w:lvl>
    <w:lvl w:ilvl="1">
      <w:lvlJc w:val="left"/>
      <w:lvlText w:val="%2."/>
      <w:numFmt w:val="upperLetter"/>
      <w:start w:val="1"/>
    </w:lvl>
  </w:abstractNum>
  <w:abstractNum w:abstractNumId="53">
    <w:nsid w:val="741226BB"/>
    <w:multiLevelType w:val="hybridMultilevel"/>
    <w:lvl w:ilvl="0">
      <w:lvlJc w:val="left"/>
      <w:lvlText w:val="%1"/>
      <w:numFmt w:val="lowerRoman"/>
      <w:start w:val="1"/>
    </w:lvl>
    <w:lvl w:ilvl="1">
      <w:lvlJc w:val="left"/>
      <w:lvlText w:val="%2."/>
      <w:numFmt w:val="decimal"/>
      <w:start w:val="6"/>
    </w:lvl>
    <w:lvl w:ilvl="2">
      <w:lvlJc w:val="left"/>
      <w:lvlText w:val="%3."/>
      <w:numFmt w:val="upperLetter"/>
      <w:start w:val="1"/>
    </w:lvl>
    <w:lvl w:ilvl="3">
      <w:lvlJc w:val="left"/>
      <w:lvlText w:val="%4"/>
      <w:numFmt w:val="decimal"/>
      <w:start w:val="1"/>
    </w:lvl>
  </w:abstractNum>
  <w:abstractNum w:abstractNumId="54">
    <w:nsid w:val="D34B6A8"/>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55">
    <w:nsid w:val="10233C99"/>
    <w:multiLevelType w:val="hybridMultilevel"/>
    <w:lvl w:ilvl="0">
      <w:lvlJc w:val="left"/>
      <w:lvlText w:val="%1."/>
      <w:numFmt w:val="decimal"/>
      <w:start w:val="7"/>
    </w:lvl>
    <w:lvl w:ilvl="1">
      <w:lvlJc w:val="left"/>
      <w:lvlText w:val="%2."/>
      <w:numFmt w:val="upperLetter"/>
      <w:start w:val="1"/>
    </w:lvl>
  </w:abstractNum>
  <w:abstractNum w:abstractNumId="56">
    <w:nsid w:val="3F6AB60F"/>
    <w:multiLevelType w:val="hybridMultilevel"/>
    <w:lvl w:ilvl="0">
      <w:lvlJc w:val="left"/>
      <w:lvlText w:val="(%1)"/>
      <w:numFmt w:val="decimal"/>
      <w:start w:val="12"/>
    </w:lvl>
  </w:abstractNum>
  <w:abstractNum w:abstractNumId="57">
    <w:nsid w:val="61574095"/>
    <w:multiLevelType w:val="hybridMultilevel"/>
    <w:lvl w:ilvl="0">
      <w:lvlJc w:val="left"/>
      <w:lvlText w:val="%1."/>
      <w:numFmt w:val="decimal"/>
      <w:start w:val="11"/>
    </w:lvl>
    <w:lvl w:ilvl="1">
      <w:lvlJc w:val="left"/>
      <w:lvlText w:val="%2"/>
      <w:numFmt w:val="upperLetter"/>
      <w:start w:val="1"/>
    </w:lvl>
  </w:abstractNum>
  <w:abstractNum w:abstractNumId="58">
    <w:nsid w:val="7E0C57B1"/>
    <w:multiLevelType w:val="hybridMultilevel"/>
    <w:lvl w:ilvl="0">
      <w:lvlJc w:val="left"/>
      <w:lvlText w:val="%1."/>
      <w:numFmt w:val="decimal"/>
      <w:start w:val="12"/>
    </w:lvl>
    <w:lvl w:ilvl="1">
      <w:lvlJc w:val="left"/>
      <w:lvlText w:val="%2."/>
      <w:numFmt w:val="upperLetter"/>
      <w:start w:val="1"/>
    </w:lvl>
  </w:abstractNum>
  <w:abstractNum w:abstractNumId="59">
    <w:nsid w:val="77AE35EB"/>
    <w:multiLevelType w:val="hybridMultilevel"/>
    <w:lvl w:ilvl="0">
      <w:lvlJc w:val="left"/>
      <w:lvlText w:val="%1"/>
      <w:numFmt w:val="upperLetter"/>
      <w:start w:val="1"/>
    </w:lvl>
    <w:lvl w:ilvl="1">
      <w:lvlJc w:val="left"/>
      <w:lvlText w:val="(%2)"/>
      <w:numFmt w:val="decimal"/>
      <w:start w:val="2"/>
    </w:lvl>
  </w:abstractNum>
  <w:abstractNum w:abstractNumId="60">
    <w:nsid w:val="579BE4F1"/>
    <w:multiLevelType w:val="hybridMultilevel"/>
    <w:lvl w:ilvl="0">
      <w:lvlJc w:val="left"/>
      <w:lvlText w:val="%1."/>
      <w:numFmt w:val="upperLetter"/>
      <w:start w:val="8"/>
    </w:lvl>
    <w:lvl w:ilvl="1">
      <w:lvlJc w:val="left"/>
      <w:lvlText w:val="%2"/>
      <w:numFmt w:val="decimal"/>
      <w:start w:val="1"/>
    </w:lvl>
  </w:abstractNum>
  <w:abstractNum w:abstractNumId="61">
    <w:nsid w:val="310C50B3"/>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113" Type="http://schemas.openxmlformats.org/officeDocument/2006/relationships/image" Target="media/image56.png"/><Relationship Id="rId133" Type="http://schemas.openxmlformats.org/officeDocument/2006/relationships/image" Target="media/image57.png"/><Relationship Id="rId134" Type="http://schemas.openxmlformats.org/officeDocument/2006/relationships/image" Target="media/image58.png"/><Relationship Id="rId135" Type="http://schemas.openxmlformats.org/officeDocument/2006/relationships/image" Target="media/image59.png"/><Relationship Id="rId136" Type="http://schemas.openxmlformats.org/officeDocument/2006/relationships/image" Target="media/image60.png"/><Relationship Id="rId137" Type="http://schemas.openxmlformats.org/officeDocument/2006/relationships/image" Target="media/image61.png"/><Relationship Id="rId138" Type="http://schemas.openxmlformats.org/officeDocument/2006/relationships/image" Target="media/image62.png"/><Relationship Id="rId139" Type="http://schemas.openxmlformats.org/officeDocument/2006/relationships/image" Target="media/image63.png"/><Relationship Id="rId140" Type="http://schemas.openxmlformats.org/officeDocument/2006/relationships/image" Target="media/image64.png"/><Relationship Id="rId141" Type="http://schemas.openxmlformats.org/officeDocument/2006/relationships/image" Target="media/image65.png"/><Relationship Id="rId142" Type="http://schemas.openxmlformats.org/officeDocument/2006/relationships/image" Target="media/image66.png"/><Relationship Id="rId143" Type="http://schemas.openxmlformats.org/officeDocument/2006/relationships/image" Target="media/image67.png"/><Relationship Id="rId144" Type="http://schemas.openxmlformats.org/officeDocument/2006/relationships/image" Target="media/image68.png"/><Relationship Id="rId145" Type="http://schemas.openxmlformats.org/officeDocument/2006/relationships/image" Target="media/image69.png"/><Relationship Id="rId146" Type="http://schemas.openxmlformats.org/officeDocument/2006/relationships/image" Target="media/image70.png"/><Relationship Id="rId147" Type="http://schemas.openxmlformats.org/officeDocument/2006/relationships/image" Target="media/image71.png"/><Relationship Id="rId148" Type="http://schemas.openxmlformats.org/officeDocument/2006/relationships/image" Target="media/image72.png"/><Relationship Id="rId149" Type="http://schemas.openxmlformats.org/officeDocument/2006/relationships/image" Target="media/image73.png"/><Relationship Id="rId150" Type="http://schemas.openxmlformats.org/officeDocument/2006/relationships/image" Target="media/image74.png"/><Relationship Id="rId151" Type="http://schemas.openxmlformats.org/officeDocument/2006/relationships/image" Target="media/image75.png"/><Relationship Id="rId152" Type="http://schemas.openxmlformats.org/officeDocument/2006/relationships/image" Target="media/image76.png"/><Relationship Id="rId153" Type="http://schemas.openxmlformats.org/officeDocument/2006/relationships/image" Target="media/image77.png"/><Relationship Id="rId154" Type="http://schemas.openxmlformats.org/officeDocument/2006/relationships/image" Target="media/image78.png"/><Relationship Id="rId155" Type="http://schemas.openxmlformats.org/officeDocument/2006/relationships/image" Target="media/image79.png"/><Relationship Id="rId156" Type="http://schemas.openxmlformats.org/officeDocument/2006/relationships/image" Target="media/image80.png"/><Relationship Id="rId157" Type="http://schemas.openxmlformats.org/officeDocument/2006/relationships/image" Target="media/image81.png"/><Relationship Id="rId158" Type="http://schemas.openxmlformats.org/officeDocument/2006/relationships/image" Target="media/image82.png"/><Relationship Id="rId159" Type="http://schemas.openxmlformats.org/officeDocument/2006/relationships/image" Target="media/image83.png"/><Relationship Id="rId160" Type="http://schemas.openxmlformats.org/officeDocument/2006/relationships/image" Target="media/image84.png"/><Relationship Id="rId161" Type="http://schemas.openxmlformats.org/officeDocument/2006/relationships/image" Target="media/image85.png"/><Relationship Id="rId162" Type="http://schemas.openxmlformats.org/officeDocument/2006/relationships/image" Target="media/image86.png"/><Relationship Id="rId163" Type="http://schemas.openxmlformats.org/officeDocument/2006/relationships/image" Target="media/image87.png"/><Relationship Id="rId164" Type="http://schemas.openxmlformats.org/officeDocument/2006/relationships/image" Target="media/image88.png"/><Relationship Id="rId165" Type="http://schemas.openxmlformats.org/officeDocument/2006/relationships/image" Target="media/image89.png"/><Relationship Id="rId166" Type="http://schemas.openxmlformats.org/officeDocument/2006/relationships/image" Target="media/image90.png"/><Relationship Id="rId167" Type="http://schemas.openxmlformats.org/officeDocument/2006/relationships/image" Target="media/image91.png"/><Relationship Id="rId168" Type="http://schemas.openxmlformats.org/officeDocument/2006/relationships/image" Target="media/image92.png"/><Relationship Id="rId169" Type="http://schemas.openxmlformats.org/officeDocument/2006/relationships/image" Target="media/image93.png"/><Relationship Id="rId170" Type="http://schemas.openxmlformats.org/officeDocument/2006/relationships/image" Target="media/image94.png"/><Relationship Id="rId171" Type="http://schemas.openxmlformats.org/officeDocument/2006/relationships/image" Target="media/image95.png"/><Relationship Id="rId172" Type="http://schemas.openxmlformats.org/officeDocument/2006/relationships/image" Target="media/image96.png"/><Relationship Id="rId173" Type="http://schemas.openxmlformats.org/officeDocument/2006/relationships/image" Target="media/image97.png"/><Relationship Id="rId174" Type="http://schemas.openxmlformats.org/officeDocument/2006/relationships/image" Target="media/image98.png"/><Relationship Id="rId175" Type="http://schemas.openxmlformats.org/officeDocument/2006/relationships/image" Target="media/image99.png"/><Relationship Id="rId176" Type="http://schemas.openxmlformats.org/officeDocument/2006/relationships/image" Target="media/image100.png"/><Relationship Id="rId177" Type="http://schemas.openxmlformats.org/officeDocument/2006/relationships/image" Target="media/image101.png"/><Relationship Id="rId178" Type="http://schemas.openxmlformats.org/officeDocument/2006/relationships/image" Target="media/image102.png"/><Relationship Id="rId179" Type="http://schemas.openxmlformats.org/officeDocument/2006/relationships/image" Target="media/image103.png"/><Relationship Id="rId180" Type="http://schemas.openxmlformats.org/officeDocument/2006/relationships/image" Target="media/image104.png"/><Relationship Id="rId181" Type="http://schemas.openxmlformats.org/officeDocument/2006/relationships/image" Target="media/image105.png"/><Relationship Id="rId182" Type="http://schemas.openxmlformats.org/officeDocument/2006/relationships/image" Target="media/image106.png"/><Relationship Id="rId183" Type="http://schemas.openxmlformats.org/officeDocument/2006/relationships/image" Target="media/image107.png"/><Relationship Id="rId184" Type="http://schemas.openxmlformats.org/officeDocument/2006/relationships/image" Target="media/image108.png"/><Relationship Id="rId185" Type="http://schemas.openxmlformats.org/officeDocument/2006/relationships/image" Target="media/image109.png"/><Relationship Id="rId186" Type="http://schemas.openxmlformats.org/officeDocument/2006/relationships/image" Target="media/image110.png"/><Relationship Id="rId187" Type="http://schemas.openxmlformats.org/officeDocument/2006/relationships/image" Target="media/image111.png"/><Relationship Id="rId188" Type="http://schemas.openxmlformats.org/officeDocument/2006/relationships/image" Target="media/image112.png"/><Relationship Id="rId189" Type="http://schemas.openxmlformats.org/officeDocument/2006/relationships/image" Target="media/image113.png"/><Relationship Id="rId190" Type="http://schemas.openxmlformats.org/officeDocument/2006/relationships/image" Target="media/image114.png"/><Relationship Id="rId191" Type="http://schemas.openxmlformats.org/officeDocument/2006/relationships/image" Target="media/image115.png"/><Relationship Id="rId192" Type="http://schemas.openxmlformats.org/officeDocument/2006/relationships/image" Target="media/image116.png"/><Relationship Id="rId193" Type="http://schemas.openxmlformats.org/officeDocument/2006/relationships/image" Target="media/image117.png"/><Relationship Id="rId194" Type="http://schemas.openxmlformats.org/officeDocument/2006/relationships/image" Target="media/image118.png"/><Relationship Id="rId195" Type="http://schemas.openxmlformats.org/officeDocument/2006/relationships/image" Target="media/image119.png"/><Relationship Id="rId196" Type="http://schemas.openxmlformats.org/officeDocument/2006/relationships/image" Target="media/image120.png"/><Relationship Id="rId197" Type="http://schemas.openxmlformats.org/officeDocument/2006/relationships/image" Target="media/image121.png"/><Relationship Id="rId198" Type="http://schemas.openxmlformats.org/officeDocument/2006/relationships/image" Target="media/image122.png"/><Relationship Id="rId199" Type="http://schemas.openxmlformats.org/officeDocument/2006/relationships/image" Target="media/image123.png"/><Relationship Id="rId200" Type="http://schemas.openxmlformats.org/officeDocument/2006/relationships/image" Target="media/image124.png"/><Relationship Id="rId201" Type="http://schemas.openxmlformats.org/officeDocument/2006/relationships/image" Target="media/image125.png"/><Relationship Id="rId202" Type="http://schemas.openxmlformats.org/officeDocument/2006/relationships/image" Target="media/image126.png"/><Relationship Id="rId203" Type="http://schemas.openxmlformats.org/officeDocument/2006/relationships/image" Target="media/image127.png"/><Relationship Id="rId204" Type="http://schemas.openxmlformats.org/officeDocument/2006/relationships/image" Target="media/image128.png"/><Relationship Id="rId205" Type="http://schemas.openxmlformats.org/officeDocument/2006/relationships/image" Target="media/image129.png"/><Relationship Id="rId206" Type="http://schemas.openxmlformats.org/officeDocument/2006/relationships/image" Target="media/image130.png"/><Relationship Id="rId207" Type="http://schemas.openxmlformats.org/officeDocument/2006/relationships/image" Target="media/image131.png"/><Relationship Id="rId208" Type="http://schemas.openxmlformats.org/officeDocument/2006/relationships/image" Target="media/image132.png"/><Relationship Id="rId209" Type="http://schemas.openxmlformats.org/officeDocument/2006/relationships/image" Target="media/image133.png"/><Relationship Id="rId210" Type="http://schemas.openxmlformats.org/officeDocument/2006/relationships/image" Target="media/image134.png"/><Relationship Id="rId211" Type="http://schemas.openxmlformats.org/officeDocument/2006/relationships/image" Target="media/image135.png"/><Relationship Id="rId212" Type="http://schemas.openxmlformats.org/officeDocument/2006/relationships/image" Target="media/image136.png"/><Relationship Id="rId213" Type="http://schemas.openxmlformats.org/officeDocument/2006/relationships/image" Target="media/image137.png"/><Relationship Id="rId214" Type="http://schemas.openxmlformats.org/officeDocument/2006/relationships/image" Target="media/image138.png"/><Relationship Id="rId215" Type="http://schemas.openxmlformats.org/officeDocument/2006/relationships/image" Target="media/image139.png"/><Relationship Id="rId216" Type="http://schemas.openxmlformats.org/officeDocument/2006/relationships/image" Target="media/image140.png"/><Relationship Id="rId217" Type="http://schemas.openxmlformats.org/officeDocument/2006/relationships/image" Target="media/image141.png"/><Relationship Id="rId218" Type="http://schemas.openxmlformats.org/officeDocument/2006/relationships/image" Target="media/image142.png"/><Relationship Id="rId219" Type="http://schemas.openxmlformats.org/officeDocument/2006/relationships/image" Target="media/image143.png"/><Relationship Id="rId220" Type="http://schemas.openxmlformats.org/officeDocument/2006/relationships/image" Target="media/image144.png"/><Relationship Id="rId221" Type="http://schemas.openxmlformats.org/officeDocument/2006/relationships/image" Target="media/image145.png"/><Relationship Id="rId222" Type="http://schemas.openxmlformats.org/officeDocument/2006/relationships/image" Target="media/image146.png"/><Relationship Id="rId223" Type="http://schemas.openxmlformats.org/officeDocument/2006/relationships/image" Target="media/image147.png"/><Relationship Id="rId224" Type="http://schemas.openxmlformats.org/officeDocument/2006/relationships/image" Target="media/image148.png"/><Relationship Id="rId225" Type="http://schemas.openxmlformats.org/officeDocument/2006/relationships/image" Target="media/image149.png"/><Relationship Id="rId226" Type="http://schemas.openxmlformats.org/officeDocument/2006/relationships/image" Target="media/image150.png"/><Relationship Id="rId227" Type="http://schemas.openxmlformats.org/officeDocument/2006/relationships/image" Target="media/image151.png"/><Relationship Id="rId228" Type="http://schemas.openxmlformats.org/officeDocument/2006/relationships/image" Target="media/image152.png"/><Relationship Id="rId229" Type="http://schemas.openxmlformats.org/officeDocument/2006/relationships/image" Target="media/image153.png"/><Relationship Id="rId230" Type="http://schemas.openxmlformats.org/officeDocument/2006/relationships/image" Target="media/image154.png"/><Relationship Id="rId231" Type="http://schemas.openxmlformats.org/officeDocument/2006/relationships/image" Target="media/image155.png"/><Relationship Id="rId232" Type="http://schemas.openxmlformats.org/officeDocument/2006/relationships/image" Target="media/image156.png"/><Relationship Id="rId233" Type="http://schemas.openxmlformats.org/officeDocument/2006/relationships/image" Target="media/image157.png"/><Relationship Id="rId234" Type="http://schemas.openxmlformats.org/officeDocument/2006/relationships/image" Target="media/image158.png"/><Relationship Id="rId235" Type="http://schemas.openxmlformats.org/officeDocument/2006/relationships/image" Target="media/image159.png"/><Relationship Id="rId236" Type="http://schemas.openxmlformats.org/officeDocument/2006/relationships/image" Target="media/image160.png"/><Relationship Id="rId237" Type="http://schemas.openxmlformats.org/officeDocument/2006/relationships/image" Target="media/image161.png"/><Relationship Id="rId238" Type="http://schemas.openxmlformats.org/officeDocument/2006/relationships/image" Target="media/image162.png"/><Relationship Id="rId239" Type="http://schemas.openxmlformats.org/officeDocument/2006/relationships/image" Target="media/image163.png"/><Relationship Id="rId240" Type="http://schemas.openxmlformats.org/officeDocument/2006/relationships/image" Target="media/image164.png"/><Relationship Id="rId241" Type="http://schemas.openxmlformats.org/officeDocument/2006/relationships/image" Target="media/image165.png"/><Relationship Id="rId242" Type="http://schemas.openxmlformats.org/officeDocument/2006/relationships/image" Target="media/image166.png"/><Relationship Id="rId243" Type="http://schemas.openxmlformats.org/officeDocument/2006/relationships/image" Target="media/image167.png"/><Relationship Id="rId244" Type="http://schemas.openxmlformats.org/officeDocument/2006/relationships/image" Target="media/image168.png"/><Relationship Id="rId245" Type="http://schemas.openxmlformats.org/officeDocument/2006/relationships/image" Target="media/image169.png"/><Relationship Id="rId63" Type="http://schemas.openxmlformats.org/officeDocument/2006/relationships/hyperlink" Target="http://www.sec.gov/Archives/edgar/data/1360214/000114420407050619/v088205_ex2-1.htm" TargetMode="External"/><Relationship Id="rId64" Type="http://schemas.openxmlformats.org/officeDocument/2006/relationships/hyperlink" Target="http://www.sec.gov/Archives/edgar/data/1360214/000149315215000811/ex3-1.htm" TargetMode="External"/><Relationship Id="rId65" Type="http://schemas.openxmlformats.org/officeDocument/2006/relationships/hyperlink" Target="http://www.sec.gov/Archives/edgar/data/1360214/000149315214000878/ex3-2.htm" TargetMode="External"/><Relationship Id="rId66" Type="http://schemas.openxmlformats.org/officeDocument/2006/relationships/hyperlink" Target="http://www.sec.gov/Archives/edgar/data/1360214/000107878211003672/f8k121911_ex3z1.htm" TargetMode="External"/><Relationship Id="rId67" Type="http://schemas.openxmlformats.org/officeDocument/2006/relationships/hyperlink" Target="http://www.sec.gov/Archives/edgar/data/1360214/000149315218009586/ex3-1.htm" TargetMode="External"/><Relationship Id="rId68" Type="http://schemas.openxmlformats.org/officeDocument/2006/relationships/hyperlink" Target="http://www.sec.gov/Archives/edgar/data/1360214/000149315218018103/ex3-1.htm" TargetMode="External"/><Relationship Id="rId69" Type="http://schemas.openxmlformats.org/officeDocument/2006/relationships/hyperlink" Target="http://www.sec.gov/Archives/edgar/data/1360214/000114420407050619/v088205_ex10-8.htm" TargetMode="External"/><Relationship Id="rId70" Type="http://schemas.openxmlformats.org/officeDocument/2006/relationships/hyperlink" Target="http://www.sec.gov/Archives/edgar/data/1360214/000135448813002503/immy_ex103.htm" TargetMode="External"/><Relationship Id="rId71" Type="http://schemas.openxmlformats.org/officeDocument/2006/relationships/hyperlink" Target="http://www.sec.gov/Archives/edgar/data/1360214/000149315213002218/ex10-3.htm" TargetMode="External"/><Relationship Id="rId72" Type="http://schemas.openxmlformats.org/officeDocument/2006/relationships/hyperlink" Target="http://www.sec.gov/Archives/edgar/data/1360214/000114420407050619/v088205_ex10-12.htm" TargetMode="External"/><Relationship Id="rId73" Type="http://schemas.openxmlformats.org/officeDocument/2006/relationships/hyperlink" Target="http://www.sec.gov/Archives/edgar/data/1360214/000114420407050619/v088205_ex10-13.htm" TargetMode="External"/><Relationship Id="rId74" Type="http://schemas.openxmlformats.org/officeDocument/2006/relationships/hyperlink" Target="http://www.sec.gov/Archives/edgar/data/1360214/000135448813002503/immy_ex104.htm" TargetMode="External"/><Relationship Id="rId75" Type="http://schemas.openxmlformats.org/officeDocument/2006/relationships/hyperlink" Target="http://www.sec.gov/Archives/edgar/data/1360214/000135448812003649/tdlp_ex1040.htm" TargetMode="External"/><Relationship Id="rId76" Type="http://schemas.openxmlformats.org/officeDocument/2006/relationships/hyperlink" Target="http://www.sec.gov/Archives/edgar/data/1360214/000135448812003649/tdlp_ex1041.htm" TargetMode="External"/><Relationship Id="rId77" Type="http://schemas.openxmlformats.org/officeDocument/2006/relationships/hyperlink" Target="http://www.sec.gov/Archives/edgar/data/1360214/000135448812005456/immy_ex1044.htm" TargetMode="External"/><Relationship Id="rId78" Type="http://schemas.openxmlformats.org/officeDocument/2006/relationships/hyperlink" Target="http://www.sec.gov/Archives/edgar/data/1360214/000135448813002503/immy_ex102.htm" TargetMode="External"/><Relationship Id="rId79" Type="http://schemas.openxmlformats.org/officeDocument/2006/relationships/hyperlink" Target="http://www.sec.gov/Archives/edgar/data/1360214/000135448813004603/immy_ex104.htm" TargetMode="External"/><Relationship Id="rId80" Type="http://schemas.openxmlformats.org/officeDocument/2006/relationships/hyperlink" Target="http://www.sec.gov/Archives/edgar/data/1360214/000135448813004603/immy_ex105.htm" TargetMode="External"/><Relationship Id="rId81" Type="http://schemas.openxmlformats.org/officeDocument/2006/relationships/hyperlink" Target="http://www.sec.gov/Archives/edgar/data/1360214/000149315213002218/ex10-1.htm" TargetMode="External"/><Relationship Id="rId82" Type="http://schemas.openxmlformats.org/officeDocument/2006/relationships/hyperlink" Target="http://www.sec.gov/Archives/edgar/data/1360214/000149315213002218/ex10-2.htm" TargetMode="External"/><Relationship Id="rId83" Type="http://schemas.openxmlformats.org/officeDocument/2006/relationships/hyperlink" Target="http://www.sec.gov/Archives/edgar/data/1360214/000149315214000878/ex10-27.htm" TargetMode="External"/><Relationship Id="rId84" Type="http://schemas.openxmlformats.org/officeDocument/2006/relationships/hyperlink" Target="http://www.sec.gov/Archives/edgar/data/1360214/000149315214000878/ex10-28.htm" TargetMode="External"/><Relationship Id="rId85" Type="http://schemas.openxmlformats.org/officeDocument/2006/relationships/hyperlink" Target="http://www.sec.gov/Archives/edgar/data/1360214/000149315214000878/ex10-29.htm" TargetMode="External"/><Relationship Id="rId86" Type="http://schemas.openxmlformats.org/officeDocument/2006/relationships/hyperlink" Target="http://www.sec.gov/Archives/edgar/data/1360214/000149315215000345/ex10-1.htm" TargetMode="External"/><Relationship Id="rId87" Type="http://schemas.openxmlformats.org/officeDocument/2006/relationships/hyperlink" Target="http://www.sec.gov/Archives/edgar/data/1360214/000149315215000345/ex10-2.htm" TargetMode="External"/><Relationship Id="rId88" Type="http://schemas.openxmlformats.org/officeDocument/2006/relationships/hyperlink" Target="http://www.sec.gov/Archives/edgar/data/1360214/000149315215000345/ex10-3.htm" TargetMode="External"/><Relationship Id="rId89" Type="http://schemas.openxmlformats.org/officeDocument/2006/relationships/hyperlink" Target="http://www.sec.gov/Archives/edgar/data/1360214/000149315215001853/ex10-2.htm" TargetMode="External"/><Relationship Id="rId90" Type="http://schemas.openxmlformats.org/officeDocument/2006/relationships/hyperlink" Target="http://www.sec.gov/Archives/edgar/data/1360214/000149315215001853/ex10-1.htm" TargetMode="External"/><Relationship Id="rId91" Type="http://schemas.openxmlformats.org/officeDocument/2006/relationships/hyperlink" Target="http://www.sec.gov/Archives/edgar/data/1360214/000149315215003566/ex10-1.htm" TargetMode="External"/><Relationship Id="rId92" Type="http://schemas.openxmlformats.org/officeDocument/2006/relationships/hyperlink" Target="http://www.sec.gov/Archives/edgar/data/1360214/000149315215005914/ex1-1.htm" TargetMode="External"/><Relationship Id="rId93" Type="http://schemas.openxmlformats.org/officeDocument/2006/relationships/hyperlink" Target="http://www.sec.gov/Archives/edgar/data/1360214/000149315216008212/ex10-30.htm" TargetMode="External"/><Relationship Id="rId94" Type="http://schemas.openxmlformats.org/officeDocument/2006/relationships/hyperlink" Target="http://www.sec.gov/Archives/edgar/data/1360214/000149315216006916/ex10-1.htm" TargetMode="External"/><Relationship Id="rId95" Type="http://schemas.openxmlformats.org/officeDocument/2006/relationships/hyperlink" Target="http://www.sec.gov/Archives/edgar/data/1360214/000149315216006916/ex10-2.htm" TargetMode="External"/><Relationship Id="rId96" Type="http://schemas.openxmlformats.org/officeDocument/2006/relationships/hyperlink" Target="http://www.sec.gov/Archives/edgar/data/1360214/000149315216006916/ex10-3.htm" TargetMode="External"/><Relationship Id="rId97" Type="http://schemas.openxmlformats.org/officeDocument/2006/relationships/hyperlink" Target="http://www.sec.gov/Archives/edgar/data/1360214/000149315216006916/ex10-4.htm" TargetMode="External"/><Relationship Id="rId98" Type="http://schemas.openxmlformats.org/officeDocument/2006/relationships/hyperlink" Target="http://www.sec.gov/Archives/edgar/data/1360214/000149315216016261/ex10-1.htm" TargetMode="External"/><Relationship Id="rId99" Type="http://schemas.openxmlformats.org/officeDocument/2006/relationships/hyperlink" Target="http://www.sec.gov/Archives/edgar/data/1360214/000149315216016261/ex10-2.htm" TargetMode="External"/><Relationship Id="rId100" Type="http://schemas.openxmlformats.org/officeDocument/2006/relationships/hyperlink" Target="http://www.sec.gov/Archives/edgar/data/1360214/000149315216016261/ex10-3.htm" TargetMode="External"/><Relationship Id="rId101" Type="http://schemas.openxmlformats.org/officeDocument/2006/relationships/hyperlink" Target="http://www.sec.gov/Archives/edgar/data/1360214/000149315217002715/ex10-1.htm" TargetMode="External"/><Relationship Id="rId102" Type="http://schemas.openxmlformats.org/officeDocument/2006/relationships/hyperlink" Target="http://www.sec.gov/Archives/edgar/data/1360214/000149315217003596/ex10-1.htm" TargetMode="External"/><Relationship Id="rId103" Type="http://schemas.openxmlformats.org/officeDocument/2006/relationships/hyperlink" Target="http://www.sec.gov/Archives/edgar/data/1360214/000149315217004007/ex10-1.htm" TargetMode="External"/><Relationship Id="rId104" Type="http://schemas.openxmlformats.org/officeDocument/2006/relationships/hyperlink" Target="http://www.sec.gov/Archives/edgar/data/1360214/000149315217004662/ex10-1.htm" TargetMode="External"/><Relationship Id="rId105" Type="http://schemas.openxmlformats.org/officeDocument/2006/relationships/hyperlink" Target="http://www.sec.gov/Archives/edgar/data/1360214/000149315217008881/ex10-8.htm" TargetMode="External"/><Relationship Id="rId106" Type="http://schemas.openxmlformats.org/officeDocument/2006/relationships/hyperlink" Target="http://www.sec.gov/Archives/edgar/data/1360214/000149315217008881/ex10-9.htm" TargetMode="External"/><Relationship Id="rId107" Type="http://schemas.openxmlformats.org/officeDocument/2006/relationships/hyperlink" Target="http://www.sec.gov/Archives/edgar/data/1360214/000149315217008881/ex10-10.htm" TargetMode="External"/><Relationship Id="rId108" Type="http://schemas.openxmlformats.org/officeDocument/2006/relationships/hyperlink" Target="http://www.sec.gov/Archives/edgar/data/1360214/000149315217006919/ex10-1.htm" TargetMode="External"/><Relationship Id="rId109" Type="http://schemas.openxmlformats.org/officeDocument/2006/relationships/hyperlink" Target="http://www.sec.gov/Archives/edgar/data/1360214/000149315217006919/ex10-2.htm" TargetMode="External"/><Relationship Id="rId110" Type="http://schemas.openxmlformats.org/officeDocument/2006/relationships/hyperlink" Target="http://www.sec.gov/Archives/edgar/data/1360214/000149315217006919/ex10-4.htm" TargetMode="External"/><Relationship Id="rId111" Type="http://schemas.openxmlformats.org/officeDocument/2006/relationships/hyperlink" Target="http://www.sec.gov/Archives/edgar/data/1360214/000149315218003095/ex10-53.htm" TargetMode="External"/><Relationship Id="rId112" Type="http://schemas.openxmlformats.org/officeDocument/2006/relationships/hyperlink" Target="http://www.sec.gov/Archives/edgar/data/1360214/000149315218003095/ex10-54.htm" TargetMode="External"/><Relationship Id="rId114" Type="http://schemas.openxmlformats.org/officeDocument/2006/relationships/hyperlink" Target="http://www.sec.gov/Archives/edgar/data/1360214/000149315218003095/ex10-55.htm" TargetMode="External"/><Relationship Id="rId115" Type="http://schemas.openxmlformats.org/officeDocument/2006/relationships/hyperlink" Target="http://www.sec.gov/Archives/edgar/data/1360214/000149315218006896/ex10-1.htm" TargetMode="External"/><Relationship Id="rId116" Type="http://schemas.openxmlformats.org/officeDocument/2006/relationships/hyperlink" Target="http://www.sec.gov/Archives/edgar/data/1360214/000149315218006896/ex10-2.htm" TargetMode="External"/><Relationship Id="rId117" Type="http://schemas.openxmlformats.org/officeDocument/2006/relationships/hyperlink" Target="http://www.sec.gov/Archives/edgar/data/1360214/000149315218011011/ex10-3.htm" TargetMode="External"/><Relationship Id="rId118" Type="http://schemas.openxmlformats.org/officeDocument/2006/relationships/hyperlink" Target="http://www.sec.gov/Archives/edgar/data/1360214/000149315218011011/ex10-4.htm" TargetMode="External"/><Relationship Id="rId119" Type="http://schemas.openxmlformats.org/officeDocument/2006/relationships/hyperlink" Target="http://www.sec.gov/Archives/edgar/data/1360214/000149315218015757/ex10-1.htm" TargetMode="External"/><Relationship Id="rId120" Type="http://schemas.openxmlformats.org/officeDocument/2006/relationships/hyperlink" Target="http://www.sec.gov/Archives/edgar/data/1360214/000149315218015757/ex10-2.htm" TargetMode="External"/><Relationship Id="rId121" Type="http://schemas.openxmlformats.org/officeDocument/2006/relationships/hyperlink" Target="http://www.sec.gov/Archives/edgar/data/1360214/000149315218015757/ex10-3.htm" TargetMode="External"/><Relationship Id="rId122" Type="http://schemas.openxmlformats.org/officeDocument/2006/relationships/hyperlink" Target="http://www.sec.gov/Archives/edgar/data/1360214/000149315219001358/ex10-1.htm" TargetMode="External"/><Relationship Id="rId123" Type="http://schemas.openxmlformats.org/officeDocument/2006/relationships/hyperlink" Target="http://www.sec.gov/Archives/edgar/data/1360214/000149315219006689/ex10-2.htm" TargetMode="External"/><Relationship Id="rId124" Type="http://schemas.openxmlformats.org/officeDocument/2006/relationships/hyperlink" Target="http://www.sec.gov/Archives/edgar/data/1360214/000149315219006689/ex10-3.htm" TargetMode="External"/><Relationship Id="rId125" Type="http://schemas.openxmlformats.org/officeDocument/2006/relationships/hyperlink" Target="http://www.sec.gov/Archives/edgar/data/1360214/000149315219008319/ex10-1.htm" TargetMode="External"/><Relationship Id="rId126" Type="http://schemas.openxmlformats.org/officeDocument/2006/relationships/hyperlink" Target="http://www.sec.gov/Archives/edgar/data/1360214/000149315219012535/ex10-3.htm" TargetMode="External"/><Relationship Id="rId127" Type="http://schemas.openxmlformats.org/officeDocument/2006/relationships/hyperlink" Target="http://www.sec.gov/Archives/edgar/data/1360214/000149315219012535/ex10-2.htm" TargetMode="External"/><Relationship Id="rId128" Type="http://schemas.openxmlformats.org/officeDocument/2006/relationships/hyperlink" Target="http://www.sec.gov/Archives/edgar/data/1360214/000149315219012535/ex10-4.htm" TargetMode="External"/><Relationship Id="rId129" Type="http://schemas.openxmlformats.org/officeDocument/2006/relationships/hyperlink" Target="http://www.sec.gov/Archives/edgar/data/1360214/000149315219017043/ex10-1.htm" TargetMode="External"/><Relationship Id="rId130" Type="http://schemas.openxmlformats.org/officeDocument/2006/relationships/hyperlink" Target="http://www.sec.gov/Archives/edgar/data/1360214/000149315219017043/ex10-2.htm" TargetMode="External"/><Relationship Id="rId131" Type="http://schemas.openxmlformats.org/officeDocument/2006/relationships/hyperlink" Target="http://www.sec.gov/Archives/edgar/data/1360214/000149315219017043/ex10-3.htm" TargetMode="External"/><Relationship Id="rId132" Type="http://schemas.openxmlformats.org/officeDocument/2006/relationships/hyperlink" Target="http://www.sec.gov/Archives/edgar/data/1360214/000149315219017043/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2020-03-13T07:15:36Z</dcterms:created>
  <dcterms:modified xsi:type="dcterms:W3CDTF">2020-03-13T07:15:36Z</dcterms:modified>
</cp:coreProperties>
</file>