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333-198675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September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5715</wp:posOffset>
            </wp:positionV>
            <wp:extent cx="123507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1,312,500 Shares of Common Stock</w:t>
      </w:r>
    </w:p>
    <w:p>
      <w:pPr>
        <w:spacing w:after="0" w:line="22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this prospectus supplement and the accompanying prospectus, we are issuing up to 1,312,500 shares of our common stock to selected accredited investors under one or more securities purchase agreements, dated March 21, 2017, between us and each of the investors. The offering price is $2.40 per share.</w:t>
      </w:r>
    </w:p>
    <w:p>
      <w:pPr>
        <w:spacing w:after="0" w:line="181"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common stock is listed on the NASDAQ Capital Market under the symbol “IMMY.” On March 21, 2017, the last reported sales price of our common stock on the NASDAQ Capital Market was $2.42 per share. Based on 18,627,915 shares of outstanding common stock as of March 21, 2017, of which 17,017,181 were held by non-affiliates as of such date, and a per share price of $2.42 as of March 21, 2017, the last reported sales price of our common stock on the NASDAQ Capital Market on such date, the aggregate market value of our outstanding common stock held by non-affiliates is approximately $41,181,578. The aggregate amount of all securities we have offered and sold and continue to offer for sale pursuant to General Instruction I.B.6 of Form S-3 during the twelve calendar month period that ends on, and includes, the date of this prospectus supplement is $3,150,000, inclusive of the shares offered hereby.</w:t>
      </w:r>
    </w:p>
    <w:p>
      <w:pPr>
        <w:spacing w:after="0" w:line="185"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 investment decision, you should carefully review and consider all of the information set forth in this prospectus supplement, the accompanying prospectus and the documents incorporated by reference herein and therein, including the risks and uncertainties described under “Risk Factors” beginning on page S-3 of this prospectus supplement and the risk factors incorporated by reference into this prospectus supplement and the accompanying prospectus.</w:t>
      </w:r>
    </w:p>
    <w:p>
      <w:pPr>
        <w:spacing w:after="0" w:line="165"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0" w:lineRule="exact"/>
        <w:rPr>
          <w:sz w:val="24"/>
          <w:szCs w:val="24"/>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Per Share</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Placement Agent’s Fee</w:t>
            </w:r>
          </w:p>
        </w:tc>
        <w:tc>
          <w:tcPr>
            <w:tcW w:w="2760" w:type="dxa"/>
            <w:vAlign w:val="bottom"/>
            <w:gridSpan w:val="2"/>
          </w:tcPr>
          <w:p>
            <w:pPr>
              <w:jc w:val="right"/>
              <w:ind w:right="105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0.144</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760" w:type="dxa"/>
            <w:vAlign w:val="bottom"/>
            <w:gridSpan w:val="2"/>
            <w:shd w:val="clear" w:color="auto" w:fill="CCEEFF"/>
          </w:tcPr>
          <w:p>
            <w:pPr>
              <w:jc w:val="right"/>
              <w:ind w:right="105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2.256</w:t>
            </w:r>
          </w:p>
        </w:tc>
        <w:tc>
          <w:tcPr>
            <w:tcW w:w="6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2,961,000</w:t>
            </w:r>
          </w:p>
        </w:tc>
        <w:tc>
          <w:tcPr>
            <w:tcW w:w="8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Delivery of the shares is expected to be made on or about March 27, 2017, against payment for such shares to be received by us on the same date.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Placement Agent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Securities Corporation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40" w:type="dxa"/>
            <w:vAlign w:val="bottom"/>
            <w:gridSpan w:val="2"/>
          </w:tcPr>
          <w:p>
            <w:pPr>
              <w:ind w:left="9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60" w:type="dxa"/>
            <w:vAlign w:val="bottom"/>
            <w:gridSpan w:val="13"/>
          </w:tcPr>
          <w:p>
            <w:pPr>
              <w:spacing w:after="0"/>
              <w:rPr>
                <w:sz w:val="20"/>
                <w:szCs w:val="20"/>
                <w:color w:val="auto"/>
              </w:rPr>
            </w:pPr>
            <w:r>
              <w:rPr>
                <w:rFonts w:ascii="Arial" w:cs="Arial" w:eastAsia="Arial" w:hAnsi="Arial"/>
                <w:sz w:val="18"/>
                <w:szCs w:val="18"/>
                <w:b w:val="1"/>
                <w:bCs w:val="1"/>
                <w:color w:val="auto"/>
              </w:rPr>
              <w:t>Prospectus Supplement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840" w:type="dxa"/>
            <w:vAlign w:val="bottom"/>
            <w:gridSpan w:val="12"/>
          </w:tcPr>
          <w:p>
            <w:pPr>
              <w:spacing w:after="0" w:line="163"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560" w:type="dxa"/>
            <w:vAlign w:val="bottom"/>
          </w:tcPr>
          <w:p>
            <w:pPr>
              <w:jc w:val="right"/>
              <w:spacing w:after="0" w:line="163" w:lineRule="exact"/>
              <w:rPr>
                <w:sz w:val="20"/>
                <w:szCs w:val="20"/>
                <w:color w:val="auto"/>
              </w:rPr>
            </w:pPr>
            <w:r>
              <w:rPr>
                <w:rFonts w:ascii="Arial" w:cs="Arial" w:eastAsia="Arial" w:hAnsi="Arial"/>
                <w:sz w:val="18"/>
                <w:szCs w:val="18"/>
                <w:color w:val="auto"/>
              </w:rPr>
              <w:t>S-i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SUPPLEMENT SUMMARY</w:t>
              </w:r>
            </w:hyperlink>
          </w:p>
        </w:tc>
        <w:tc>
          <w:tcPr>
            <w:tcW w:w="756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S-3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FORWARD-LOOKING STATEMENTS</w:t>
              </w:r>
            </w:hyperlink>
          </w:p>
        </w:tc>
        <w:tc>
          <w:tcPr>
            <w:tcW w:w="792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LEGAL MATTERS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EXPERTS</w:t>
              </w:r>
            </w:hyperlink>
          </w:p>
        </w:tc>
        <w:tc>
          <w:tcPr>
            <w:tcW w:w="9400" w:type="dxa"/>
            <w:vAlign w:val="bottom"/>
            <w:tcBorders>
              <w:top w:val="single" w:sz="8" w:color="CCEEFF"/>
            </w:tcBorders>
            <w:gridSpan w:val="8"/>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INCORPORATION OF CERTAIN DOCUMENTS BY REFERENCE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58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382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Prospectus</w:t>
            </w:r>
          </w:p>
        </w:tc>
        <w:tc>
          <w:tcPr>
            <w:tcW w:w="704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top w:val="single" w:sz="8" w:color="CCEEFF"/>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PROSPECTUS SUMMARY</w:t>
              </w:r>
            </w:hyperlink>
          </w:p>
        </w:tc>
        <w:tc>
          <w:tcPr>
            <w:tcW w:w="876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FORWARD-LOOKING STATEMENTS</w:t>
              </w:r>
            </w:hyperlink>
          </w:p>
        </w:tc>
        <w:tc>
          <w:tcPr>
            <w:tcW w:w="792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DILUTION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CAPITAL STOCK</w:t>
              </w:r>
            </w:hyperlink>
          </w:p>
        </w:tc>
        <w:tc>
          <w:tcPr>
            <w:tcW w:w="798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THE DEPOSITARY SHARES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WARRANTS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THE DEBT SECURITIES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PLAN OF DISTRIBUTION</w:t>
              </w:r>
            </w:hyperlink>
          </w:p>
        </w:tc>
        <w:tc>
          <w:tcPr>
            <w:tcW w:w="880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1008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58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prospectus supplement and the accompanying base prospectus is part of a registration statement that we filed with the Securities and Exchange Commission (the “SEC”) utilizing a “shelf” registration process. Each time we conduct an offering to sell securities under the accompanying base prospectus we will provide a prospectus supplement that will contain specific information about the terms of that offering, including the price, the amount of securities being offered and the plan of distribution. The shelf registration statement was initially filed with the SEC on September 10, 2014, and was declared effective by the SEC on September 29, 2014. This prospectus supplement describes the specific details regarding this offering and may add, update or change information contained in the accompanying base prospectus. The accompanying base prospectus provides general information about us and our securities, some of which, such as the section entitled “Plan of Distribution,” may not apply to this offering. This prospectus supplement and the accompanying base prospectus are an offer to sell only the securities offered hereby, but only under circumstances and in jurisdictions where it is lawful to do so. We are not making offers to sell or solicitations to buy our common stock in any jurisdiction in which an offer or solicitation is not authorized or in which the person making that offer or solicitation is not qualified to do so or to anyone to whom it is unlawful to make an offer or solicitation.</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information in this prospectus supplement is inconsistent with the accompanying base prospectus or the information incorporated by reference with an earlier date, you should rely on this prospectus supplement. This prospectus supplement, together with the base prospectus, the documents incorporated by reference into this prospectus supplement and the accompanying base prospectus and any free writing prospectus we have authorized for use in connection with this offering include all material information relating to this offering. We have not, and the placement agent has not,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authorized for use in connection with this offering is accurate only as of the respective dates of those documents. Our business, financial condition, results of operations and prospects may have changed since those dates.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You should carefully read this prospectus supplement, the accompanying base prospectus and the information and documents incorporated herein by reference herein and therein, as well as any free writing prospectus we have authorized for use in connection with this offering, before making an investment decision. See “Incorporation of Certain Documents by Reference” and “Where You Can Find More Information” in this prospectus supplement and in the accompanying base prospectus</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“Where You Can Find More Information”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supplement and the accompanying base prospectus contain and incorporate by reference certain market data and industry statistics and forecasts that are based on Company-sponsored studies, independent industry publications and other publicly available information. Although we believe these sources are reliable, we do not guarantee the accuracy or completeness of this information and we have not verified any of this data. Further, many of these statements involve risks and uncertainties and are subject to change based on various factors, including those discussed under “Risk Factors” in this prospectus supplement and the accompanying base prospectus and under similar headings in the documents incorporated by reference herein and therein. Accordingly, investors should not place undue reliance on this information.</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Unless otherwise stated or the context requires otherwise, all references in this prospectus supplement to the “Company,” “we,” “us,” “our” and “Imprimis” refer to Imprimis Pharmaceuticals, Inc., a Delaware corporation, and its consolidated subsidiaries. We have registered trademarks, copyrights</w:t>
      </w:r>
    </w:p>
    <w:p>
      <w:pPr>
        <w:jc w:val="both"/>
        <w:spacing w:after="0" w:line="206" w:lineRule="auto"/>
        <w:rPr>
          <w:sz w:val="20"/>
          <w:szCs w:val="20"/>
          <w:color w:val="auto"/>
        </w:rPr>
      </w:pPr>
      <w:r>
        <w:rPr>
          <w:rFonts w:ascii="Arial" w:cs="Arial" w:eastAsia="Arial" w:hAnsi="Arial"/>
          <w:sz w:val="16"/>
          <w:szCs w:val="16"/>
          <w:color w:val="auto"/>
        </w:rPr>
        <w:t>and/or pending trademark and copyright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Imprimis Cares! </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Go Dropless! </w:t>
      </w:r>
      <w:r>
        <w:rPr>
          <w:rFonts w:ascii="Arial" w:cs="Arial" w:eastAsia="Arial" w:hAnsi="Arial"/>
          <w:sz w:val="26"/>
          <w:szCs w:val="26"/>
          <w:color w:val="auto"/>
          <w:vertAlign w:val="superscript"/>
        </w:rPr>
        <w:t>®</w:t>
      </w:r>
      <w:r>
        <w:rPr>
          <w:rFonts w:ascii="Arial" w:cs="Arial" w:eastAsia="Arial" w:hAnsi="Arial"/>
          <w:sz w:val="16"/>
          <w:szCs w:val="16"/>
          <w:color w:val="auto"/>
        </w:rPr>
        <w:t>, GoDropless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 Therapy</w:t>
      </w:r>
      <w:r>
        <w:rPr>
          <w:rFonts w:ascii="Arial" w:cs="Arial" w:eastAsia="Arial" w:hAnsi="Arial"/>
          <w:sz w:val="26"/>
          <w:szCs w:val="26"/>
          <w:color w:val="auto"/>
          <w:vertAlign w:val="superscript"/>
        </w:rPr>
        <w:t>®</w:t>
      </w:r>
      <w:r>
        <w:rPr>
          <w:rFonts w:ascii="Arial" w:cs="Arial" w:eastAsia="Arial" w:hAnsi="Arial"/>
          <w:sz w:val="16"/>
          <w:szCs w:val="16"/>
          <w:color w:val="auto"/>
        </w:rPr>
        <w:t>, Tri-Moxi</w:t>
      </w:r>
      <w:r>
        <w:rPr>
          <w:rFonts w:ascii="Arial" w:cs="Arial" w:eastAsia="Arial" w:hAnsi="Arial"/>
          <w:sz w:val="26"/>
          <w:szCs w:val="26"/>
          <w:color w:val="auto"/>
          <w:vertAlign w:val="superscript"/>
        </w:rPr>
        <w:t>®</w:t>
      </w:r>
      <w:r>
        <w:rPr>
          <w:rFonts w:ascii="Arial" w:cs="Arial" w:eastAsia="Arial" w:hAnsi="Arial"/>
          <w:sz w:val="16"/>
          <w:szCs w:val="16"/>
          <w:color w:val="auto"/>
        </w:rPr>
        <w:t>, Pred-Moxi</w:t>
      </w:r>
      <w:r>
        <w:rPr>
          <w:rFonts w:ascii="Arial" w:cs="Arial" w:eastAsia="Arial" w:hAnsi="Arial"/>
          <w:sz w:val="26"/>
          <w:szCs w:val="26"/>
          <w:color w:val="auto"/>
          <w:vertAlign w:val="superscript"/>
        </w:rPr>
        <w:t>®</w:t>
      </w:r>
      <w:r>
        <w:rPr>
          <w:rFonts w:ascii="Arial" w:cs="Arial" w:eastAsia="Arial" w:hAnsi="Arial"/>
          <w:sz w:val="16"/>
          <w:szCs w:val="16"/>
          <w:color w:val="auto"/>
        </w:rPr>
        <w:t>, HLA</w:t>
      </w:r>
      <w:r>
        <w:rPr>
          <w:rFonts w:ascii="Arial" w:cs="Arial" w:eastAsia="Arial" w:hAnsi="Arial"/>
          <w:sz w:val="26"/>
          <w:szCs w:val="26"/>
          <w:color w:val="auto"/>
          <w:vertAlign w:val="superscript"/>
        </w:rPr>
        <w:t>®</w:t>
      </w:r>
      <w:r>
        <w:rPr>
          <w:rFonts w:ascii="Arial" w:cs="Arial" w:eastAsia="Arial" w:hAnsi="Arial"/>
          <w:sz w:val="16"/>
          <w:szCs w:val="16"/>
          <w:color w:val="auto"/>
        </w:rPr>
        <w:t>, Triple Drop</w:t>
      </w:r>
      <w:r>
        <w:rPr>
          <w:rFonts w:ascii="Arial" w:cs="Arial" w:eastAsia="Arial" w:hAnsi="Arial"/>
          <w:sz w:val="26"/>
          <w:szCs w:val="26"/>
          <w:color w:val="auto"/>
          <w:vertAlign w:val="superscript"/>
        </w:rPr>
        <w:t>®</w:t>
      </w:r>
      <w:r>
        <w:rPr>
          <w:rFonts w:ascii="Arial" w:cs="Arial" w:eastAsia="Arial" w:hAnsi="Arial"/>
          <w:sz w:val="16"/>
          <w:szCs w:val="16"/>
          <w:color w:val="auto"/>
        </w:rPr>
        <w:t>, ED Free</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Say Goodbye</w:t>
      </w:r>
      <w:r>
        <w:rPr>
          <w:rFonts w:ascii="Arial" w:cs="Arial" w:eastAsia="Arial" w:hAnsi="Arial"/>
          <w:sz w:val="26"/>
          <w:szCs w:val="26"/>
          <w:color w:val="auto"/>
          <w:vertAlign w:val="superscript"/>
        </w:rPr>
        <w:t>©</w:t>
      </w:r>
      <w:r>
        <w:rPr>
          <w:rFonts w:ascii="Arial" w:cs="Arial" w:eastAsia="Arial" w:hAnsi="Arial"/>
          <w:sz w:val="16"/>
          <w:szCs w:val="16"/>
          <w:color w:val="auto"/>
        </w:rPr>
        <w:t>, PPS-DR</w:t>
      </w:r>
      <w:r>
        <w:rPr>
          <w:rFonts w:ascii="Arial" w:cs="Arial" w:eastAsia="Arial" w:hAnsi="Arial"/>
          <w:sz w:val="26"/>
          <w:szCs w:val="26"/>
          <w:color w:val="auto"/>
          <w:vertAlign w:val="superscript"/>
        </w:rPr>
        <w:t>®</w:t>
      </w:r>
      <w:r>
        <w:rPr>
          <w:rFonts w:ascii="Arial" w:cs="Arial" w:eastAsia="Arial" w:hAnsi="Arial"/>
          <w:sz w:val="16"/>
          <w:szCs w:val="16"/>
          <w:color w:val="auto"/>
        </w:rPr>
        <w:t>, Stericheck™, Pred-Moxi-Ketor™, Pred-Moxi-Brom™, Pred-Ketor</w:t>
      </w:r>
      <w:r>
        <w:rPr>
          <w:rFonts w:ascii="Arial" w:cs="Arial" w:eastAsia="Arial" w:hAnsi="Arial"/>
          <w:sz w:val="26"/>
          <w:szCs w:val="26"/>
          <w:color w:val="auto"/>
          <w:vertAlign w:val="superscript"/>
        </w:rPr>
        <w:t>®</w:t>
      </w:r>
      <w:r>
        <w:rPr>
          <w:rFonts w:ascii="Arial" w:cs="Arial" w:eastAsia="Arial" w:hAnsi="Arial"/>
          <w:sz w:val="16"/>
          <w:szCs w:val="16"/>
          <w:color w:val="auto"/>
        </w:rPr>
        <w:t>, Dex-Moxi</w:t>
      </w:r>
      <w:r>
        <w:rPr>
          <w:rFonts w:ascii="Arial" w:cs="Arial" w:eastAsia="Arial" w:hAnsi="Arial"/>
          <w:sz w:val="26"/>
          <w:szCs w:val="26"/>
          <w:color w:val="auto"/>
          <w:vertAlign w:val="superscript"/>
        </w:rPr>
        <w:t>®</w:t>
      </w:r>
      <w:r>
        <w:rPr>
          <w:rFonts w:ascii="Arial" w:cs="Arial" w:eastAsia="Arial" w:hAnsi="Arial"/>
          <w:sz w:val="16"/>
          <w:szCs w:val="16"/>
          <w:color w:val="auto"/>
        </w:rPr>
        <w:t>, Combination Drop Therapy™, Compounded Alternative™, Compounded Choice™, Custom Compounding™, Custom Compounding Choice</w:t>
      </w:r>
      <w:r>
        <w:rPr>
          <w:rFonts w:ascii="Arial" w:cs="Arial" w:eastAsia="Arial" w:hAnsi="Arial"/>
          <w:sz w:val="26"/>
          <w:szCs w:val="26"/>
          <w:color w:val="auto"/>
          <w:vertAlign w:val="superscript"/>
        </w:rPr>
        <w:t>TM</w:t>
      </w:r>
      <w:r>
        <w:rPr>
          <w:rFonts w:ascii="Arial" w:cs="Arial" w:eastAsia="Arial" w:hAnsi="Arial"/>
          <w:sz w:val="16"/>
          <w:szCs w:val="16"/>
          <w:color w:val="auto"/>
        </w:rPr>
        <w:t>, Pred-Gati™, Pred-Gati-Nepaf™, Pred-Nepaf™, Correct Compound™, Making Drugs Affordable Again™, Superbundle™, People-Focused™, MKO Melt™, IV Free™, Imprimis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(logo), Imprimis LessDrops</w:t>
      </w:r>
      <w:r>
        <w:rPr>
          <w:rFonts w:ascii="Arial" w:cs="Arial" w:eastAsia="Arial" w:hAnsi="Arial"/>
          <w:sz w:val="26"/>
          <w:szCs w:val="26"/>
          <w:color w:val="auto"/>
          <w:vertAlign w:val="superscript"/>
        </w:rPr>
        <w:t>®</w:t>
      </w:r>
      <w:r>
        <w:rPr>
          <w:rFonts w:ascii="Arial" w:cs="Arial" w:eastAsia="Arial" w:hAnsi="Arial"/>
          <w:sz w:val="16"/>
          <w:szCs w:val="16"/>
          <w:color w:val="auto"/>
        </w:rPr>
        <w:t>, Imprimis Dropless Cataract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Surgery</w:t>
      </w:r>
      <w:r>
        <w:rPr>
          <w:rFonts w:ascii="Arial" w:cs="Arial" w:eastAsia="Arial" w:hAnsi="Arial"/>
          <w:sz w:val="28"/>
          <w:szCs w:val="28"/>
          <w:color w:val="auto"/>
          <w:vertAlign w:val="superscript"/>
        </w:rPr>
        <w:t>®</w:t>
      </w:r>
      <w:r>
        <w:rPr>
          <w:rFonts w:ascii="Arial" w:cs="Arial" w:eastAsia="Arial" w:hAnsi="Arial"/>
          <w:sz w:val="17"/>
          <w:szCs w:val="17"/>
          <w:color w:val="auto"/>
        </w:rPr>
        <w:t>, Pred-Gati™, Pred-Gati-Nepaf™, Pred-Nepaf™, Pred-Gati-Brom™, Pred-Gati-Ketor™, Dex-Moxi-Ketor™, Moxi™, Dex-Gati™, Correct Compound™, Lat™, Lat-Ds™, Tim-Lat™, Tim-Dor-Lat™, Tim-Brim-Dor™, Tim-Brim-Dor-Lat™, Pred-Levo-Ketor™, Pred-Levo-Brom™, Pred-Levo-Nepaf™, Tri-Moxi-Vanc™, Smartdrops™, Smarteyedrops™, Serum Tears™, Plasma Tears™, PRP Tears™, Omegadoxy™, Double Drop™, Quad Drop™, Lower Drops™, Simple Drops™, and Glaucoma Care™. All other trademarks, service marks and trade names included or incorporated by reference into this prospectus supplement and the accompanying base prospectus, are the property of their respective owners.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74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2175" cy="774827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beginning on page S-3 and our consolidated financial statements and the related notes and the other information incorporated by reference into this prospectus supplement and the accompanying base prospectus,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 other compelling medical and economic benefits. We also offer a conscious sedation medication, the IV Free MKO Melt™,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 dysfunction formulations for patients that are refractory to or are otherwise unable to</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take phosphodiesterase type 5 inhibitors such as sildenafil (Viagra®), tadalafil (Cialis®), and vardenafil (Levitra®). We also make PPS-DR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(pentosan polysulfate sodium delayed-release) formulations as lower-cost alternatives to Elmiron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patients diagnosed with interstitial cystitis.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Calcium Disodium Versenate, all FDA-approved drugs that have experienced significant price increases.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under Section 503B of the Federal Food, Drug &amp; Cosmetic Act (FDCA). The other New Jersey facility, and our California and Pennsylvania facilities, are all licensed pharmacies operating under Sections 503A of the FDCA. All products that we sell, produce and dispense are made in the United States.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$76,851,000 at December 31, 2016.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executive offices are located at 12264 El Camino Real, Suite 350, San Diego, California 92130 and our telephone number at such office is (858) 704-4040. Our website address is </w:t>
      </w:r>
      <w:r>
        <w:rPr>
          <w:rFonts w:ascii="Arial" w:cs="Arial" w:eastAsia="Arial" w:hAnsi="Arial"/>
          <w:sz w:val="18"/>
          <w:szCs w:val="18"/>
          <w:u w:val="single" w:color="auto"/>
          <w:color w:val="auto"/>
        </w:rPr>
        <w:t>imprimispharma.com</w:t>
      </w:r>
      <w:r>
        <w:rPr>
          <w:rFonts w:ascii="Arial" w:cs="Arial" w:eastAsia="Arial" w:hAnsi="Arial"/>
          <w:sz w:val="18"/>
          <w:szCs w:val="18"/>
          <w:color w:val="auto"/>
        </w:rPr>
        <w:t>. Information contained on our website is not deemed part of this prospectus supplement.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600" w:top="904"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5934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934710"/>
                    </a:xfrm>
                    <a:prstGeom prst="rect">
                      <a:avLst/>
                    </a:prstGeom>
                    <a:noFill/>
                  </pic:spPr>
                </pic:pic>
              </a:graphicData>
            </a:graphic>
          </wp:anchor>
        </w:drawing>
        <w:t>The Offering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base prospectus. For a more complete description of the terms of our common stock, see “Description of Our Capital Stock” in the accompanying base prospectus.</w:t>
      </w:r>
    </w:p>
    <w:p>
      <w:pPr>
        <w:sectPr>
          <w:pgSz w:w="11900" w:h="16838" w:orient="portrait"/>
          <w:cols w:equalWidth="0" w:num="1">
            <w:col w:w="10700"/>
          </w:cols>
          <w:pgMar w:left="600" w:top="904" w:right="599" w:bottom="1440" w:gutter="0" w:footer="0" w:header="0"/>
        </w:sectPr>
      </w:pP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1,312,500 shares of our common stock.</w:t>
      </w:r>
    </w:p>
    <w:p>
      <w:pPr>
        <w:spacing w:after="0" w:line="464" w:lineRule="exact"/>
        <w:rPr>
          <w:sz w:val="20"/>
          <w:szCs w:val="20"/>
          <w:color w:val="auto"/>
        </w:rPr>
      </w:pPr>
    </w:p>
    <w:p>
      <w:pPr>
        <w:sectPr>
          <w:pgSz w:w="11900" w:h="16838" w:orient="portrait"/>
          <w:cols w:equalWidth="0" w:num="2">
            <w:col w:w="1100" w:space="400"/>
            <w:col w:w="9200"/>
          </w:cols>
          <w:pgMar w:left="600" w:top="904" w:right="599" w:bottom="1440" w:gutter="0" w:footer="0" w:header="0"/>
          <w:type w:val="continuous"/>
        </w:sectPr>
      </w:pPr>
    </w:p>
    <w:p>
      <w:pPr>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$2.40 per share of common stock.</w:t>
      </w:r>
    </w:p>
    <w:p>
      <w:pPr>
        <w:spacing w:after="0" w:line="200" w:lineRule="exact"/>
        <w:rPr>
          <w:sz w:val="20"/>
          <w:szCs w:val="20"/>
          <w:color w:val="auto"/>
        </w:rPr>
      </w:pPr>
    </w:p>
    <w:p>
      <w:pPr>
        <w:sectPr>
          <w:pgSz w:w="11900" w:h="16838" w:orient="portrait"/>
          <w:cols w:equalWidth="0" w:num="2">
            <w:col w:w="1020" w:space="480"/>
            <w:col w:w="9200"/>
          </w:cols>
          <w:pgMar w:left="600" w:top="904" w:right="599" w:bottom="1440" w:gutter="0" w:footer="0" w:header="0"/>
          <w:type w:val="continuous"/>
        </w:sectPr>
      </w:pPr>
    </w:p>
    <w:p>
      <w:pPr>
        <w:spacing w:after="0" w:line="4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19,940,415 shares.</w:t>
      </w:r>
    </w:p>
    <w:p>
      <w:pPr>
        <w:spacing w:after="0" w:line="692" w:lineRule="exact"/>
        <w:rPr>
          <w:sz w:val="20"/>
          <w:szCs w:val="20"/>
          <w:color w:val="auto"/>
        </w:rPr>
      </w:pPr>
    </w:p>
    <w:p>
      <w:pPr>
        <w:sectPr>
          <w:pgSz w:w="11900" w:h="16838" w:orient="portrait"/>
          <w:cols w:equalWidth="0" w:num="2">
            <w:col w:w="1280" w:space="220"/>
            <w:col w:w="9200"/>
          </w:cols>
          <w:pgMar w:left="600" w:top="904" w:right="59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We estimate that our net proceeds from this offering will be approximately $2,919,872, after deducting the placement agent’s fee and the estimated offering expenses payable by us. We expect to use the net proceeds from this offering for working capital and general corporate purposes. See “Use of Proceeds” on page S-5.</w:t>
      </w:r>
    </w:p>
    <w:p>
      <w:pPr>
        <w:spacing w:after="0" w:line="177" w:lineRule="exact"/>
        <w:rPr>
          <w:sz w:val="20"/>
          <w:szCs w:val="20"/>
          <w:color w:val="auto"/>
        </w:rPr>
      </w:pPr>
    </w:p>
    <w:p>
      <w:pPr>
        <w:sectPr>
          <w:pgSz w:w="11900" w:h="16838" w:orient="portrait"/>
          <w:cols w:equalWidth="0" w:num="2">
            <w:col w:w="1160" w:space="340"/>
            <w:col w:w="9200"/>
          </w:cols>
          <w:pgMar w:left="600" w:top="904" w:right="59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314" w:lineRule="auto"/>
        <w:rPr>
          <w:sz w:val="20"/>
          <w:szCs w:val="20"/>
          <w:color w:val="auto"/>
        </w:rPr>
      </w:pPr>
      <w:r>
        <w:rPr>
          <w:rFonts w:ascii="Arial" w:cs="Arial" w:eastAsia="Arial" w:hAnsi="Arial"/>
          <w:sz w:val="16"/>
          <w:szCs w:val="16"/>
          <w:b w:val="1"/>
          <w:bCs w:val="1"/>
          <w:color w:val="auto"/>
        </w:rPr>
        <w:t>Investing in our common stock involves significant risks. See “Risk Factors” beginning on page S-3 and the other information included or incorporated by reference in this prospectus supplement and the accompanying base prospectus for a discussion of factors you should carefully consider before deciding to invest in our common stock.</w:t>
      </w:r>
    </w:p>
    <w:p>
      <w:pPr>
        <w:spacing w:after="0" w:line="146" w:lineRule="exact"/>
        <w:rPr>
          <w:sz w:val="20"/>
          <w:szCs w:val="20"/>
          <w:color w:val="auto"/>
        </w:rPr>
      </w:pPr>
    </w:p>
    <w:p>
      <w:pPr>
        <w:sectPr>
          <w:pgSz w:w="11900" w:h="16838" w:orient="portrait"/>
          <w:cols w:equalWidth="0" w:num="2">
            <w:col w:w="860" w:space="640"/>
            <w:col w:w="9200"/>
          </w:cols>
          <w:pgMar w:left="600" w:top="904" w:right="599" w:bottom="1440" w:gutter="0" w:footer="0" w:header="0"/>
          <w:type w:val="continuous"/>
        </w:sectPr>
      </w:pPr>
    </w:p>
    <w:p>
      <w:pPr>
        <w:spacing w:after="0" w:line="312" w:lineRule="auto"/>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“IMMY”</w:t>
      </w:r>
    </w:p>
    <w:p>
      <w:pPr>
        <w:spacing w:after="0" w:line="657" w:lineRule="exact"/>
        <w:rPr>
          <w:sz w:val="20"/>
          <w:szCs w:val="20"/>
          <w:color w:val="auto"/>
        </w:rPr>
      </w:pPr>
    </w:p>
    <w:p>
      <w:pPr>
        <w:sectPr>
          <w:pgSz w:w="11900" w:h="16838" w:orient="portrait"/>
          <w:cols w:equalWidth="0" w:num="2">
            <w:col w:w="1080" w:space="420"/>
            <w:col w:w="9200"/>
          </w:cols>
          <w:pgMar w:left="600" w:top="904" w:right="59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The number of shares of our common stock expected to be outstanding after this offering is based on 18,627,915 shares of common stock outstanding as of February 28, 2017, and excludes the following:</w:t>
      </w:r>
    </w:p>
    <w:p>
      <w:pPr>
        <w:spacing w:after="0" w:line="170" w:lineRule="exact"/>
        <w:rPr>
          <w:sz w:val="20"/>
          <w:szCs w:val="20"/>
          <w:color w:val="auto"/>
        </w:rPr>
      </w:pPr>
    </w:p>
    <w:p>
      <w:pPr>
        <w:ind w:left="980" w:hanging="333"/>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2,353,350 shares of common stock issuable upon exercise of options outstanding as of February 28, 2017, which have a weighted average exercise price of $5.54 per share, of which 879,798 shares were exercisable as of February 28, 2017;</w:t>
      </w:r>
    </w:p>
    <w:p>
      <w:pPr>
        <w:spacing w:after="0" w:line="170" w:lineRule="exact"/>
        <w:rPr>
          <w:rFonts w:ascii="Arial" w:cs="Arial" w:eastAsia="Arial" w:hAnsi="Arial"/>
          <w:sz w:val="18"/>
          <w:szCs w:val="18"/>
          <w:color w:val="auto"/>
        </w:rPr>
      </w:pPr>
    </w:p>
    <w:p>
      <w:pPr>
        <w:ind w:left="980" w:hanging="333"/>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1,373,121 shares of common stock issuable upon the vesting (or otherwise vested and shares not yet delivered) of restricted stock units as of February 28, 2017;</w:t>
      </w:r>
    </w:p>
    <w:p>
      <w:pPr>
        <w:spacing w:after="0" w:line="170" w:lineRule="exact"/>
        <w:rPr>
          <w:rFonts w:ascii="Arial" w:cs="Arial" w:eastAsia="Arial" w:hAnsi="Arial"/>
          <w:sz w:val="18"/>
          <w:szCs w:val="18"/>
          <w:color w:val="auto"/>
        </w:rPr>
      </w:pPr>
    </w:p>
    <w:p>
      <w:pPr>
        <w:ind w:left="980" w:hanging="333"/>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520,159 shares of common stock reserved for issuance and available for future grant under our equity incentive plans as of February 28, 2017; and</w:t>
      </w:r>
    </w:p>
    <w:p>
      <w:pPr>
        <w:spacing w:after="0" w:line="170" w:lineRule="exact"/>
        <w:rPr>
          <w:rFonts w:ascii="Arial" w:cs="Arial" w:eastAsia="Arial" w:hAnsi="Arial"/>
          <w:sz w:val="18"/>
          <w:szCs w:val="18"/>
          <w:color w:val="auto"/>
        </w:rPr>
      </w:pPr>
    </w:p>
    <w:p>
      <w:pPr>
        <w:ind w:left="980" w:hanging="333"/>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5,748,829 shares of common stock issuable upon exercise of warrants outstanding as of February 28, 2017, which have a weighted average exercise price of $1.91 per share, of which 280,688 shares were exercisable as of February 28,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600" w:top="904" w:right="5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Before purchasing our common stock, you should read and consider carefully the following risk factors as well as all other information contained and incorporated by reference in this prospectus supplement and the accompanying base prospectus, including our consolidated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$1.93 per share in the net tangible book value of the common stock you purchase in this offering. See “Dilution” on page S-6 for a more detailed discussion of the dilution you will incur if you purchase shares of our common stock in this offering.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 and we may not use these proceeds effectively or in a manner with which you agree.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anticipate using the net proceeds from this offering for working capital and general corporate purposes. We have not reserved or allocated amounts for specific purposes, and we cannot specify with certainty how or when we will use any of the net proceeds. Our management will have broad discretion in the application of the net proceeds we receive from this offering, and you will not have the opportunity, as part of your investment decision, to assess whether the proceeds are being used effectively or in a manner with which you agree. The net proceeds may be used for corporate purposes that do not increase our operating results or market value. Until the net proceeds are used, they may be placed in investments that do not produce income or that lose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in the past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never paid cash dividends on our common stock and do not anticipate doing so in the foreseeable future. Any payment of dividends on our common stock would depend on contractual restrictions, such as those contained in our loan agreement and convertible note with Life Sciences Alternative Funding LLC,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March 20, 2017, approximately 12%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base prospectus and the documents we have filed with the SEC that are incorporated by reference herein and therein contain forward-looking statements within the meaning of Section 27A of the Securities Act and Section 21E of the Securities Exchange Act of 1934, as amended (the “Exchange Act”). In addition, from time to time we or our representatives have made or will make forward-looking statements in various other filings that we make with the SEC or in other documents, including press releases or other similar announcements. Forward-looking statements concern our current plans, intentions, beliefs, expectations and statements of future economic performance. Statements containing terms such as “will,” “may,” “believe,” “do not believe,” “plan,” “expect,” “intend,” “estimate,” “anticipate” and other phrases of similar meaning are considered to be forward-looking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color w:val="auto"/>
        </w:rPr>
        <w:t>Forward-looking statements are based on our assumptions and are subject to known and unknown risks and uncertainties that could cause actual results to differ materially from those reflected in or implied by these forward-looking statements. Factors that might cause actual results to differ include, among others, those set forth under “Risk Factors” in this prospectus supplement and those discussed in “Management’s Discussion and Analysis of Financial Condition and Results of Operation” in our most recent Annual Report on Form 10-K and subsequent Quarterly Reports on Form 10-Q and in our future periodic reports filed with the SEC, all of which are incorporated by reference herein. Readers are cautioned not to place undue reliance on any forward-looking statements contained in this prospectus supplement, the accompanying base prospectus or the documents we have filed with the SEC that are incorporated by reference herein and therein, which reflect management’s views and opinions only as of their respective dates. We assume no obligation to update forward-looking statements to reflect actual results, changes in assumptions or changes in other factors affecting such forward-looking statements, except to the extent required by applicable securities laws. You are advised, however, to consult any additional disclosures we have made or will make in the filings we make with the SEC, including reports on Forms 10-K, 10-Q and 8-K. All subsequent forward-looking statements attributable to us or persons acting on our behalf are expressly qualified in their entirety by the cautionary statements contained in this prospectus supplement, the accompanying base prospectus or any related issuer free writing prospectus.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estimate that our net proceeds from this offering will be approximately $2,919,872, after deducting the placement agent’s fee and estimated offering expenses payable by us.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expect to use the net proceeds from this offering for working capital and general corporate purposes. We may also decide to use a portion of any net proceeds for other purposes, including the potential acquisition of, or investment in, product candidates, technologies, formulations or companies that complement our business, although we have no current understandings, commitments, or agreements to do so.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Amounts and timing of our actual expenditures will depend on numerous factors, including our pharmacy development and formulation commercialization efforts, as well as the amount of cash we use in our operations. Our management will have broad discretion in applying the net proceeds from this offering.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the funds are used, we intend to invest the net proceeds from this offering in interest-bearing money market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common stock, you will experience immediate dilution to the extent of the difference between the price per share you pay in this offering and the net tangible book value per share of our common stock after this offering.</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net tangible book value as of December 31, 2016 was approximately $6,432,000, or approximately $0.35 per share. Net tangible book value is determined by subtracting our total liabilities from our total tangible assets, and net tangible book value per share is determined by dividing our net tangible book value by the number of outstanding shares of our common stock. After giving effect to the sale of 1,312,500 shares of our common stock in this offering at the public offering price of $2.40 per share, and after deducting the placement agent’s fee and estimated offering expenses payable by us, our adjusted net tangible book value as of December 31, 2016 would have been approximately $9,351,872 or approximately $0.47 per share. This represents an immediate increase in net tangible book value of approximately $0.12 per share to our existing stockholders and an immediate dilution in net tangible book value of approximately $1.93 per share to investors participating in this offering. The following table illustrates this calculation on a per share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 of common stock1</w:t>
            </w:r>
          </w:p>
        </w:tc>
        <w:tc>
          <w:tcPr>
            <w:tcW w:w="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December 31, 2016</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participating in this offering</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7"/>
        </w:trPr>
        <w:tc>
          <w:tcPr>
            <w:tcW w:w="76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Adjusted net tangible book value per share after giving effect to this offering</w:t>
            </w:r>
          </w:p>
        </w:tc>
        <w:tc>
          <w:tcPr>
            <w:tcW w:w="7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gridSpan w:val="2"/>
          </w:tcPr>
          <w:p>
            <w:pPr>
              <w:jc w:val="right"/>
              <w:ind w:right="565"/>
              <w:spacing w:after="0" w:line="189"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line="189" w:lineRule="exact"/>
              <w:rPr>
                <w:sz w:val="20"/>
                <w:szCs w:val="20"/>
                <w:color w:val="auto"/>
              </w:rPr>
            </w:pPr>
            <w:r>
              <w:rPr>
                <w:rFonts w:ascii="Arial" w:cs="Arial" w:eastAsia="Arial" w:hAnsi="Arial"/>
                <w:sz w:val="18"/>
                <w:szCs w:val="18"/>
                <w:color w:val="auto"/>
              </w:rPr>
              <w:t>0.47</w:t>
            </w:r>
          </w:p>
        </w:tc>
      </w:tr>
      <w:tr>
        <w:trPr>
          <w:trHeight w:val="216"/>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18,627,915 shares of common stock issued and outstanding as of December 31, 2016 and exclude:</w:t>
      </w:r>
    </w:p>
    <w:p>
      <w:pPr>
        <w:spacing w:after="0" w:line="248"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2,013,313 shares of common stock issuable upon exercise of options outstanding as of December 31, 2016, which have a weighted average exercise price of $6.20 per share, of which 808,067 shares were exercisable as of December 31, 2016;</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1,373,121 shares of common stock issuable upon the vesting (or otherwise vested and shares not yet delivered) of restricted stock units as of December 31, 2016;</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815,159 shares of common stock reserved for issuance and available for future grant under our equity incentive plans as of December 31, 2016;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5,748,829 shares of common stock issuable upon exercise of warrants outstanding as of December 31, 2016, which have a weighted average exercise price of $1.91 per share, of which 280,688 shares were exercisable as of December 31, 2016.</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illustration of dilution per share to investors participating in this offering assumes no exercise of outstanding options or warrants to purchase our common stock and no vesting of outstanding restricted stock units. The exercise of outstanding options or warrants having an exercise price less than the offering price and the vesting of restricted stock units would increase dilution to investors participating in this offering. In addition, we may choose to raise additional capital depending on market conditions, our capital requirements and strategic considerations, even if we believe we have sufficient funds for our current or future operating plans. To the extent that additional capital is raised through our sale of equity or convertible debt securities, the issuance of these securities could result in further dilution to our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terms and conditions contained in the engagement letter, dated March 17, 2017, National Securities Corporation has agreed to act as the placement agent for the sale of up to 1,312,500 shares of common stock. The placement agent is not purchasing or selling any shares by this prospectus supplement or the accompanying prospectus nor is it required to arrange for the purchase or sale of any specific number or dollar amount of common stock, but has agreed to use its best efforts to arrange for the sale of all shares of common stock offered by us to the investors.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selling the offered common stock to selected institutional and other accredited investors under one or more securities purchase agreements entered into between us and each of the investors at the offering price stated on the cover of this prospectus supplement. We currently anticipate that closing of the sale of the common stock offered hereby will take place on or about March 27, 2017. Investors will also be informed of the date and manner in which they must transmit the purchase price to us for their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scheduled closing date, the following will occur:</w:t>
      </w:r>
    </w:p>
    <w:p>
      <w:pPr>
        <w:spacing w:after="0" w:line="225" w:lineRule="exact"/>
        <w:rPr>
          <w:sz w:val="20"/>
          <w:szCs w:val="20"/>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receive funds in the amount of the aggregate purchase price for the common stock we sell;</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deliver to each of the investors, through the DWAC system or by book-entry, the shares being purchased; and</w:t>
      </w:r>
    </w:p>
    <w:p>
      <w:pPr>
        <w:spacing w:after="0" w:line="225" w:lineRule="exact"/>
        <w:rPr>
          <w:rFonts w:ascii="Arial" w:cs="Arial" w:eastAsia="Arial" w:hAnsi="Arial"/>
          <w:sz w:val="18"/>
          <w:szCs w:val="18"/>
          <w:color w:val="auto"/>
        </w:rPr>
      </w:pPr>
    </w:p>
    <w:p>
      <w:pPr>
        <w:ind w:left="1240" w:hanging="327"/>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Securities Corporation will be paid the placement agents’ fee in accordance with the terms of the engagement letter.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engagement letter, we will pay the placement agent a commission equal to 6% of the gross proceeds of the sale of the common stock in the offering. The estimated offering expenses payable by us, in addition to the placement agents’ fees of $189,000, are approximately $41,128, which includes our legal, accounting and printing costs and various other fees associated with registering and listing the common stock. After deducting the fees due to the placement agent and our estimated offering expenses, we expect the net proceeds from this offering to be approximately $2,919,872.</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placement agent may, from time to time, engage in transactions with and perform services for us in the ordinary course of its business. We have agreed to indemnify the placement agent against certain liabilities, including liabilities under the Securities Act of 1933, as amended, and liabilities arising from breaches of representations and warranties contained in the engagement letter. We have also agreed to contribute to payments the placement agent may be required to make in respect of such liabilities.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securities offered by this prospectus supplement will be passed upon for us by Golenbock Eiseman Assor Bell &amp; Peskoe LLP, New York, New York. Greenberg Traurig, LLP, Irvine, California, is acting as counsel for the placement agent in connection with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of Imprimis Pharmaceuticals, Inc. and its subsidiary included in the Company’s Annual Report on Form 10-K for the year ended December 31, 2016 have been audited by KMJ Corbin &amp; Company LLP, an independent registered public accounting firm, as stated in their report which is incorporated by reference herein, and has been so incorporated in reliance upon such report and upon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it. This means that we can disclose important information to you in this prospectus by referring you to another document. The information incorporated by reference herein is considered to be a part of this prospectus supplement. We incorporate by reference the documents listed below that we have previously filed with the SEC (excluding any portions of any document that are not deemed “filed” pursuant to the General Instructions of Form 8-K):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21,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17, 2017 and March 22, 2017;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including any amendments or reports filed for the purpose of updating such description.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 contained in a previously filed document is deemed to be modified or superseded for purposes of this prospectus supplement to the extent that a statement contained in this prospectus supplement or in a subsequently filed document incorporated by reference herein modifies or supersedes the statement.</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prospectus supplement is delivered, upon written or oral request of that person, a copy of any or all of the documents we are incorporating by reference into this prospectus supplement, other than exhibits to those documents unless such exhibits are specifically incorporated by reference into those documents. Such written requests should be addressed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under the Securities Act (SEC File No. 333-198675)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website at www.sec.gov. Copies of certain information filed by us with the SEC are also available on our website at </w:t>
      </w:r>
      <w:r>
        <w:rPr>
          <w:rFonts w:ascii="Arial" w:cs="Arial" w:eastAsia="Arial" w:hAnsi="Arial"/>
          <w:sz w:val="17"/>
          <w:szCs w:val="17"/>
          <w:u w:val="single" w:color="auto"/>
          <w:color w:val="auto"/>
        </w:rPr>
        <w:t>www.imprimispharma.com</w:t>
      </w:r>
      <w:r>
        <w:rPr>
          <w:rFonts w:ascii="Arial" w:cs="Arial" w:eastAsia="Arial" w:hAnsi="Arial"/>
          <w:sz w:val="17"/>
          <w:szCs w:val="17"/>
          <w:color w:val="auto"/>
        </w:rPr>
        <w:t>. We have not incorporated by reference into this prospectus supplement the information on our website and it is not a part of this document.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4160" w:hanging="154"/>
        <w:spacing w:after="0"/>
        <w:tabs>
          <w:tab w:leader="none" w:pos="4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4160" w:hanging="154"/>
        <w:spacing w:after="0"/>
        <w:tabs>
          <w:tab w:leader="none" w:pos="4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4160" w:hanging="154"/>
        <w:spacing w:after="0"/>
        <w:tabs>
          <w:tab w:leader="none" w:pos="4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4160" w:hanging="154"/>
        <w:spacing w:after="0"/>
        <w:tabs>
          <w:tab w:leader="none" w:pos="4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4160" w:hanging="154"/>
        <w:spacing w:after="0"/>
        <w:tabs>
          <w:tab w:leader="none" w:pos="4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18, 2014, the closing price of our common stock on the NASDAQCM was $8.22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September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PROSPECTUS SUMMARY</w:t>
              </w:r>
            </w:hyperlink>
          </w:p>
        </w:tc>
        <w:tc>
          <w:tcPr>
            <w:tcW w:w="876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FORWARD-LOOKING STATEMENTS</w:t>
              </w:r>
            </w:hyperlink>
          </w:p>
        </w:tc>
        <w:tc>
          <w:tcPr>
            <w:tcW w:w="792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DILUTION</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DESCRIPTION OF CAPITAL STOCK</w:t>
              </w:r>
            </w:hyperlink>
          </w:p>
        </w:tc>
        <w:tc>
          <w:tcPr>
            <w:tcW w:w="798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THE DEPOSITARY SHARES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WARRANTS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THE DEBT SECURITIES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PLAN OF DISTRIBUTION</w:t>
              </w:r>
            </w:hyperlink>
          </w:p>
        </w:tc>
        <w:tc>
          <w:tcPr>
            <w:tcW w:w="880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1008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On February 7, 2013, we further amended our Amended and Restated Certificate of Incorporation to effect a one for five reverse stock split of our issued and outstanding common stock. On September 10, 2014, we amended and restated our Certificate of Incorporation to decrease the number of authorized shares of our common stock from 395,000,000 to 90,000,000. Our authorized capital stock now consists of 95,000,000 shares, 90,000,000 of which are designated as common stock, par value $0.001 per share, and 5,000,000 of which are designated as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160" w:right="20" w:hanging="504"/>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holder has previously given to the trustee written notice of a continuing event of default with respect to the debt securities of that series;</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11, 2014, April 3, 2014 (as amended by the Current Report on Form 8-K/A filed with the SEC on June 13, 2014), September 3, 2014, and September 8, 2014 (as amended by the Current Report on Form 8-K/A filed with the SEC on September 9, 2014).</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2284095</wp:posOffset>
            </wp:positionH>
            <wp:positionV relativeFrom="page">
              <wp:posOffset>568960</wp:posOffset>
            </wp:positionV>
            <wp:extent cx="3018790" cy="1346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01879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1,312,500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176530</wp:posOffset>
            </wp:positionV>
            <wp:extent cx="36277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154940</wp:posOffset>
            </wp:positionV>
            <wp:extent cx="36277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Securities Corporation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lvl w:ilvl="1">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2020-01-16T17:47:32Z</dcterms:created>
  <dcterms:modified xsi:type="dcterms:W3CDTF">2020-01-16T17:47:32Z</dcterms:modified>
</cp:coreProperties>
</file>