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18, 2026, Harrow, Inc. (the “Company”) held its 2026 Annual Meeting of Stockholders (the “Annual Meeting”). The number of shares of common stock entitled to vote at the Annual Meeting was 37,273,420. The number of shares of common stock present or represented by valid proxy at the Annual Meeting was 29,830,973. Each director nominee was elected, and each other proposal voted upon at the Annual Meeting was approved. The final voting results with respect to each proposal are set forth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Stockholders voted to elect to the Board of Directors the four (4) director nominees named in the Company’s proxy statement to serve until the 2027 annual meeting of stockholders or until their successors are duly elected and qualified. The results of the voting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18,733,392</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2,230,383</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8,867,198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Adrienne L. Graves</w:t>
            </w: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19,375,636</w:t>
            </w:r>
          </w:p>
        </w:tc>
        <w:tc>
          <w:tcPr>
            <w:tcW w:w="36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1,588,139</w:t>
            </w:r>
          </w:p>
        </w:tc>
        <w:tc>
          <w:tcPr>
            <w:tcW w:w="32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8,867,198</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P. Silvernail</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19,423,429</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1,540,346</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8,867,198</w:t>
            </w:r>
          </w:p>
        </w:tc>
        <w:tc>
          <w:tcPr>
            <w:tcW w:w="100" w:type="dxa"/>
            <w:vAlign w:val="bottom"/>
            <w:shd w:val="clear" w:color="auto" w:fill="CCEEFF"/>
          </w:tcPr>
          <w:p>
            <w:pPr>
              <w:spacing w:after="0"/>
              <w:rPr>
                <w:sz w:val="18"/>
                <w:szCs w:val="18"/>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19,427,617</w:t>
            </w:r>
          </w:p>
        </w:tc>
        <w:tc>
          <w:tcPr>
            <w:tcW w:w="36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1,536,158</w:t>
            </w:r>
          </w:p>
        </w:tc>
        <w:tc>
          <w:tcPr>
            <w:tcW w:w="320" w:type="dxa"/>
            <w:vAlign w:val="bottom"/>
          </w:tcPr>
          <w:p>
            <w:pPr>
              <w:spacing w:after="0"/>
              <w:rPr>
                <w:sz w:val="20"/>
                <w:szCs w:val="20"/>
                <w:color w:val="auto"/>
              </w:rPr>
            </w:pP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8,867,198</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2: To approve on an advisory basis, the compensation of the Company’s named executive officers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approved, on an advisory basis, the compensation of the Company’s named executive officers. The results of the voting were: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0"/>
        </w:trPr>
        <w:tc>
          <w:tcPr>
            <w:tcW w:w="23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18,065,856</w:t>
            </w:r>
          </w:p>
        </w:tc>
        <w:tc>
          <w:tcPr>
            <w:tcW w:w="3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2,395,240</w:t>
            </w:r>
          </w:p>
        </w:tc>
        <w:tc>
          <w:tcPr>
            <w:tcW w:w="34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502,679</w:t>
            </w:r>
          </w:p>
        </w:tc>
        <w:tc>
          <w:tcPr>
            <w:tcW w:w="3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8,867,198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3: Ratification of Auditors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Stockholders ratified the selection of </w:t>
      </w:r>
      <w:r>
        <w:rPr>
          <w:rFonts w:ascii="Times New Roman" w:cs="Times New Roman" w:eastAsia="Times New Roman" w:hAnsi="Times New Roman"/>
          <w:sz w:val="18"/>
          <w:szCs w:val="18"/>
          <w:u w:val="single" w:color="auto"/>
          <w:color w:val="auto"/>
        </w:rPr>
        <w:t>Deloitte &amp; Touche</w:t>
      </w:r>
      <w:r>
        <w:rPr>
          <w:rFonts w:ascii="Times New Roman" w:cs="Times New Roman" w:eastAsia="Times New Roman" w:hAnsi="Times New Roman"/>
          <w:sz w:val="18"/>
          <w:szCs w:val="18"/>
          <w:color w:val="auto"/>
        </w:rPr>
        <w:t xml:space="preserve"> LLP as the Company’s independent registered public accounting firm for the fiscal year ending December 31, 2026. The results of the voting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09"/>
        </w:trPr>
        <w:tc>
          <w:tcPr>
            <w:tcW w:w="23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28,578,182</w:t>
            </w:r>
          </w:p>
        </w:tc>
        <w:tc>
          <w:tcPr>
            <w:tcW w:w="3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1,249,248</w:t>
            </w:r>
          </w:p>
        </w:tc>
        <w:tc>
          <w:tcPr>
            <w:tcW w:w="34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3,543</w:t>
            </w:r>
          </w:p>
        </w:tc>
        <w:tc>
          <w:tcPr>
            <w:tcW w:w="3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22,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Financial 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2026-06-22T06:31:42Z</dcterms:created>
  <dcterms:modified xsi:type="dcterms:W3CDTF">2026-06-22T06:31:42Z</dcterms:modified>
</cp:coreProperties>
</file>