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00" w:type="dxa"/>
            <w:vAlign w:val="bottom"/>
          </w:tcPr>
          <w:p>
            <w:pPr>
              <w:spacing w:after="0"/>
              <w:rPr>
                <w:sz w:val="24"/>
                <w:szCs w:val="24"/>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2"/>
        </w:trPr>
        <w:tc>
          <w:tcPr>
            <w:tcW w:w="4500" w:type="dxa"/>
            <w:vAlign w:val="bottom"/>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00" w:type="dxa"/>
            <w:vAlign w:val="bottom"/>
          </w:tcPr>
          <w:p>
            <w:pPr>
              <w:spacing w:after="0"/>
              <w:rPr>
                <w:sz w:val="17"/>
                <w:szCs w:val="17"/>
                <w:color w:val="auto"/>
              </w:rPr>
            </w:pPr>
          </w:p>
        </w:tc>
        <w:tc>
          <w:tcPr>
            <w:tcW w:w="4060" w:type="dxa"/>
            <w:vAlign w:val="bottom"/>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500" w:type="dxa"/>
            <w:vAlign w:val="bottom"/>
          </w:tcPr>
          <w:p>
            <w:pPr>
              <w:jc w:val="center"/>
              <w:spacing w:after="0"/>
              <w:rPr>
                <w:sz w:val="20"/>
                <w:szCs w:val="20"/>
                <w:color w:val="auto"/>
              </w:rPr>
            </w:pPr>
            <w:r>
              <w:rPr>
                <w:rFonts w:ascii="Arial" w:cs="Arial" w:eastAsia="Arial" w:hAnsi="Arial"/>
                <w:sz w:val="18"/>
                <w:szCs w:val="18"/>
                <w:color w:val="auto"/>
                <w:w w:val="89"/>
              </w:rPr>
              <w:t>8.625% Senior Notes due 2026</w:t>
            </w: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HROWL</w:t>
            </w:r>
          </w:p>
        </w:tc>
        <w:tc>
          <w:tcPr>
            <w:tcW w:w="20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89"/>
              </w:rPr>
              <w:t>11.875% Senior Notes due 2027</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7"/>
              </w:rPr>
              <w:t>HROWM</w:t>
            </w:r>
          </w:p>
        </w:tc>
        <w:tc>
          <w:tcPr>
            <w:tcW w:w="20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18, 2023, Harrow Health,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B. Riley Securities, Inc., as representative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related to a public offering of shares of the Company’s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an offering price of $17.75 per share (the “</w:t>
      </w:r>
      <w:r>
        <w:rPr>
          <w:rFonts w:ascii="Arial" w:cs="Arial" w:eastAsia="Arial" w:hAnsi="Arial"/>
          <w:sz w:val="18"/>
          <w:szCs w:val="18"/>
          <w:u w:val="single" w:color="auto"/>
          <w:color w:val="auto"/>
        </w:rPr>
        <w:t>Offering</w:t>
      </w:r>
      <w:r>
        <w:rPr>
          <w:rFonts w:ascii="Arial" w:cs="Arial" w:eastAsia="Arial" w:hAnsi="Arial"/>
          <w:sz w:val="18"/>
          <w:szCs w:val="18"/>
          <w:color w:val="auto"/>
        </w:rPr>
        <w:t>”). Under the terms of the Underwriting Agreement, the Company agreed to sell 3,380,282 shares of the Common Stock (the “</w:t>
      </w:r>
      <w:r>
        <w:rPr>
          <w:rFonts w:ascii="Arial" w:cs="Arial" w:eastAsia="Arial" w:hAnsi="Arial"/>
          <w:sz w:val="18"/>
          <w:szCs w:val="18"/>
          <w:u w:val="single" w:color="auto"/>
          <w:color w:val="auto"/>
        </w:rPr>
        <w:t>Firm Shares</w:t>
      </w:r>
      <w:r>
        <w:rPr>
          <w:rFonts w:ascii="Arial" w:cs="Arial" w:eastAsia="Arial" w:hAnsi="Arial"/>
          <w:sz w:val="18"/>
          <w:szCs w:val="18"/>
          <w:color w:val="auto"/>
        </w:rPr>
        <w:t>”) to the Underwriters. The Company also granted the Underwriters a 30-day option to purchase an additional 507,042 shares of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and, collectively with the Firm Shares, the “</w:t>
      </w:r>
      <w:r>
        <w:rPr>
          <w:rFonts w:ascii="Arial" w:cs="Arial" w:eastAsia="Arial" w:hAnsi="Arial"/>
          <w:sz w:val="18"/>
          <w:szCs w:val="18"/>
          <w:u w:val="single" w:color="auto"/>
          <w:color w:val="auto"/>
        </w:rPr>
        <w:t>Shares</w:t>
      </w:r>
      <w:r>
        <w:rPr>
          <w:rFonts w:ascii="Arial" w:cs="Arial" w:eastAsia="Arial" w:hAnsi="Arial"/>
          <w:sz w:val="18"/>
          <w:szCs w:val="18"/>
          <w:color w:val="auto"/>
        </w:rPr>
        <w:t>”) in connection with the Offering.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20, 2023, the Underwriters exercised in full the option to purchase the Option Shares. The sale of the Firm Shares and the Option Shares closed on July 21, 2023, with the Company receiving aggregate gross proceeds of $69.0 million.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Underwriting Agreement includes customary representations, warranties and covenants by the Company and customary conditions to closing, obligations of the parties and termination provisions. Furthermore, under the terms of the Underwriting Agreement, the Company has agreed to indemnify the Underwriters against certain liabilities, including liabilities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to contribute to payments the Underwriters may be required to make in respect of these liabilities. In addition, officers and directors of the Company have agreed, for a period of 90 days following entry into the Underwriting Agreement, not to conduct any sales of shares of Common Stock or otherwise dispose of, directly or indirectly, any Common Stock (or any securities convertible into, or exercisable or exchangeable for, the Common Stock), without the prior written consent of the Underwriters. The representations, warranties and covenants contained in the Underwriting Agreement were made only for purposes of such agreement and as of specific dates and were solely for the benefit of the parties to such agreement.</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Shares are being sold pursuant to a shelf registration statement filed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which became effective on June 6, 2022 (File No. 333-265244)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A prospectus supplement relating to the Offering has been filed with the SEC. Attached as </w:t>
      </w:r>
      <w:r>
        <w:rPr>
          <w:rFonts w:ascii="Arial" w:cs="Arial" w:eastAsia="Arial" w:hAnsi="Arial"/>
          <w:sz w:val="16"/>
          <w:szCs w:val="16"/>
          <w:u w:val="single" w:color="auto"/>
          <w:color w:val="auto"/>
        </w:rPr>
        <w:t>Exhibit 5.1</w:t>
      </w:r>
      <w:r>
        <w:rPr>
          <w:rFonts w:ascii="Arial" w:cs="Arial" w:eastAsia="Arial" w:hAnsi="Arial"/>
          <w:sz w:val="16"/>
          <w:szCs w:val="16"/>
          <w:color w:val="auto"/>
        </w:rPr>
        <w:t xml:space="preserve"> hereto and incorporated herein by reference is a copy of the opinion of Holland &amp; Knight LLP as to legality of the issuance and sale of the Shares in the Offering, which is also filed with reference to, and is hereby incorporated into, the Registration Statement.</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A copy of the Underwriting Agreement is attached hereto as </w:t>
      </w:r>
      <w:r>
        <w:rPr>
          <w:rFonts w:ascii="Arial" w:cs="Arial" w:eastAsia="Arial" w:hAnsi="Arial"/>
          <w:sz w:val="17"/>
          <w:szCs w:val="17"/>
          <w:u w:val="single" w:color="auto"/>
          <w:color w:val="auto"/>
        </w:rPr>
        <w:t>Exhibit 1.1</w:t>
      </w:r>
      <w:r>
        <w:rPr>
          <w:rFonts w:ascii="Arial" w:cs="Arial" w:eastAsia="Arial" w:hAnsi="Arial"/>
          <w:sz w:val="17"/>
          <w:szCs w:val="17"/>
          <w:color w:val="auto"/>
        </w:rPr>
        <w:t xml:space="preserve"> and is incorporated herein by reference. The foregoing description of the material terms of the Underwriting Agreement does not purport to be complete and is qualified in its entirety by reference to such exhibit.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July 19, 2023, the Company issued a press release announcing the pricing of the Offering. A copy of the press release is being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Current Report on Form 8-K.</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information furnished under this Item 7.01 of the Current Report on Form 8-K, including </w:t>
      </w:r>
      <w:r>
        <w:rPr>
          <w:rFonts w:ascii="Arial" w:cs="Arial" w:eastAsia="Arial" w:hAnsi="Arial"/>
          <w:sz w:val="16"/>
          <w:szCs w:val="16"/>
          <w:u w:val="single" w:color="auto"/>
          <w:color w:val="auto"/>
        </w:rPr>
        <w:t>Exhibit 99.1</w:t>
      </w:r>
      <w:r>
        <w:rPr>
          <w:rFonts w:ascii="Arial" w:cs="Arial" w:eastAsia="Arial" w:hAnsi="Arial"/>
          <w:sz w:val="16"/>
          <w:szCs w:val="16"/>
          <w:color w:val="auto"/>
        </w:rPr>
        <w:t>, shall not be deemed to be “filed” for the purposes of Section 18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or otherwise subject to the liabilities of that Section. The information in this Item 7.01, including </w:t>
      </w:r>
      <w:r>
        <w:rPr>
          <w:rFonts w:ascii="Arial" w:cs="Arial" w:eastAsia="Arial" w:hAnsi="Arial"/>
          <w:sz w:val="16"/>
          <w:szCs w:val="16"/>
          <w:u w:val="single" w:color="auto"/>
          <w:color w:val="auto"/>
        </w:rPr>
        <w:t>Exhibit 99.1</w:t>
      </w:r>
      <w:r>
        <w:rPr>
          <w:rFonts w:ascii="Arial" w:cs="Arial" w:eastAsia="Arial" w:hAnsi="Arial"/>
          <w:sz w:val="16"/>
          <w:szCs w:val="16"/>
          <w:color w:val="auto"/>
        </w:rPr>
        <w:t>, shall not be deemed incorporated by reference into any filing under the Securities Act or the Exchange Act, except to the extent it is specifically incorporated by reference but regardless of any general incorporation language in such filing.</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information furnished under this Item 7.01 of Current Report on Form 8-K, including </w:t>
      </w:r>
      <w:r>
        <w:rPr>
          <w:rFonts w:ascii="Arial" w:cs="Arial" w:eastAsia="Arial" w:hAnsi="Arial"/>
          <w:sz w:val="18"/>
          <w:szCs w:val="18"/>
          <w:u w:val="single" w:color="auto"/>
          <w:color w:val="auto"/>
        </w:rPr>
        <w:t>Exhibit 99.1</w:t>
      </w:r>
      <w:r>
        <w:rPr>
          <w:rFonts w:ascii="Arial" w:cs="Arial" w:eastAsia="Arial" w:hAnsi="Arial"/>
          <w:sz w:val="18"/>
          <w:szCs w:val="18"/>
          <w:color w:val="auto"/>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Underwriting Agreement between the Company and B. Riley Securities, Inc., as representative of the several underwriters named therein, dated July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0000EE"/>
        </w:rPr>
        <w:t>18, 2023</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EE"/>
        </w:rPr>
        <w:t>Opinion of Holland &amp; Knight LLP</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Holland &amp; Knight LLP (included in Exhibit 5.1)</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Pricing Press Release issued by Harrow Health, Inc. on July 19, 2023</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July 21,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1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July 18,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Securities, Inc.</w:t>
      </w:r>
    </w:p>
    <w:p>
      <w:pPr>
        <w:spacing w:after="0" w:line="19" w:lineRule="exact"/>
        <w:rPr>
          <w:sz w:val="20"/>
          <w:szCs w:val="20"/>
          <w:color w:val="auto"/>
        </w:rPr>
      </w:pPr>
    </w:p>
    <w:p>
      <w:pPr>
        <w:ind w:right="9200" w:firstLine="8"/>
        <w:spacing w:after="0" w:line="221" w:lineRule="auto"/>
        <w:tabs>
          <w:tab w:leader="none" w:pos="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Park Avenue,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Floor New York, NY 10171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Harrow Health,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proposes to issue and sell to the several Underwriters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B. Riley Securities, Inc. is acting as representative (in such capacity, the “</w:t>
      </w:r>
      <w:r>
        <w:rPr>
          <w:rFonts w:ascii="Arial" w:cs="Arial" w:eastAsia="Arial" w:hAnsi="Arial"/>
          <w:sz w:val="18"/>
          <w:szCs w:val="18"/>
          <w:b w:val="1"/>
          <w:bCs w:val="1"/>
          <w:color w:val="auto"/>
        </w:rPr>
        <w:t>Representative</w:t>
      </w:r>
      <w:r>
        <w:rPr>
          <w:rFonts w:ascii="Arial" w:cs="Arial" w:eastAsia="Arial" w:hAnsi="Arial"/>
          <w:sz w:val="18"/>
          <w:szCs w:val="18"/>
          <w:color w:val="auto"/>
        </w:rPr>
        <w:t>”), 3,380,282 shares (the “</w:t>
      </w:r>
      <w:r>
        <w:rPr>
          <w:rFonts w:ascii="Arial" w:cs="Arial" w:eastAsia="Arial" w:hAnsi="Arial"/>
          <w:sz w:val="18"/>
          <w:szCs w:val="18"/>
          <w:b w:val="1"/>
          <w:bCs w:val="1"/>
          <w:color w:val="auto"/>
        </w:rPr>
        <w:t>Firm</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of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In addition, the Company proposes to grant to the Underwriters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from the Company up to an additional 507,042 shares of Common Stock, to be purchased at the option of the Underwriters (the “</w:t>
      </w:r>
      <w:r>
        <w:rPr>
          <w:rFonts w:ascii="Arial" w:cs="Arial" w:eastAsia="Arial" w:hAnsi="Arial"/>
          <w:sz w:val="18"/>
          <w:szCs w:val="18"/>
          <w:b w:val="1"/>
          <w:bCs w:val="1"/>
          <w:color w:val="auto"/>
        </w:rPr>
        <w:t>Option</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and, together with the Firm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Underwriters agree as follows:</w:t>
      </w:r>
    </w:p>
    <w:p>
      <w:pPr>
        <w:spacing w:after="0" w:line="221" w:lineRule="exact"/>
        <w:rPr>
          <w:sz w:val="20"/>
          <w:szCs w:val="20"/>
          <w:color w:val="auto"/>
        </w:rPr>
      </w:pPr>
    </w:p>
    <w:p>
      <w:pPr>
        <w:jc w:val="both"/>
        <w:ind w:firstLine="656"/>
        <w:spacing w:after="0" w:line="258" w:lineRule="auto"/>
        <w:tabs>
          <w:tab w:leader="none" w:pos="8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Offering</w:t>
      </w:r>
      <w:r>
        <w:rPr>
          <w:rFonts w:ascii="Arial" w:cs="Arial" w:eastAsia="Arial" w:hAnsi="Arial"/>
          <w:sz w:val="18"/>
          <w:szCs w:val="18"/>
          <w:color w:val="auto"/>
        </w:rPr>
        <w:t>. Upon the basis of the representations and warranties and subject to the terms and conditions herein set forth, the Company agrees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issue and sell to the Underwriters, severally and not jointly, the number of Firm Shares set forth opposite the name of such Underwriter on </w:t>
      </w:r>
      <w:r>
        <w:rPr>
          <w:rFonts w:ascii="Arial" w:cs="Arial" w:eastAsia="Arial" w:hAnsi="Arial"/>
          <w:sz w:val="18"/>
          <w:szCs w:val="18"/>
          <w:u w:val="single" w:color="auto"/>
          <w:color w:val="auto"/>
        </w:rPr>
        <w:t>Schedule A</w:t>
      </w:r>
      <w:r>
        <w:rPr>
          <w:rFonts w:ascii="Arial" w:cs="Arial" w:eastAsia="Arial" w:hAnsi="Arial"/>
          <w:sz w:val="18"/>
          <w:szCs w:val="18"/>
          <w:color w:val="auto"/>
        </w:rPr>
        <w:t>, and each of the Underwriters, severally and not jointly, agrees to purchase from the Company at the price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the number of Firm Shares set forth opposite the name of such Underwriter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subject to adjustment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the Company hereby grants to the Underwriters the option to purchase, and upon the basis of the representations, warranties and agreements contained herein and subject to the terms and conditions herein set forth, the Underwriters shall have the right to purchase from the Company, all or a portion of the Option Shares, at the same purchase price per share to be paid by the Underwriters to the Company for the Firm Shares as set forth opposite the names of such Underwriters on Schedule C hereto. This option may be exercised by the Underwriters any time and from time to time on or before the thirtieth (30th) day following the date hereof, by written notice from the Representative to the Company, which notice may be electronic (“</w:t>
      </w:r>
      <w:r>
        <w:rPr>
          <w:rFonts w:ascii="Arial" w:cs="Arial" w:eastAsia="Arial" w:hAnsi="Arial"/>
          <w:sz w:val="17"/>
          <w:szCs w:val="17"/>
          <w:b w:val="1"/>
          <w:bCs w:val="1"/>
          <w:color w:val="auto"/>
        </w:rPr>
        <w:t>Option Shares Notice”).</w:t>
      </w:r>
      <w:r>
        <w:rPr>
          <w:rFonts w:ascii="Arial" w:cs="Arial" w:eastAsia="Arial" w:hAnsi="Arial"/>
          <w:sz w:val="17"/>
          <w:szCs w:val="17"/>
          <w:color w:val="auto"/>
        </w:rPr>
        <w:t xml:space="preserve"> The Option Shares Notice shall set forth the aggregate number of Option Shares as to which the option is being exercised, and the date and time when the Option Shares are to be delivered (such date and time being herein referred to as the “</w:t>
      </w:r>
      <w:r>
        <w:rPr>
          <w:rFonts w:ascii="Arial" w:cs="Arial" w:eastAsia="Arial" w:hAnsi="Arial"/>
          <w:sz w:val="17"/>
          <w:szCs w:val="17"/>
          <w:b w:val="1"/>
          <w:bCs w:val="1"/>
          <w:color w:val="auto"/>
        </w:rPr>
        <w:t>Option Closing Date</w:t>
      </w:r>
      <w:r>
        <w:rPr>
          <w:rFonts w:ascii="Arial" w:cs="Arial" w:eastAsia="Arial" w:hAnsi="Arial"/>
          <w:sz w:val="17"/>
          <w:szCs w:val="17"/>
          <w:color w:val="auto"/>
        </w:rPr>
        <w:t>”); provided, however, that the Option Closing Date may be the same date and time as the Closing Date (as defined below), but shall not be earlier than the Closing Date nor earlier than the second (2nd) business day after the date on which the option to purchase Option Shares shall have been exercised. As of the Option Closing Date, the Company will issue and sell to the Underwriters, and the Underwriters will purchase from the Company, the number of Option Shares set forth in the Option Shares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840" w:hanging="184"/>
        <w:spacing w:after="0"/>
        <w:tabs>
          <w:tab w:leader="none" w:pos="8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color w:val="auto"/>
        </w:rPr>
        <w:t>. The Company represents and warrants to, and agrees with, the Underwriters that:</w:t>
      </w:r>
    </w:p>
    <w:p>
      <w:pPr>
        <w:spacing w:after="0" w:line="236" w:lineRule="exact"/>
        <w:rPr>
          <w:rFonts w:ascii="Arial" w:cs="Arial" w:eastAsia="Arial" w:hAnsi="Arial"/>
          <w:sz w:val="17"/>
          <w:szCs w:val="17"/>
          <w:b w:val="1"/>
          <w:bCs w:val="1"/>
          <w:color w:val="auto"/>
        </w:rPr>
      </w:pPr>
    </w:p>
    <w:p>
      <w:pPr>
        <w:jc w:val="both"/>
        <w:ind w:firstLine="1304"/>
        <w:spacing w:after="0" w:line="284" w:lineRule="auto"/>
        <w:tabs>
          <w:tab w:leader="none" w:pos="1544"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has prepared and filed in conformity with the requirements of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published rules and regulations thereunder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adopted by the Securities and Exchange Commission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(as hereinafter defined) on Form S-3 (File No. 333-264244), which was declared effective by the Commission as of June 6, 2022 (the “</w:t>
      </w:r>
      <w:r>
        <w:rPr>
          <w:rFonts w:ascii="Arial" w:cs="Arial" w:eastAsia="Arial" w:hAnsi="Arial"/>
          <w:sz w:val="16"/>
          <w:szCs w:val="16"/>
          <w:b w:val="1"/>
          <w:bCs w:val="1"/>
          <w:color w:val="auto"/>
        </w:rPr>
        <w:t>Effective Date</w:t>
      </w:r>
      <w:r>
        <w:rPr>
          <w:rFonts w:ascii="Arial" w:cs="Arial" w:eastAsia="Arial" w:hAnsi="Arial"/>
          <w:sz w:val="16"/>
          <w:szCs w:val="16"/>
          <w:color w:val="auto"/>
        </w:rPr>
        <w:t>”), including a base prospectus relating to the securities registered pursuant to such 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and such amendments and supplements thereto as may have been required to the date of this Agreement.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used in this Agreement means the registration statement (including all exhibits, financial schedules and all documents and information deemed to be a part of the Registration Statement pursuant to Rule 430B of the Rules and Regulations), as amended and/or supplemented to the date of this Agreement, including the Base Prospectus. The Registration Statement is effective under the Securities Act, and no stop order preventing or suspending the effectiveness of the Registration Statement or suspending or preventing the use of the Prospectus (as defined below) has been issued by the Commission, and to the knowledge of the Company, no proceedings for that purpose have been instituted or are threatened by the Commission. The Company has prepared a prospectus supplement to the Base Prospectus included as part of such registration statement specifically relating to the Shares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has or will file such Prospectus Supplement with the Commission pursuant to Rule 424(b) of the Rules and Regulations. The term “</w:t>
      </w:r>
      <w:r>
        <w:rPr>
          <w:rFonts w:ascii="Arial" w:cs="Arial" w:eastAsia="Arial" w:hAnsi="Arial"/>
          <w:sz w:val="16"/>
          <w:szCs w:val="16"/>
          <w:b w:val="1"/>
          <w:bCs w:val="1"/>
          <w:color w:val="auto"/>
        </w:rPr>
        <w:t>Prospectus</w:t>
      </w:r>
      <w:r>
        <w:rPr>
          <w:rFonts w:ascii="Arial" w:cs="Arial" w:eastAsia="Arial" w:hAnsi="Arial"/>
          <w:sz w:val="16"/>
          <w:szCs w:val="16"/>
          <w:color w:val="auto"/>
        </w:rPr>
        <w:t>” as used in this Agreement means the Base Prospectus, as it may be supplemented by the Prospectus Supplement, in the forms in which such Base Prospectus or Prospectus Supplement has been or is to be filed with the Commission pursuant to Rule 424(b) of the Rules and Regulations, except that if any revised prospectus or prospectus supplement shall be provided to the Underwriters by the Company for use in connection with the offering and sale of the Shares (the “</w:t>
      </w:r>
      <w:r>
        <w:rPr>
          <w:rFonts w:ascii="Arial" w:cs="Arial" w:eastAsia="Arial" w:hAnsi="Arial"/>
          <w:sz w:val="16"/>
          <w:szCs w:val="16"/>
          <w:b w:val="1"/>
          <w:bCs w:val="1"/>
          <w:color w:val="auto"/>
        </w:rPr>
        <w:t>Offering</w:t>
      </w:r>
      <w:r>
        <w:rPr>
          <w:rFonts w:ascii="Arial" w:cs="Arial" w:eastAsia="Arial" w:hAnsi="Arial"/>
          <w:sz w:val="16"/>
          <w:szCs w:val="16"/>
          <w:color w:val="auto"/>
        </w:rPr>
        <w:t>”) which differs from the Prospectus (whether or not such revised prospectus or prospectus supplement is required to be filed by the Company pursuant to Rule 424(b) of the Rules and Regulations),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or prospectus supplement, as the case may be, from and after the time it is first provided to the Underwriters for such use. Any reference herein to the Registration Statement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on or before the last to occur of the Effective Date, or the date of the Prospectus, and any reference herein to the terms “amend,” “amendment,” or “supplement” with respect to the Registration Statement or the Prospectus shall be deemed to refer to and include (i) the filing of any document under the Exchange Act after the Effective Date or the date of the Prospectus, as the case may be, which is incorporated by reference and (ii) any such document so filed. If needed to complete the Offering, the Company will file an abbreviated registration statement to register additional securities pursuant to Rule 462(b) under the Rules and Regulations (the “</w:t>
      </w:r>
      <w:r>
        <w:rPr>
          <w:rFonts w:ascii="Arial" w:cs="Arial" w:eastAsia="Arial" w:hAnsi="Arial"/>
          <w:sz w:val="16"/>
          <w:szCs w:val="16"/>
          <w:b w:val="1"/>
          <w:bCs w:val="1"/>
          <w:color w:val="auto"/>
        </w:rPr>
        <w:t>462</w:t>
      </w: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reference herein to the Registration Statement shall also be deemed to include such 462(b) Registration Statement.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firstLine="1304"/>
        <w:spacing w:after="0" w:line="283" w:lineRule="auto"/>
        <w:tabs>
          <w:tab w:leader="none" w:pos="155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the Applicable Time (as defined below) and as of the Time of Purchase, as the case may be, none of (i) any General Use Free Writing Prospectus (as defined below) issued at or prior to the Applicable Time, and the Pricing Prospectus (as defined below), all considered together (collectively, the “</w:t>
      </w:r>
      <w:r>
        <w:rPr>
          <w:rFonts w:ascii="Arial" w:cs="Arial" w:eastAsia="Arial" w:hAnsi="Arial"/>
          <w:sz w:val="16"/>
          <w:szCs w:val="16"/>
          <w:b w:val="1"/>
          <w:bCs w:val="1"/>
          <w:color w:val="auto"/>
        </w:rPr>
        <w:t>General Disclosure Package</w:t>
      </w:r>
      <w:r>
        <w:rPr>
          <w:rFonts w:ascii="Arial" w:cs="Arial" w:eastAsia="Arial" w:hAnsi="Arial"/>
          <w:sz w:val="16"/>
          <w:szCs w:val="16"/>
          <w:color w:val="auto"/>
        </w:rPr>
        <w:t xml:space="preserve">”), (ii) any individual Limited Use Free Writing Prospectus (as defined below) issued at or prior to the Time of Purchase, or (iii) the bona fide electronic road show, if any (as defined in Rule 433(h)(5) of the Rules and Regulations), that has been made available without restriction to any person, when considered together with the General Disclosure Package, included or will include any untrue statement of a material fact or omitted, or as of the Time of Purchase, will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information contained in or omitted from the General Disclosure Package, any individual Limited Use Free Writing Prospectus or the bona fide electronic road show, if any, in reliance upon, and in conformity with, written information furnished to the Company by or on behalf of the Underwriters specifically for inclusion therein, which information the parties hereto agree is limited to the “</w:t>
      </w:r>
      <w:r>
        <w:rPr>
          <w:rFonts w:ascii="Arial" w:cs="Arial" w:eastAsia="Arial" w:hAnsi="Arial"/>
          <w:sz w:val="16"/>
          <w:szCs w:val="16"/>
          <w:b w:val="1"/>
          <w:bCs w:val="1"/>
          <w:color w:val="auto"/>
        </w:rPr>
        <w:t>Underwriter’s Information</w:t>
      </w:r>
      <w:r>
        <w:rPr>
          <w:rFonts w:ascii="Arial" w:cs="Arial" w:eastAsia="Arial" w:hAnsi="Arial"/>
          <w:sz w:val="16"/>
          <w:szCs w:val="16"/>
          <w:color w:val="auto"/>
        </w:rPr>
        <w:t xml:space="preserve">” which is defined as the information set forth in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15</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and elsewhere in this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7:45 P.M. Eastern Standard Time, on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Free Writing Prospectus</w:t>
      </w:r>
      <w:r>
        <w:rPr>
          <w:rFonts w:ascii="Arial" w:cs="Arial" w:eastAsia="Arial" w:hAnsi="Arial"/>
          <w:sz w:val="18"/>
          <w:szCs w:val="18"/>
          <w:color w:val="auto"/>
        </w:rPr>
        <w:t xml:space="preserve">” means any Issuer Free Writing Prospectus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as defined in Rule 433 of the Rules and Regulations relating to the Shares in the form filed or required to be filed with the Commission or, if not required to be filed, in the form retained in the Company’s records pursuant to Rule 433(g) of the Rules and Regulations.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Use Free Writing Prospectuses</w:t>
      </w:r>
      <w:r>
        <w:rPr>
          <w:rFonts w:ascii="Arial" w:cs="Arial" w:eastAsia="Arial" w:hAnsi="Arial"/>
          <w:sz w:val="17"/>
          <w:szCs w:val="17"/>
          <w:color w:val="auto"/>
        </w:rPr>
        <w:t>” means any Issuer Free Writing Prospectus that is not a General Use Free Writing Prospectus.</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Prospectus</w:t>
      </w:r>
      <w:r>
        <w:rPr>
          <w:rFonts w:ascii="Arial" w:cs="Arial" w:eastAsia="Arial" w:hAnsi="Arial"/>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66" w:lineRule="exact"/>
        <w:rPr>
          <w:sz w:val="20"/>
          <w:szCs w:val="20"/>
          <w:color w:val="auto"/>
        </w:rPr>
      </w:pPr>
    </w:p>
    <w:p>
      <w:pPr>
        <w:jc w:val="both"/>
        <w:ind w:firstLine="1304"/>
        <w:spacing w:after="0" w:line="263" w:lineRule="auto"/>
        <w:tabs>
          <w:tab w:leader="none" w:pos="155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order preventing or suspending the use of any Issuer Free Writing Prospectus or the Prospectus relating to the Offering has been issued by the Commission, and no proceeding for that purpose or pursuant to Section 8A of the Securities Act has been instituted or, to the knowledge of the Company, is threatened by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firstLine="1304"/>
        <w:spacing w:after="0" w:line="290" w:lineRule="auto"/>
        <w:tabs>
          <w:tab w:leader="none" w:pos="154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At the time the Registration Statement became effective, at the Applicable Time and at the Time of Purchase, as the case may be, the Registration Statement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the Prospectus, at the time the Prospectus became effective and at the Time of Purchase, as the case may be,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representations and warranties in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not apply to information contained in or omitted from the Registration Statement or the Prospectus in reliance upon, and in conformity with, the Underwriter’s Information.</w:t>
      </w:r>
    </w:p>
    <w:p>
      <w:pPr>
        <w:spacing w:after="0" w:line="165" w:lineRule="exact"/>
        <w:rPr>
          <w:rFonts w:ascii="Arial" w:cs="Arial" w:eastAsia="Arial" w:hAnsi="Arial"/>
          <w:sz w:val="16"/>
          <w:szCs w:val="16"/>
          <w:color w:val="auto"/>
        </w:rPr>
      </w:pPr>
    </w:p>
    <w:p>
      <w:pPr>
        <w:jc w:val="both"/>
        <w:ind w:firstLine="1304"/>
        <w:spacing w:after="0" w:line="254" w:lineRule="auto"/>
        <w:tabs>
          <w:tab w:leader="none" w:pos="154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if any, as of its issue date and at all subsequent times through the completion of the public offer and sale of the Shares or until any earlier date that the Company notified or notifies the Representative as described in </w:t>
      </w:r>
      <w:r>
        <w:rPr>
          <w:rFonts w:ascii="Arial" w:cs="Arial" w:eastAsia="Arial" w:hAnsi="Arial"/>
          <w:sz w:val="18"/>
          <w:szCs w:val="18"/>
          <w:u w:val="single" w:color="auto"/>
          <w:color w:val="auto"/>
        </w:rPr>
        <w:t>Section 4(c)</w:t>
      </w:r>
      <w:r>
        <w:rPr>
          <w:rFonts w:ascii="Arial" w:cs="Arial" w:eastAsia="Arial" w:hAnsi="Arial"/>
          <w:sz w:val="18"/>
          <w:szCs w:val="18"/>
          <w:color w:val="auto"/>
        </w:rPr>
        <w:t>, did not, does not and will not include any information that conflicted, conflicts or will conflict with the information contained in the Registration Statement, Pricing Prospectus or the Prospectus, including any document incorporated by reference therein and any prospectus supplement deemed to be a part thereof that has not been superseded or modified, or includes an untrue statement of a material fact or omitted or would omit to state a material fact required to be stated therein or necessary in order to make the statements therein, in the light of the circumstances under which they were made, not misleading. The foregoing sentence does not apply to statements in or omissions from any Issuer Free Writing Prospectus in reliance upon, and in conformity with, the Underwriter’s Information.</w:t>
      </w:r>
    </w:p>
    <w:p>
      <w:pPr>
        <w:spacing w:after="0" w:line="191" w:lineRule="exact"/>
        <w:rPr>
          <w:rFonts w:ascii="Arial" w:cs="Arial" w:eastAsia="Arial" w:hAnsi="Arial"/>
          <w:sz w:val="18"/>
          <w:szCs w:val="18"/>
          <w:color w:val="auto"/>
        </w:rPr>
      </w:pPr>
    </w:p>
    <w:p>
      <w:pPr>
        <w:jc w:val="both"/>
        <w:ind w:firstLine="1304"/>
        <w:spacing w:after="0" w:line="270" w:lineRule="auto"/>
        <w:tabs>
          <w:tab w:leader="none" w:pos="153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documents incorporated by reference in the Prospectus, when they became effective or were filed with the Commission, as the case may be, conformed in all material respects to the requirements of the Securities Act or the Exchange Act, as applicable, the Rules and Regulations and the rules and regulations of the Commission under the Exchange Act, and none of such documents contained any untrue statement of a material fact or omitted to state any material fact required to be stated therein or necessary to make the statements therein, in light of the circumstances under which they were made, not misleading; and any further documents so filed and incorporated by reference in the Prospectus, when such documents become effective or are filed with the Commission, as the case may be, will conform in all material respects to the requirements of the Securities Act or the Exchange Act, as applicable, the Rules and Regulations and the rules and regulations of the Commission under the Exchange Act and will not contain any untrue statement of a material fact or omit to state any material fact required to be stated therein or necessary to make the statements therein, in light of the circumstances under which they were made, not misleading.</w:t>
      </w:r>
    </w:p>
    <w:p>
      <w:pPr>
        <w:spacing w:after="0" w:line="180" w:lineRule="exact"/>
        <w:rPr>
          <w:rFonts w:ascii="Arial" w:cs="Arial" w:eastAsia="Arial" w:hAnsi="Arial"/>
          <w:sz w:val="17"/>
          <w:szCs w:val="17"/>
          <w:color w:val="auto"/>
        </w:rPr>
      </w:pPr>
    </w:p>
    <w:p>
      <w:pPr>
        <w:jc w:val="both"/>
        <w:ind w:firstLine="1304"/>
        <w:spacing w:after="0" w:line="273" w:lineRule="auto"/>
        <w:tabs>
          <w:tab w:leader="none" w:pos="1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The Company has not, directly or indirectly, distributed and will not distribute any offering material in connection with the Offering other than the Registration Statement, the Pricing Prospectus, the Prospectus, any General Use Free Writing Prospectuses and any Limited Use Free Writing Prospectuses reviewed and consented to by the Representative (which consent shall not be unreasonably withheld). The Company will file with the Commission all Issuer Free Writing Prospectuses (other than a “road show,” as defined in Rule 433(d)(8) of the Rules and Regulations), if any, in the time and manner required under Rules 163(b)(2) and 433(d) of the Rules and Regulations.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firstLine="1304"/>
        <w:spacing w:after="0" w:line="253" w:lineRule="auto"/>
        <w:tabs>
          <w:tab w:leader="none" w:pos="1551"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its Subsidiaries has been duly organized and is validly existing as a corporation or other legal entity in good standing (or the foreign equivalent thereof) under the laws of its jurisdiction of incorporation or organization. Each of the Company and its Subsidiaries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the Company as defined in Rule 405 under the Securities Act.</w:t>
      </w:r>
    </w:p>
    <w:p>
      <w:pPr>
        <w:spacing w:after="0" w:line="194" w:lineRule="exact"/>
        <w:rPr>
          <w:rFonts w:ascii="Arial" w:cs="Arial" w:eastAsia="Arial" w:hAnsi="Arial"/>
          <w:sz w:val="18"/>
          <w:szCs w:val="18"/>
          <w:color w:val="auto"/>
        </w:rPr>
      </w:pPr>
    </w:p>
    <w:p>
      <w:pPr>
        <w:ind w:left="1520" w:hanging="216"/>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1" w:lineRule="exact"/>
        <w:rPr>
          <w:rFonts w:ascii="Arial" w:cs="Arial" w:eastAsia="Arial" w:hAnsi="Arial"/>
          <w:sz w:val="18"/>
          <w:szCs w:val="18"/>
          <w:color w:val="auto"/>
        </w:rPr>
      </w:pPr>
    </w:p>
    <w:p>
      <w:pPr>
        <w:jc w:val="both"/>
        <w:ind w:firstLine="1304"/>
        <w:spacing w:after="0" w:line="261" w:lineRule="auto"/>
        <w:tabs>
          <w:tab w:leader="none" w:pos="1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entered into that License Agreement effective July 10, 2023 (the “</w:t>
      </w:r>
      <w:r>
        <w:rPr>
          <w:rFonts w:ascii="Arial" w:cs="Arial" w:eastAsia="Arial" w:hAnsi="Arial"/>
          <w:sz w:val="18"/>
          <w:szCs w:val="18"/>
          <w:b w:val="1"/>
          <w:bCs w:val="1"/>
          <w:color w:val="auto"/>
        </w:rPr>
        <w:t>License Agreement</w:t>
      </w:r>
      <w:r>
        <w:rPr>
          <w:rFonts w:ascii="Arial" w:cs="Arial" w:eastAsia="Arial" w:hAnsi="Arial"/>
          <w:sz w:val="18"/>
          <w:szCs w:val="18"/>
          <w:color w:val="auto"/>
        </w:rPr>
        <w:t>”) by and among the Company, Harrow Eye, LLC, Harrow IP, LLC and Novaliq GMBH (the “</w:t>
      </w:r>
      <w:r>
        <w:rPr>
          <w:rFonts w:ascii="Arial" w:cs="Arial" w:eastAsia="Arial" w:hAnsi="Arial"/>
          <w:sz w:val="18"/>
          <w:szCs w:val="18"/>
          <w:b w:val="1"/>
          <w:bCs w:val="1"/>
          <w:color w:val="auto"/>
        </w:rPr>
        <w:t>License</w:t>
      </w:r>
      <w:r>
        <w:rPr>
          <w:rFonts w:ascii="Arial" w:cs="Arial" w:eastAsia="Arial" w:hAnsi="Arial"/>
          <w:sz w:val="18"/>
          <w:szCs w:val="18"/>
          <w:color w:val="auto"/>
        </w:rPr>
        <w:t>”). The License Agreement has been duly authorized, executed and delivered by the Company, and proceeds from this offering may be used to pay amounts payable pursuant to the License in accordance with the General Disclosure Package and the Prospectus.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entered into an Asset Purchase Agreement with Eyevance Pharmaceuticals, LLC and a License Agreement with Santen S.A.S., each effective July 18, 2023 (collectively, the “</w:t>
      </w:r>
      <w:r>
        <w:rPr>
          <w:rFonts w:ascii="Arial" w:cs="Arial" w:eastAsia="Arial" w:hAnsi="Arial"/>
          <w:sz w:val="18"/>
          <w:szCs w:val="18"/>
          <w:b w:val="1"/>
          <w:bCs w:val="1"/>
          <w:color w:val="auto"/>
        </w:rPr>
        <w:t>Santen Agreements</w:t>
      </w:r>
      <w:r>
        <w:rPr>
          <w:rFonts w:ascii="Arial" w:cs="Arial" w:eastAsia="Arial" w:hAnsi="Arial"/>
          <w:sz w:val="18"/>
          <w:szCs w:val="18"/>
          <w:color w:val="auto"/>
        </w:rPr>
        <w:t>”). The Santen Agreements have been duly authorized, executed and delivered by the Company.</w:t>
      </w:r>
    </w:p>
    <w:p>
      <w:pPr>
        <w:spacing w:after="0" w:line="183" w:lineRule="exact"/>
        <w:rPr>
          <w:rFonts w:ascii="Arial" w:cs="Arial" w:eastAsia="Arial" w:hAnsi="Arial"/>
          <w:sz w:val="18"/>
          <w:szCs w:val="18"/>
          <w:color w:val="auto"/>
        </w:rPr>
      </w:pPr>
    </w:p>
    <w:p>
      <w:pPr>
        <w:ind w:firstLine="1304"/>
        <w:spacing w:after="0" w:line="277" w:lineRule="auto"/>
        <w:tabs>
          <w:tab w:leader="none" w:pos="151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170" w:lineRule="exact"/>
        <w:rPr>
          <w:rFonts w:ascii="Arial" w:cs="Arial" w:eastAsia="Arial" w:hAnsi="Arial"/>
          <w:sz w:val="18"/>
          <w:szCs w:val="18"/>
          <w:color w:val="auto"/>
        </w:rPr>
      </w:pPr>
    </w:p>
    <w:p>
      <w:pPr>
        <w:ind w:firstLine="1304"/>
        <w:spacing w:after="0" w:line="342" w:lineRule="auto"/>
        <w:tabs>
          <w:tab w:leader="none" w:pos="160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w:t>
      </w:r>
    </w:p>
    <w:p>
      <w:pPr>
        <w:spacing w:after="0" w:line="123" w:lineRule="exact"/>
        <w:rPr>
          <w:rFonts w:ascii="Arial" w:cs="Arial" w:eastAsia="Arial" w:hAnsi="Arial"/>
          <w:sz w:val="16"/>
          <w:szCs w:val="16"/>
          <w:color w:val="auto"/>
        </w:rPr>
      </w:pPr>
    </w:p>
    <w:p>
      <w:pPr>
        <w:ind w:firstLine="1304"/>
        <w:spacing w:after="0" w:line="277" w:lineRule="auto"/>
        <w:tabs>
          <w:tab w:leader="none" w:pos="15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the full right, power and authority to execute and deliver, and perform its obligations under, this Agreement and the Asset Purchase Agreement.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6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Shares conform in all material respects to the statements relating thereto contained in the General Disclosure Package and the Prospectus; and other than as contemplated in the General Disclosure Package and the Prospectus, none of the Company or any of its Subsidiaries has issued any debt securities or entered into any agreement or arrangement relating to the issuance of any debt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1304"/>
        <w:spacing w:after="0" w:line="255" w:lineRule="auto"/>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issued and outstanding shares of capital stock of the Company outstanding prior to the issuance of the Shares have been duly authorized and are validly issued, fully paid and non-assessable and were issued in compliance in all material respects with United States federal and applicable state securities laws. All of the Company’s options, warrants and other rights to purchase or exchange any securities for shares of the Company’s capital stock have been duly authorized and validly issued and were issued in compliance in all material respects with United States federal and applicable state securities laws. None of the outstanding shares of capital stock was issued in violation of any preemptive rights, rights of first refusal or other similar rights to subscribe for or purchase securities of the Company.</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membership interests, capital stock, partnership interests or other similar equity interests, as applicable, of each Subsidiary have been duly authorized and validly issued, are fully paid and nonassessable and, except to the extent set forth in the General Disclosure Package, are owned by the Company directly, free and clear of any claim, lien, encumbrance, security interest, restriction upon voting or transfer or any other claim of any third party.</w:t>
      </w:r>
    </w:p>
    <w:p>
      <w:pPr>
        <w:spacing w:after="0" w:line="186" w:lineRule="exact"/>
        <w:rPr>
          <w:rFonts w:ascii="Arial" w:cs="Arial" w:eastAsia="Arial" w:hAnsi="Arial"/>
          <w:sz w:val="18"/>
          <w:szCs w:val="18"/>
          <w:color w:val="auto"/>
        </w:rPr>
      </w:pPr>
    </w:p>
    <w:p>
      <w:pPr>
        <w:jc w:val="both"/>
        <w:ind w:firstLine="1304"/>
        <w:spacing w:after="0" w:line="289" w:lineRule="auto"/>
        <w:tabs>
          <w:tab w:leader="none" w:pos="1522"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 of (1) the execution, delivery and performance of this Agreement by the Company and (2) the issuance and sale of the Shares by the Company (with or without notice or lapse of time or both) (x) conflicts with or results in a breach or violation of any of the terms or provisions of, constitutes a default under, gives rise to any right of termination or other right or the cancellation or acceleration of any right or obligation or loss of a benefit under or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(y) results in any violation of the provisions of the certificate of incorporation or bylaws (or analogous governing instruments, as applicable) of the Company or any of its Subsidiaries, or (z) results in any violation of provisions of any law, statute, rule, regulation, judgment, order or decree of any court or governmental agency or body, domestic or foreign, having jurisdiction over the Company or any of its Subsidiaries or any of their properties or assets; except, with respect to clauses (x) or (z), any contravention which would not have a Material Adverse Effect.</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153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or self-regulatory authority is required for the performance by the Company of its obligations under this Agreement and the issuance of the Shares, except as have been obtained or as may be required by (1) the securities or Blue Sky laws of the various states, or (2) the bylaws, rules and regulations of FINRA or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537" w:val="left"/>
        </w:tabs>
        <w:numPr>
          <w:ilvl w:val="0"/>
          <w:numId w:val="9"/>
        </w:numPr>
        <w:rPr>
          <w:rFonts w:ascii="Arial" w:cs="Arial" w:eastAsia="Arial" w:hAnsi="Arial"/>
          <w:sz w:val="17"/>
          <w:szCs w:val="17"/>
          <w:color w:val="auto"/>
        </w:rPr>
      </w:pPr>
      <w:r>
        <w:rPr>
          <w:rFonts w:ascii="Arial" w:cs="Arial" w:eastAsia="Arial" w:hAnsi="Arial"/>
          <w:sz w:val="17"/>
          <w:szCs w:val="17"/>
          <w:color w:val="auto"/>
        </w:rPr>
        <w:t>KMJ Corbin &amp; Company LLP, which has audited certain financial statements of the Company and related schedules included or incorporated by reference in the Registration Statement, the General Disclosure Package and the Prospectus, is an independent registered public accounting firm with respect to the Company as required by the Securities Act and the Rules and Regulations and the Public Company Accounting Oversight Board (United States). To the knowledge of the Company, except as pre-approved in accordance with the requirements set forth in Section 10A of the Exchange Act, the independent registered public accounting firm above has not been engaged by the Company or any of its Subsidiaries, as applicable, to perform any “prohibited activities” (as defined in Section 10A of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firstLine="1304"/>
        <w:spacing w:after="0" w:line="286" w:lineRule="auto"/>
        <w:tabs>
          <w:tab w:leader="none" w:pos="15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its Subsidiaries do not have any material liabilities or obligations, direct or contingent (including any off-balance sheet obligations or any “variable interest entities” within the meaning of the Financial Accounting Standards Board’s Accounting Standards Codification Topic 810), which are not disclosed in the General Disclosure Package, the Prospectus and the Registration Statement.</w:t>
      </w:r>
    </w:p>
    <w:p>
      <w:pPr>
        <w:spacing w:after="0" w:line="165" w:lineRule="exact"/>
        <w:rPr>
          <w:rFonts w:ascii="Arial" w:cs="Arial" w:eastAsia="Arial" w:hAnsi="Arial"/>
          <w:sz w:val="17"/>
          <w:szCs w:val="17"/>
          <w:color w:val="auto"/>
        </w:rPr>
      </w:pPr>
    </w:p>
    <w:p>
      <w:pPr>
        <w:jc w:val="both"/>
        <w:ind w:firstLine="1304"/>
        <w:spacing w:after="0" w:line="296" w:lineRule="auto"/>
        <w:tabs>
          <w:tab w:leader="none" w:pos="15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of the Company included or incorporated by reference in the Registration Statement, the General Disclosure Package or the Prospectus,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61" w:lineRule="exact"/>
        <w:rPr>
          <w:rFonts w:ascii="Arial" w:cs="Arial" w:eastAsia="Arial" w:hAnsi="Arial"/>
          <w:sz w:val="16"/>
          <w:szCs w:val="16"/>
          <w:color w:val="auto"/>
        </w:rPr>
      </w:pPr>
    </w:p>
    <w:p>
      <w:pPr>
        <w:jc w:val="both"/>
        <w:ind w:firstLine="1304"/>
        <w:spacing w:after="0" w:line="291" w:lineRule="auto"/>
        <w:tabs>
          <w:tab w:leader="none" w:pos="15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is no legal or governmental proceeding, action, suit or claim pending or, to the Company’s knowledge, threatened, to which the Company or any of its Subsidiaries is a party, or to which any of the properties or assets of the Company or any of its Subsidiaries is subject, (i) other than proceedings accurately described in all material respects in the General Disclosure Package or proceedings that would not have a Material Adverse Effect or a Pro Forma Material Adverse Effect, or (ii) that are required to be described in the Registration Statement, the General Disclosure Package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General Disclosure Package or the Prospectus or to be filed as exhibits to the Registration Statement that are not described or filed as required.</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or, after giving effect to the Offering and the application of the proceeds thereof as described in the General Disclosure Package and the Prospectus, will become an “investment company” within the meaning of the Investment Company Act of 1940, as amended, and the rules and regulations of the Commission thereunder.</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to the extent expressly set forth in the General Disclosure Package as part of the offering contemplated hereby, neither the Company, its Subsidiaries nor any of the Company’s or its Subsidiaries’ officers, directors or affiliates has bid for or purchased, for any account in which it or any of its affiliated purchasers has a beneficial interest, any Shares, or attempted to induce any person to purchase any Shares; and has not, and has not caused its affiliated purchasers to, make bids or purchase for the purpose of creating actual, or apparent, active trading in or of raising the price of the Shares.</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5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to all real and personal property owned by them which is material to the business of the Company and its Subsidiaries, taken as a whole, in each case free and clear of all liens, encumbrances and defects of title except such as are described in the General Disclosure Package or would not individually or in the aggregate have a Material Adverse Effect; and any real property and buildings held under lease by the Company and its Subsidiaries are held by them under valid, subsisting and enforceable leases except such as are described in the General Disclosure Package or would not have a Material Adverse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firstLine="1304"/>
        <w:spacing w:after="0" w:line="272" w:lineRule="auto"/>
        <w:tabs>
          <w:tab w:leader="none" w:pos="16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disclosed in the General Disclosure Package, neither the Company nor any of its Subsidiaries is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or Pro Forma Material Adverse Effect; and the Company is not aware of any pending investigation which might lead to such a claim.</w:t>
      </w:r>
    </w:p>
    <w:p>
      <w:pPr>
        <w:spacing w:after="0" w:line="177" w:lineRule="exact"/>
        <w:rPr>
          <w:rFonts w:ascii="Arial" w:cs="Arial" w:eastAsia="Arial" w:hAnsi="Arial"/>
          <w:sz w:val="17"/>
          <w:szCs w:val="17"/>
          <w:color w:val="auto"/>
        </w:rPr>
      </w:pPr>
    </w:p>
    <w:p>
      <w:pPr>
        <w:jc w:val="both"/>
        <w:ind w:firstLine="1304"/>
        <w:spacing w:after="0" w:line="285" w:lineRule="auto"/>
        <w:tabs>
          <w:tab w:leader="none" w:pos="16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disclosed in the General Disclosure Package, the Company and the Subsidiaries own or possess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their respective businesses as conducted as of the date hereof, except to the extent that the failure to own or possess or acquire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any of its Subsidiaries’ rights in or to or the validity of the scope of any of the Company’s or any Subsidiaries’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Subsidiaries’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the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1304"/>
        <w:spacing w:after="0" w:line="283" w:lineRule="auto"/>
        <w:tabs>
          <w:tab w:leader="none" w:pos="16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the Subsidiaries: (A) are and at all times have been in material compliance with all applicable Health Care Laws (as defined below) relating to the ownership, testing, development, manufacture, packaging, processing, use, distribution, marketing, labeling, promotion, sale, offer for sale, storage, import, export or disposal of any product under development, manufactured, marketed, sold or distributed by the Company or the Subsidiaries, (B) have not received any Form 483 from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written notice of adverse finding, warning letter, or other written correspondence or notice from the FDA, the European Medicines Agency (the “</w:t>
      </w:r>
      <w:r>
        <w:rPr>
          <w:rFonts w:ascii="Arial" w:cs="Arial" w:eastAsia="Arial" w:hAnsi="Arial"/>
          <w:sz w:val="16"/>
          <w:szCs w:val="16"/>
          <w:b w:val="1"/>
          <w:bCs w:val="1"/>
          <w:color w:val="auto"/>
        </w:rPr>
        <w:t>EMA</w:t>
      </w:r>
      <w:r>
        <w:rPr>
          <w:rFonts w:ascii="Arial" w:cs="Arial" w:eastAsia="Arial" w:hAnsi="Arial"/>
          <w:sz w:val="16"/>
          <w:szCs w:val="16"/>
          <w:color w:val="auto"/>
        </w:rPr>
        <w:t>”), or any other federal, state, local or foreign governmental or regulatory authority (each, a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alleging or asserting noncompliance with any Health Care Laws or any licenses, certificates, approvals, clearances, authorizations, permits and supplements or amendments thereto required by any such Applicable Laws (“</w:t>
      </w:r>
      <w:r>
        <w:rPr>
          <w:rFonts w:ascii="Arial" w:cs="Arial" w:eastAsia="Arial" w:hAnsi="Arial"/>
          <w:sz w:val="16"/>
          <w:szCs w:val="16"/>
          <w:b w:val="1"/>
          <w:bCs w:val="1"/>
          <w:color w:val="auto"/>
        </w:rPr>
        <w:t>Authorizations</w:t>
      </w:r>
      <w:r>
        <w:rPr>
          <w:rFonts w:ascii="Arial" w:cs="Arial" w:eastAsia="Arial" w:hAnsi="Arial"/>
          <w:sz w:val="16"/>
          <w:szCs w:val="16"/>
          <w:color w:val="auto"/>
        </w:rPr>
        <w:t>”), which would, individually or in the aggregate, result in a Material Adverse Effect, (C) possess all Authorizations material to the Company and such Authorizations are valid and in full force and effect and neither the Company nor the Subsidiaries is in violation of any term of any such Authorizations; (D) have not received written notice of any material claim, action, suit, proceeding, hearing, enforcement, investigation, arbitration or other action from any Regulatory Authority or third party alleging that any Company product, operation or activity is in violation of any applicable Health Care Laws or Authorizations and has no knowledge that any Regulatory Authority or third party is considering any such claim, litigation, arbitration, action, suit, investigation or proceeding against the Company; (E) have not received written notice that any Regulatory Authority has taken, is taking or, to the knowledge of the Company,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Medicare (Title XVIII of the Social Security Act); (v) Medicaid (Title XIX of the Social Security Act); and (vi) any and all other applicable health care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1304"/>
        <w:spacing w:after="0" w:line="287" w:lineRule="auto"/>
        <w:tabs>
          <w:tab w:leader="none" w:pos="1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animal and other preclinical studies and clinical trials conducted by the Company or on behalf of the Company were, and, if still pending are, to the Company’s knowledge, being conducted in all material respects in compliance with all applicable Health Care Laws and in accordance with experimental protocols, procedures and controls generally used by qualified experts in the preclinical study and clinical trials of new drugs and biologics comparable to the Company’s products, except where such noncompliance would not reasonably be expected to have a Material Adverse Effect; the descriptions of the results of such preclinical studies and clinical trials contained in the Registration Statement, the General Disclosure Package and the Prospectus are accurate in all material respects, and the Company has no knowledge of any other clinical trials or preclinical studies, the results of which reasonably call into question the clinical trial or preclinical study results described or referred to in the Registration Statement, the General Disclosure Package and the Prospectus when viewed in the context in which such results are described;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the General Disclosure Package and the Prospectus or the results of which are referred to in the Registration Statement, the General Disclosure Package and the Prospectus.</w:t>
      </w:r>
    </w:p>
    <w:p>
      <w:pPr>
        <w:spacing w:after="0" w:line="171" w:lineRule="exact"/>
        <w:rPr>
          <w:rFonts w:ascii="Arial" w:cs="Arial" w:eastAsia="Arial" w:hAnsi="Arial"/>
          <w:sz w:val="16"/>
          <w:szCs w:val="16"/>
          <w:color w:val="auto"/>
        </w:rPr>
      </w:pPr>
    </w:p>
    <w:p>
      <w:pPr>
        <w:jc w:val="both"/>
        <w:ind w:firstLine="1304"/>
        <w:spacing w:after="0" w:line="257" w:lineRule="auto"/>
        <w:tabs>
          <w:tab w:leader="none" w:pos="16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having jurisdiction over the Company and performing functions similar to those performed by the FDA or EMA); except where such noncompliance would not reasonably be expected to have a Material Adverse Effect.</w:t>
      </w:r>
    </w:p>
    <w:p>
      <w:pPr>
        <w:spacing w:after="0" w:line="187" w:lineRule="exact"/>
        <w:rPr>
          <w:rFonts w:ascii="Arial" w:cs="Arial" w:eastAsia="Arial" w:hAnsi="Arial"/>
          <w:sz w:val="18"/>
          <w:szCs w:val="18"/>
          <w:color w:val="auto"/>
        </w:rPr>
      </w:pPr>
    </w:p>
    <w:p>
      <w:pPr>
        <w:jc w:val="both"/>
        <w:ind w:firstLine="1304"/>
        <w:spacing w:after="0" w:line="269" w:lineRule="auto"/>
        <w:tabs>
          <w:tab w:leader="none" w:pos="16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of the Company and its Subsidiaries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Except as described in the General Disclosure Package,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firstLine="1304"/>
        <w:spacing w:after="0" w:line="259" w:lineRule="auto"/>
        <w:tabs>
          <w:tab w:leader="none" w:pos="1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and any of its Subsidiaries, on the one hand, and the directors, officers, stockholders (or analogous interest holders), customers or suppliers of the Company or any of its Subsidiaries or any of their affiliates, on the other hand, which is required to be described in the General Disclosure Package or the Prospectus or a document incorporated by reference therein and which is not so described.</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6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of its directors, officers, 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policies and procedures designed to ensure, and which are reasonably expected to continue to ensure, continued compliance therewith.</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15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6" w:lineRule="exact"/>
        <w:rPr>
          <w:rFonts w:ascii="Arial" w:cs="Arial" w:eastAsia="Arial" w:hAnsi="Arial"/>
          <w:sz w:val="18"/>
          <w:szCs w:val="18"/>
          <w:color w:val="auto"/>
        </w:rPr>
      </w:pPr>
    </w:p>
    <w:p>
      <w:pPr>
        <w:ind w:firstLine="1304"/>
        <w:spacing w:after="0" w:line="308" w:lineRule="auto"/>
        <w:tabs>
          <w:tab w:leader="none" w:pos="16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person or entity has the right to require registration of any securities of the Company or any of its Subsidiaries under the Securities Act because of the filing or effectiveness of the Registration Statement, except as set forth therein or in the General Disclosure Package.</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1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the Company or the Underwriters for a brokerage commission, finder’s fee or like payment in connection with the Offering or any transaction contemplated by this Agreement, the Registration Statement, the General Disclosure Package or the Prospectus.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ind w:firstLine="1304"/>
        <w:spacing w:after="0" w:line="263" w:lineRule="auto"/>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6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subject to, and in compliance in all material respects with, the reporting requirements of Section 13 or Section 15(d) of the Exchange Act. As of the filing date of the Registration Statement and as of any update of the Registration Statement pursuant to Section 10(a)(3) of the Securities Act (including the filing of any Annual Report on Form 10-K), the Company was eligible to file a “shelf” Registration Statement on Form S-3 with the Commission.</w:t>
      </w:r>
    </w:p>
    <w:p>
      <w:pPr>
        <w:spacing w:after="0" w:line="186" w:lineRule="exact"/>
        <w:rPr>
          <w:rFonts w:ascii="Arial" w:cs="Arial" w:eastAsia="Arial" w:hAnsi="Arial"/>
          <w:sz w:val="18"/>
          <w:szCs w:val="18"/>
          <w:color w:val="auto"/>
        </w:rPr>
      </w:pPr>
    </w:p>
    <w:p>
      <w:pPr>
        <w:ind w:firstLine="1304"/>
        <w:spacing w:after="0" w:line="277" w:lineRule="auto"/>
        <w:tabs>
          <w:tab w:leader="none" w:pos="16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all applicable provisions of the Sarbanes-Oxley Act of 2002 and all applicable rules and regulations promulgated thereunder or is implementing the provisions thereof that are currently in effect.</w:t>
      </w:r>
    </w:p>
    <w:p>
      <w:pPr>
        <w:spacing w:after="0" w:line="170" w:lineRule="exact"/>
        <w:rPr>
          <w:rFonts w:ascii="Arial" w:cs="Arial" w:eastAsia="Arial" w:hAnsi="Arial"/>
          <w:sz w:val="18"/>
          <w:szCs w:val="18"/>
          <w:color w:val="auto"/>
        </w:rPr>
      </w:pPr>
    </w:p>
    <w:p>
      <w:pPr>
        <w:ind w:firstLine="1304"/>
        <w:spacing w:after="0" w:line="277" w:lineRule="auto"/>
        <w:tabs>
          <w:tab w:leader="none" w:pos="16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General Disclosure Package are based on or derived from sources that the Company believes to be reliable and accurate, and such data agree with the sources from which they are derived.</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disclosed in the General Disclosure Package, each of the Company and its Subsidiaries possesses such valid and current material certificates, authorizations or permits issued by the appropriate state, federal or foreign regulatory agencies or bodies necessary to conduct their respective businesses, and neither the Company nor any Subsidiary of the Company has received, or has any reason to believe that it will receive, any notice of proceedings relating to the revocation or modification of, or non-compliance with, any such certificate, authorization or permit which, individually or in the aggregate, if the subject of an unfavorable decision, ruling or finding, would reasonably be expected to result in a Material Adverse Effect or Pro Forma Material Adverse Effect.</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5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of the Company and its Subsidiaries has filed all material federal, state and foreign income and franchise tax returns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set forth in the General Disclosure Package, neither the Company nor any Subsidiary directly or indirectly controls, is controlled by, or is under common control with, or is an associated person (within the meaning of Article I, Section 1(ee) of the By-laws of FINRA) of, any member firm of FINRA.</w:t>
      </w:r>
    </w:p>
    <w:p>
      <w:pPr>
        <w:spacing w:after="0" w:line="183" w:lineRule="exact"/>
        <w:rPr>
          <w:rFonts w:ascii="Arial" w:cs="Arial" w:eastAsia="Arial" w:hAnsi="Arial"/>
          <w:sz w:val="18"/>
          <w:szCs w:val="18"/>
          <w:color w:val="auto"/>
        </w:rPr>
      </w:pPr>
    </w:p>
    <w:p>
      <w:pPr>
        <w:ind w:firstLine="1304"/>
        <w:spacing w:after="0" w:line="277" w:lineRule="auto"/>
        <w:tabs>
          <w:tab w:leader="none" w:pos="15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approval of the stockholders of the Company under the rules and regulations of Nasdaq (including Nasdaq Listing Rule 5635) is required for the Company to issue and deliver the Shares.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the Company has not sold, issued or distributed any securities of the Company during the six-month period preceding the date hereof, including any sales pursuant to Rule 144A under, or Regulation D or S of, the Securities Act, other than shares of Common Stock issued pursuant to employee benefit plans, qualified equity compensation plans or other employee compensation plans or pursuant to outstanding options, rights or warrants.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1304"/>
        <w:spacing w:after="0" w:line="255" w:lineRule="auto"/>
        <w:tabs>
          <w:tab w:leader="none" w:pos="1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otherwise disclosed in the General Disclosure Package, each of the Company and its 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72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nor, to the Company’s knowledge, any of its directors, officers or affiliates has not taken, directly or indirectly, any action designed to or that might be reasonably expected to cause or result in stabilization or manipulation of the price of any “reference security” (as defined in Rule 100 of Regulation M under the 1934 Act (“</w:t>
      </w:r>
      <w:r>
        <w:rPr>
          <w:rFonts w:ascii="Arial" w:cs="Arial" w:eastAsia="Arial" w:hAnsi="Arial"/>
          <w:sz w:val="18"/>
          <w:szCs w:val="18"/>
          <w:b w:val="1"/>
          <w:bCs w:val="1"/>
          <w:color w:val="auto"/>
        </w:rPr>
        <w:t>Regulation M</w:t>
      </w:r>
      <w:r>
        <w:rPr>
          <w:rFonts w:ascii="Arial" w:cs="Arial" w:eastAsia="Arial" w:hAnsi="Arial"/>
          <w:sz w:val="18"/>
          <w:szCs w:val="18"/>
          <w:color w:val="auto"/>
        </w:rPr>
        <w:t>”)), whether to facilitate the sale or resale of the Shares or otherwise, and has taken no action which would directly or indirectly violate Regulation M.</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Company has not distributed and will not distribute, prior to the later of (i) the expiration or termination of the option granted to the Underwriters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(ii) the completion of distribution of the Shares, any offering material in connection with the offering and sale of the Shares other than a preliminary prospectus, the Pricing Prospectus, the Prospectus, any free writing prospectus reviewed and consented to by the Representative, or the Registration Statement.</w:t>
      </w:r>
    </w:p>
    <w:p>
      <w:pPr>
        <w:spacing w:after="0" w:line="186" w:lineRule="exact"/>
        <w:rPr>
          <w:rFonts w:ascii="Arial" w:cs="Arial" w:eastAsia="Arial" w:hAnsi="Arial"/>
          <w:sz w:val="18"/>
          <w:szCs w:val="18"/>
          <w:color w:val="auto"/>
        </w:rPr>
      </w:pPr>
    </w:p>
    <w:p>
      <w:pPr>
        <w:ind w:firstLine="1304"/>
        <w:spacing w:after="0" w:line="277" w:lineRule="auto"/>
        <w:tabs>
          <w:tab w:leader="none" w:pos="1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certificate signed by or on behalf of the Company and delivered to the Representative or to counsel for the Underwriters shall be deemed to be a representation and warranty by the Company to the Underwriters as to the matters covered thereby.</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Closing</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4"/>
        <w:spacing w:after="0" w:line="275" w:lineRule="auto"/>
        <w:tabs>
          <w:tab w:leader="none" w:pos="1550" w:val="left"/>
        </w:tabs>
        <w:numPr>
          <w:ilvl w:val="1"/>
          <w:numId w:val="17"/>
        </w:numPr>
        <w:rPr>
          <w:rFonts w:ascii="Arial" w:cs="Arial" w:eastAsia="Arial" w:hAnsi="Arial"/>
          <w:sz w:val="17"/>
          <w:szCs w:val="17"/>
          <w:color w:val="auto"/>
        </w:rPr>
      </w:pPr>
      <w:r>
        <w:rPr>
          <w:rFonts w:ascii="Arial" w:cs="Arial" w:eastAsia="Arial" w:hAnsi="Arial"/>
          <w:sz w:val="17"/>
          <w:szCs w:val="17"/>
          <w:color w:val="auto"/>
        </w:rPr>
        <w:t>Payment of the purchase price for the Firm Shares shall be made to the Company by Federal Funds wire transfer against delivery of such Firm Shares to or as designated by the Representative through the facilities of DTC for the respective accounts of the Underwriters. Such payment and delivery shall be made at 10:00 A.M., Eastern Standard Time, on July 21, 2023 (such date, the “</w:t>
      </w:r>
      <w:r>
        <w:rPr>
          <w:rFonts w:ascii="Arial" w:cs="Arial" w:eastAsia="Arial" w:hAnsi="Arial"/>
          <w:sz w:val="17"/>
          <w:szCs w:val="17"/>
          <w:b w:val="1"/>
          <w:bCs w:val="1"/>
          <w:color w:val="auto"/>
        </w:rPr>
        <w:t>Closing Date</w:t>
      </w:r>
      <w:r>
        <w:rPr>
          <w:rFonts w:ascii="Arial" w:cs="Arial" w:eastAsia="Arial" w:hAnsi="Arial"/>
          <w:sz w:val="17"/>
          <w:szCs w:val="17"/>
          <w:color w:val="auto"/>
        </w:rPr>
        <w:t>”). The time at which such payment and delivery are to be made is hereinafter sometimes called the “</w:t>
      </w:r>
      <w:r>
        <w:rPr>
          <w:rFonts w:ascii="Arial" w:cs="Arial" w:eastAsia="Arial" w:hAnsi="Arial"/>
          <w:sz w:val="17"/>
          <w:szCs w:val="17"/>
          <w:b w:val="1"/>
          <w:bCs w:val="1"/>
          <w:color w:val="auto"/>
        </w:rPr>
        <w:t>Time of Purchase</w:t>
      </w:r>
      <w:r>
        <w:rPr>
          <w:rFonts w:ascii="Arial" w:cs="Arial" w:eastAsia="Arial" w:hAnsi="Arial"/>
          <w:sz w:val="17"/>
          <w:szCs w:val="17"/>
          <w:color w:val="auto"/>
        </w:rPr>
        <w:t>.” Electronic transfer of the Firm Shares shall be made at the Time of Purchase in such names and in such denominations as the Representative shall specify.</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5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option for Option Shares is exercised, payment of the purchase price for the Option Shares shall be made at the Option Closing Date in the same manner and at the same office as the payment for the Firm Shares. Electronic transfer of the Option Shares shall be made at the Time of Purchase in such names and in such denominations as the Representative shall specify.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ind w:firstLine="1304"/>
        <w:spacing w:after="0" w:line="263" w:lineRule="auto"/>
        <w:tabs>
          <w:tab w:leader="none" w:pos="15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Delivery of the documents required to be delivered to the Underwriters pursuant to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shall be at 10:00 A.M., Eastern Standard Time, on July 21, 2023, on the Closing Date or any Option Closing Date, as applicable, at the offices of Duane Morris LLP, 1540 Broadway, New York, New York 10036.</w:t>
      </w:r>
    </w:p>
    <w:p>
      <w:pPr>
        <w:spacing w:after="0" w:line="179" w:lineRule="exact"/>
        <w:rPr>
          <w:rFonts w:ascii="Arial" w:cs="Arial" w:eastAsia="Arial" w:hAnsi="Arial"/>
          <w:sz w:val="18"/>
          <w:szCs w:val="18"/>
          <w:color w:val="auto"/>
        </w:rPr>
      </w:pPr>
    </w:p>
    <w:p>
      <w:pPr>
        <w:ind w:left="840" w:hanging="184"/>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Covenants and Agreements of the Company</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and agrees with the Underwriters as follows:</w:t>
      </w:r>
    </w:p>
    <w:p>
      <w:pPr>
        <w:spacing w:after="0" w:line="225" w:lineRule="exact"/>
        <w:rPr>
          <w:sz w:val="20"/>
          <w:szCs w:val="20"/>
          <w:color w:val="auto"/>
        </w:rPr>
      </w:pPr>
    </w:p>
    <w:p>
      <w:pPr>
        <w:jc w:val="both"/>
        <w:ind w:firstLine="1304"/>
        <w:spacing w:after="0" w:line="285" w:lineRule="auto"/>
        <w:tabs>
          <w:tab w:leader="none" w:pos="15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prepare the Rule 462(b) Registration Statement, if necessary, in a form approved by the Representative, and file such Rule 462(b) Registration Statement with the Commission on the date hereof; to prepare the Prospectus in a form approved by the Representative, containing information previously omitted at the time of effectiveness of the Registration Statement in reliance on rules 430A, 430B and 430C and to file such Prospectus pursuant to Rule 424(b) of the Rules and Regulations not later than the second business day following the execution and delivery of this Agreement or, if applicable, such earlier time as may be required by Rule 430A of the Rules and Regulations; to notify the Representative promptly of the Company’s intention to file or prepare any supplement or amendment to any Registration Statement or to the Prospectus in connection with this Offering and to provide a draft of any such amendment or supplement to the Registration Statement, the General Disclosure Package or the Prospectus to the Representative, for review within an amount of time that is reasonably practical under the circumstances and prior to filing, and to file no such amendment or supplement to which the Representative shall have reasonably objected in writing; to advise the Representative, promptly after it receives notice thereof, of the time when any amendment to any Registration Statement has been filed in connection with the Offering or becomes effective or any supplement to the General Disclosure Package or the Prospectus or any amended Prospectus has been filed and to furnish the Representative with copies thereof; to file within the time periods prescribed by the Exchange Act, including any extension thereof, all material required to be filed by the Company with the Commission pursuant to Rule 433(d) or 163(b)(2), as the case may be; to advise the Representative, promptly after it receives notice thereof, of the issuance by the Commission of any stop order or of any order preventing or suspending the use of any Issuer Free Writing Prospectus or the Prospectus, of the suspension of the qualification of the Shares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Issuer Free Writing Prospectus or the Prospectus or suspending any such qualification, and promptly to use its best efforts to obtain the withdrawal of such order.</w:t>
      </w:r>
    </w:p>
    <w:p>
      <w:pPr>
        <w:spacing w:after="0" w:line="171" w:lineRule="exact"/>
        <w:rPr>
          <w:rFonts w:ascii="Arial" w:cs="Arial" w:eastAsia="Arial" w:hAnsi="Arial"/>
          <w:sz w:val="16"/>
          <w:szCs w:val="16"/>
          <w:color w:val="auto"/>
        </w:rPr>
      </w:pPr>
    </w:p>
    <w:p>
      <w:pPr>
        <w:jc w:val="both"/>
        <w:ind w:firstLine="1304"/>
        <w:spacing w:after="0" w:line="270" w:lineRule="auto"/>
        <w:tabs>
          <w:tab w:leader="none" w:pos="15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unless it obtains the prior consent of the Representative, it has not made and will not make any offer relating to the Shares that would constitute a “free writing prospectus” as defined in Rule 405 of the Rules and Regulations unless the prior written consent of the Representative has been received (each, a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xml:space="preserve">”); provided that the prior written consent of the Representative shall be deemed to have been given in respect of the Free Writing Prospectuses included in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and any electronic road show, if any. The Company shall furnish to the Representative, a reasonable amount of time prior to the proposed time of filing or use thereof, a copy of each proposed free writing prospectus or any amendment or supplement thereto to be prepared by or on behalf of, used by, or referred to by the Company. The Company represents that it has treated and agrees that it will treat each Permitted Free Writing Prospectus as an Issuer Free Writing Prospectus, and that it has and will comply with the requirements of Rules 164 and 433 of the Rules and Regulations applicable to any Issuer Free Writing Prospectus, including the requirements relating to timely filing with the Commission, legending and record keeping.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ind w:firstLine="1304"/>
        <w:spacing w:after="0" w:line="270" w:lineRule="auto"/>
        <w:tabs>
          <w:tab w:leader="none" w:pos="15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at any time when a Prospectus relating to the Shares is required to be delivered under the Securities Act, any event occurs or condition exists as a result of which the Prospectus, as then amended or supplemented, would include any untrue statement of a material fact or omit to state a material fact necessary in order to make the statements therein, in light of the circumstances under which they were made, not misleading, or the Registration Statement, as then amended or supplemented, would include any untrue statement of a material fact or omit to state a material fact necessary to make the statements therein not misleading, or if for any other reason it is necessary at any time to amend or supplement any Registration Statement or the Prospectus to comply with the Securities Act or the Exchange Act, the Company will promptly notify the Representative, and upon the Representative’s request, the Company will promptly prepare and file with the Commission, at the Company’s expense, an amendment to the Registration Statement or an amendment or supplement to the Prospectus that corrects such statement or omission or effects such compliance. The Company consents to the use of the Prospectus or any amendment or supplement thereto by the Underwriters.</w:t>
      </w:r>
    </w:p>
    <w:p>
      <w:pPr>
        <w:spacing w:after="0" w:line="180" w:lineRule="exact"/>
        <w:rPr>
          <w:rFonts w:ascii="Arial" w:cs="Arial" w:eastAsia="Arial" w:hAnsi="Arial"/>
          <w:sz w:val="17"/>
          <w:szCs w:val="17"/>
          <w:color w:val="auto"/>
        </w:rPr>
      </w:pPr>
    </w:p>
    <w:p>
      <w:pPr>
        <w:jc w:val="both"/>
        <w:ind w:firstLine="1304"/>
        <w:spacing w:after="0" w:line="279" w:lineRule="auto"/>
        <w:tabs>
          <w:tab w:leader="none" w:pos="15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the extent not available on the Commission’s EDGAR system, to make generally available to its security holders as soon as practicable, but in any event not later than eighteen (18) months after the effective date of each Registration Statement (as defined in Rule 158(c) of the Rules and Regulations), an earnings statement of the Company and its consolidated Subsidiaries (which need not be audited) complying with Section 11(a) of the Securities Act and the Rules and Regulations (including, at the option of the Company, Rule 158).</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15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To take promptly from time to time such actions as the Representative may reasonably request to qualify the Shares for offering and sale under the securities or Blue Sky laws of such jurisdictions (domestic or foreign) as the Representative may designate and to continue such qualifications in effect, and to comply with such laws, for so long as required to permit the offer and sale of Shares in such jurisdictions;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and its Subsidiaries shall not be obligated to qualify as foreign corporations in any jurisdiction in which they are not so qualified or to file a general consent to service of process in any jurisdiction.</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supply the Underwriters with copies of all correspondence to and from, and all documents issued to and by, the Commission in connection with the registration of the Shares under the Securities Act or the Registration Statement or the Prospectus, or any amendment or supplement thereto or document incorporated by reference therein.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to the Time of Purchase, not to issue any press release or other communication directly or indirectly or hold any press conference (other than the Company’s customary quarterly press release and conference call) without the prior written consent of the Representative (which consent shall not be unreasonably withheld).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firstLine="1304"/>
        <w:spacing w:after="0" w:line="296" w:lineRule="auto"/>
        <w:tabs>
          <w:tab w:leader="none" w:pos="15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Until the Representative shall have notified the Company of the completion of the Offering, that the Company will not, and will cause its affiliated purchasers (as defined in Regulation M under the Exchange Act) not to, either alone or with one or more other persons, and except to the extent expressly set forth in the General Disclosure Package as part of the offering contemplated hereby, bid for or purchase, for any account in which it or any of its affiliated purchasers has a beneficial interest, any Shares, or attempt to induce any person to purchase any Shares; and not to, and to cause its affiliated purchasers not to, make bids or purchase for the purpose of creating actual, or apparent, active trading in or of raising the price of the Shares.</w:t>
      </w:r>
    </w:p>
    <w:p>
      <w:pPr>
        <w:spacing w:after="0" w:line="161" w:lineRule="exact"/>
        <w:rPr>
          <w:rFonts w:ascii="Arial" w:cs="Arial" w:eastAsia="Arial" w:hAnsi="Arial"/>
          <w:sz w:val="16"/>
          <w:szCs w:val="16"/>
          <w:color w:val="auto"/>
        </w:rPr>
      </w:pPr>
    </w:p>
    <w:p>
      <w:pPr>
        <w:ind w:firstLine="1304"/>
        <w:spacing w:after="0" w:line="277" w:lineRule="auto"/>
        <w:tabs>
          <w:tab w:leader="none" w:pos="15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as set forth in the Registration Statement, the General Disclosure Package and the Prospectus under the heading “Use of Proceeds.”</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15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also covenants with each Underwriter that, without the prior written consent of the Representative on behalf of the Underwriters, it will not, and will not publicly disclose an intention to, during the period ending 90 days after the date of the Prospectus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 offer, pledge, sell, contract to sell, sell any option or contract to purchase, purchase any option or contract to sell, grant any option,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to purchase, lend, or otherwise transfer or dispose of, directly or indirectly, any shares of Common Stock or any securities convertible into or exercisable or exchangeable for Common Stock, or (b) 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or (c) file any registration statement with the Commission relating to the offering of any shares of Common Stock or any securities convertible into or exercisable or exchangeable for Common Stock. The restrictions contained in the foregoing sentence shall not apply to (A) the Shares to be sold hereunder, or (B) the issuance by the Company of (i) securities to non-executives pursuant to equity incentive plans in effect on the date hereof and (ii) shares of Common Stock upon the exercise of an option or warrant or the vesting or conversion of a security outstanding on the date hereof as described in each of the General Disclosure Package and Prospectus.</w:t>
      </w:r>
    </w:p>
    <w:p>
      <w:pPr>
        <w:spacing w:after="0" w:line="171" w:lineRule="exact"/>
        <w:rPr>
          <w:rFonts w:ascii="Arial" w:cs="Arial" w:eastAsia="Arial" w:hAnsi="Arial"/>
          <w:sz w:val="16"/>
          <w:szCs w:val="16"/>
          <w:color w:val="auto"/>
        </w:rPr>
      </w:pPr>
    </w:p>
    <w:p>
      <w:pPr>
        <w:ind w:firstLine="1304"/>
        <w:spacing w:after="0" w:line="277" w:lineRule="auto"/>
        <w:tabs>
          <w:tab w:leader="none" w:pos="15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cooperate with the Representative and use its commercially reasonable efforts to permit the offered Securities to be eligible for clearance and settlement through the facilities of DTC.</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its reasonable best efforts to list, effect and maintain, subject to notice of issuance, the Shares on Nasdaq.</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Until the Representative shall have notified the Company of the completion of the offering of the Shares, the Company will not take directly or indirectly any action designed, or that might reasonably be expected to cause or result in, or that will constitute, stabilization or manipulation of the price of any security of the Company to facilitate the sale or resale of any of the Shares.</w:t>
      </w:r>
    </w:p>
    <w:p>
      <w:pPr>
        <w:spacing w:after="0" w:line="183" w:lineRule="exact"/>
        <w:rPr>
          <w:rFonts w:ascii="Arial" w:cs="Arial" w:eastAsia="Arial" w:hAnsi="Arial"/>
          <w:sz w:val="18"/>
          <w:szCs w:val="18"/>
          <w:color w:val="auto"/>
        </w:rPr>
      </w:pPr>
    </w:p>
    <w:p>
      <w:pPr>
        <w:ind w:firstLine="1304"/>
        <w:spacing w:after="0" w:line="277" w:lineRule="auto"/>
        <w:tabs>
          <w:tab w:leader="none" w:pos="15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its reasonable best efforts to do and perform all things required to be done or performed under this Agreement by the Company prior to the Time of Purchase, and to satisfy all conditions precedent to the delivery of the Shares to be delivered at such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left="840" w:hanging="184"/>
        <w:spacing w:after="0"/>
        <w:tabs>
          <w:tab w:leader="none" w:pos="840" w:val="left"/>
        </w:tabs>
        <w:numPr>
          <w:ilvl w:val="0"/>
          <w:numId w:val="23"/>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010000"/>
        </w:rPr>
        <w:t>Payment of Expenses</w:t>
      </w:r>
      <w:r>
        <w:rPr>
          <w:rFonts w:ascii="Arial" w:cs="Arial" w:eastAsia="Arial" w:hAnsi="Arial"/>
          <w:sz w:val="18"/>
          <w:szCs w:val="18"/>
          <w:color w:val="010000"/>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agrees to pay, or reimburse if paid by the Underwriters, whether or not the transactions contemplated hereby are consummated or this Agreement is terminated: (a) the costs incident to the authorization, issuance, sale and delivery of the Shares to the Underwriters and any taxes payable in that connection; (b) the costs incident to the registration of the Shares under the Securities Act; (c) the costs incident to the preparation, printing and distribution of the Registration Statement, the Base Prospectus, any Issuer Free Writing Prospectus, the General Disclosure Package, the Prospectus, any amendments, supplements and exhibits thereto or any document incorporated by reference therein; (d) the reasonable and documented fees and expenses of counsel to the Underwriters incurred in connection with securing any required review by FINRA and any filings made with FINRA; (e) all costs and expenses incident to listing the Shares on Nasdaq; (f) the fees and expenses of counsel for the Underwriters incurred in connection with qualifying the Shares under the securities laws of the several jurisdictions as provided in </w:t>
      </w:r>
      <w:r>
        <w:rPr>
          <w:rFonts w:ascii="Arial" w:cs="Arial" w:eastAsia="Arial" w:hAnsi="Arial"/>
          <w:sz w:val="17"/>
          <w:szCs w:val="17"/>
          <w:u w:val="single" w:color="auto"/>
          <w:color w:val="auto"/>
        </w:rPr>
        <w:t>Section 4(e)</w:t>
      </w:r>
      <w:r>
        <w:rPr>
          <w:rFonts w:ascii="Arial" w:cs="Arial" w:eastAsia="Arial" w:hAnsi="Arial"/>
          <w:sz w:val="17"/>
          <w:szCs w:val="17"/>
          <w:color w:val="auto"/>
        </w:rPr>
        <w:t xml:space="preserve"> and of preparing, printing and distributing wrappers and blue sky memoranda; (g) the fees and expenses of the Trustee and any transfer agent, registrar or depository with respect to the Shares; (h) the expenses and application fees incurred in connection with the approval of the Shares for book-entry transfer by DTC; (i) the reasonable fees and disbursements of counsel to the Underwriters in an aggregate amount not to exceed $100,000, (j) all reasonable and documented “roadshow” costs, regardless of the form in which the “roadshow” is conducted and (k) all other costs and expenses of the Company incident to the offering of the Shares by, or the performance of the obligations of, the Company under this Agreement (including, without limitation, the fees and expenses of the Company’s counsel and the Company’s independent accountants, and the travel and other reasonable and documented expenses incurred by Company or Underwriter personnel in connection with any “roadshow”).</w:t>
      </w:r>
    </w:p>
    <w:p>
      <w:pPr>
        <w:spacing w:after="0" w:line="178" w:lineRule="exact"/>
        <w:rPr>
          <w:sz w:val="20"/>
          <w:szCs w:val="20"/>
          <w:color w:val="auto"/>
        </w:rPr>
      </w:pPr>
    </w:p>
    <w:p>
      <w:pPr>
        <w:jc w:val="both"/>
        <w:ind w:firstLine="656"/>
        <w:spacing w:after="0" w:line="277" w:lineRule="auto"/>
        <w:tabs>
          <w:tab w:leader="none" w:pos="851" w:val="left"/>
        </w:tabs>
        <w:numPr>
          <w:ilvl w:val="0"/>
          <w:numId w:val="24"/>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Conditions to the Obligations of the Underwriters, and the Sale of the Shares</w:t>
      </w:r>
      <w:r>
        <w:rPr>
          <w:rFonts w:ascii="Arial" w:cs="Arial" w:eastAsia="Arial" w:hAnsi="Arial"/>
          <w:sz w:val="17"/>
          <w:szCs w:val="17"/>
          <w:color w:val="auto"/>
        </w:rPr>
        <w:t>. The obligations of the Underwriters hereunder,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the sale of the Shares, are subject to the accuracy, when made and as of the Applicable Time and at the Time of Purchase, as the case may be, of the representations and warranties of the Company contained herein (except for inaccuracies that would not result in a Material Adverse Effect), to the accuracy of the statements of the Company made in any certificates pursuant to the provisions hereof, to the performance by the Company, in all material respects, of its obligations hereunder, and to each of the following additional terms and conditions:</w:t>
      </w:r>
    </w:p>
    <w:p>
      <w:pPr>
        <w:spacing w:after="0" w:line="171" w:lineRule="exact"/>
        <w:rPr>
          <w:rFonts w:ascii="Arial" w:cs="Arial" w:eastAsia="Arial" w:hAnsi="Arial"/>
          <w:sz w:val="17"/>
          <w:szCs w:val="17"/>
          <w:b w:val="1"/>
          <w:bCs w:val="1"/>
          <w:color w:val="010000"/>
        </w:rPr>
      </w:pPr>
    </w:p>
    <w:p>
      <w:pPr>
        <w:jc w:val="both"/>
        <w:ind w:firstLine="1304"/>
        <w:spacing w:after="0" w:line="290" w:lineRule="auto"/>
        <w:tabs>
          <w:tab w:leader="none" w:pos="1548"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 xml:space="preserve">No stop order suspending the effectiveness of the Registration Statement or any part thereof, preventing or suspending the use of the Base Prospectus, the Prospectus or any Permitted Free Writing Prospectus or any part thereof shall have been issued and no proceedings for that purpose or pursuant to Section 8A under the Securities Act shall have been initiated by the Commission, and all requests for additional information on the part of the Commission (to be included or incorporated by reference in the Registration Statement or the Prospectus or otherwise) shall have been complied with; the Rule 462(b) Registration Statement, if any, each Issuer Free Writing Prospectus, if any, and the Prospectus shall have been filed with the Commission within the applicable time period prescribed for such filing by, and in compliance with, the Rules and Regulations and in accordance with </w:t>
      </w:r>
      <w:r>
        <w:rPr>
          <w:rFonts w:ascii="Arial" w:cs="Arial" w:eastAsia="Arial" w:hAnsi="Arial"/>
          <w:sz w:val="16"/>
          <w:szCs w:val="16"/>
          <w:u w:val="single" w:color="auto"/>
          <w:color w:val="auto"/>
        </w:rPr>
        <w:t>Section 4(a)</w:t>
      </w:r>
      <w:r>
        <w:rPr>
          <w:rFonts w:ascii="Arial" w:cs="Arial" w:eastAsia="Arial" w:hAnsi="Arial"/>
          <w:sz w:val="16"/>
          <w:szCs w:val="16"/>
          <w:color w:val="auto"/>
        </w:rPr>
        <w:t>,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1304"/>
        <w:spacing w:after="0" w:line="301" w:lineRule="auto"/>
        <w:tabs>
          <w:tab w:leader="none" w:pos="1548" w:val="left"/>
        </w:tabs>
        <w:numPr>
          <w:ilvl w:val="1"/>
          <w:numId w:val="25"/>
        </w:numPr>
        <w:rPr>
          <w:rFonts w:ascii="Arial" w:cs="Arial" w:eastAsia="Arial" w:hAnsi="Arial"/>
          <w:sz w:val="16"/>
          <w:szCs w:val="16"/>
          <w:color w:val="010000"/>
        </w:rPr>
      </w:pPr>
      <w:r>
        <w:rPr>
          <w:rFonts w:ascii="Arial" w:cs="Arial" w:eastAsia="Arial" w:hAnsi="Arial"/>
          <w:sz w:val="16"/>
          <w:szCs w:val="16"/>
          <w:color w:val="auto"/>
        </w:rPr>
        <w:t>The Registration Statement or any amendment or supplement thereto shall not contain an untrue statement of a material fact or omit to state a material fact required to be stated therein or necessary to make the statements therein not misleading, and none of the General Disclosure Package, any Issuer Free Writing Prospectus or the Prospectus, or any amendment or supplement thereto, shall contain an untrue statement of a material fact or omit to state a material fact necessary in order to make the statements therein, in the light of the circumstances in which they were made, not misleading.</w:t>
      </w:r>
    </w:p>
    <w:p>
      <w:pPr>
        <w:spacing w:after="0" w:line="157" w:lineRule="exact"/>
        <w:rPr>
          <w:rFonts w:ascii="Arial" w:cs="Arial" w:eastAsia="Arial" w:hAnsi="Arial"/>
          <w:sz w:val="16"/>
          <w:szCs w:val="16"/>
          <w:color w:val="010000"/>
        </w:rPr>
      </w:pPr>
    </w:p>
    <w:p>
      <w:pPr>
        <w:jc w:val="both"/>
        <w:ind w:firstLine="1304"/>
        <w:spacing w:after="0" w:line="287" w:lineRule="auto"/>
        <w:tabs>
          <w:tab w:leader="none" w:pos="1573" w:val="left"/>
        </w:tabs>
        <w:numPr>
          <w:ilvl w:val="1"/>
          <w:numId w:val="25"/>
        </w:numPr>
        <w:rPr>
          <w:rFonts w:ascii="Arial" w:cs="Arial" w:eastAsia="Arial" w:hAnsi="Arial"/>
          <w:sz w:val="16"/>
          <w:szCs w:val="16"/>
          <w:color w:val="010000"/>
        </w:rPr>
      </w:pPr>
      <w:r>
        <w:rPr>
          <w:rFonts w:ascii="Arial" w:cs="Arial" w:eastAsia="Arial" w:hAnsi="Arial"/>
          <w:sz w:val="16"/>
          <w:szCs w:val="16"/>
          <w:color w:val="auto"/>
        </w:rPr>
        <w:t>The Company shall have furnished to the Representative a certificate, dated the Closing Date or any Option Closing Date, as applicable, of its Chief Executive Officer and its Chief Financial Officer stating that (i) since the effective date of the Registration Statement, no event has occurred which should have been set forth in a supplement or amendment to the Registration Statement, the General Disclosure Package or the Prospectus,</w:t>
      </w:r>
    </w:p>
    <w:p>
      <w:pPr>
        <w:spacing w:after="0" w:line="2" w:lineRule="exact"/>
        <w:rPr>
          <w:rFonts w:ascii="Arial" w:cs="Arial" w:eastAsia="Arial" w:hAnsi="Arial"/>
          <w:sz w:val="16"/>
          <w:szCs w:val="16"/>
          <w:color w:val="010000"/>
        </w:rPr>
      </w:pPr>
    </w:p>
    <w:p>
      <w:pPr>
        <w:jc w:val="both"/>
        <w:ind w:firstLine="8"/>
        <w:spacing w:after="0" w:line="288" w:lineRule="auto"/>
        <w:tabs>
          <w:tab w:leader="none" w:pos="2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or incorporated by reference in the General Disclosure Package, any material adverse change in the financial position or results of operations of the Company and its Subsidiaries, taken as a whole, or any change or development that, individually or in the aggregate, would reasonably be expected to involve a material adverse change in or affecting the condition (financial or otherwise), results of operations, business or assets of the Company and its Subsidiaries, taken as a whole, except as set forth in the Prospectus.</w:t>
      </w:r>
    </w:p>
    <w:p>
      <w:pPr>
        <w:spacing w:after="0" w:line="168" w:lineRule="exact"/>
        <w:rPr>
          <w:rFonts w:ascii="Arial" w:cs="Arial" w:eastAsia="Arial" w:hAnsi="Arial"/>
          <w:sz w:val="16"/>
          <w:szCs w:val="16"/>
          <w:color w:val="auto"/>
        </w:rPr>
      </w:pPr>
    </w:p>
    <w:p>
      <w:pPr>
        <w:jc w:val="both"/>
        <w:ind w:firstLine="1304"/>
        <w:spacing w:after="0" w:line="271" w:lineRule="auto"/>
        <w:tabs>
          <w:tab w:leader="none" w:pos="1572" w:val="left"/>
        </w:tabs>
        <w:numPr>
          <w:ilvl w:val="1"/>
          <w:numId w:val="26"/>
        </w:numPr>
        <w:rPr>
          <w:rFonts w:ascii="Arial" w:cs="Arial" w:eastAsia="Arial" w:hAnsi="Arial"/>
          <w:sz w:val="17"/>
          <w:szCs w:val="17"/>
          <w:color w:val="010000"/>
        </w:rPr>
      </w:pPr>
      <w:r>
        <w:rPr>
          <w:rFonts w:ascii="Arial" w:cs="Arial" w:eastAsia="Arial" w:hAnsi="Arial"/>
          <w:sz w:val="17"/>
          <w:szCs w:val="17"/>
          <w:color w:val="auto"/>
        </w:rPr>
        <w:t xml:space="preserve">Since the date of the latest audited financial statements with respect to the Company and its Subsidiaries included in the General Disclosure Package or incorporated by reference in the General Disclosure Package as of the date hereof,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of the Company or any change in the long-term debt of the Company and its Subsidiaries, taken as a whole, or any change or any development in or affecting the business, general affairs, management, financial position, stockholders’ equity or results of operations of the Company and its Subsidiaries, taken as a whole, otherwise than as set forth in the General Disclosure Package, the effect of which, in any such case described in clause (i) or (ii) of this </w:t>
      </w:r>
      <w:r>
        <w:rPr>
          <w:rFonts w:ascii="Arial" w:cs="Arial" w:eastAsia="Arial" w:hAnsi="Arial"/>
          <w:sz w:val="17"/>
          <w:szCs w:val="17"/>
          <w:u w:val="single" w:color="auto"/>
          <w:color w:val="auto"/>
        </w:rPr>
        <w:t>Section 6(e)</w:t>
      </w:r>
      <w:r>
        <w:rPr>
          <w:rFonts w:ascii="Arial" w:cs="Arial" w:eastAsia="Arial" w:hAnsi="Arial"/>
          <w:sz w:val="17"/>
          <w:szCs w:val="17"/>
          <w:color w:val="auto"/>
        </w:rPr>
        <w:t>, would result in a Material Adverse Effect.</w:t>
      </w:r>
    </w:p>
    <w:p>
      <w:pPr>
        <w:spacing w:after="0" w:line="178" w:lineRule="exact"/>
        <w:rPr>
          <w:rFonts w:ascii="Arial" w:cs="Arial" w:eastAsia="Arial" w:hAnsi="Arial"/>
          <w:sz w:val="17"/>
          <w:szCs w:val="17"/>
          <w:color w:val="010000"/>
        </w:rPr>
      </w:pPr>
    </w:p>
    <w:p>
      <w:pPr>
        <w:jc w:val="both"/>
        <w:ind w:firstLine="1304"/>
        <w:spacing w:after="0" w:line="259" w:lineRule="auto"/>
        <w:tabs>
          <w:tab w:leader="none" w:pos="1566"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No action shall have been taken and no law, statute, rule, regulation or order shall have been enacted, adopted or issued by any governmental agency or body which would prevent the issuance or sale of the Shares or result in a Material Adverse Effect; and no injunction, restraining order or order of any other nature by any United States federal or state court of competent jurisdiction shall have been issued which would prevent the issuance or sale of the Shares or result in a Material Adverse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1304"/>
        <w:spacing w:after="0" w:line="286" w:lineRule="auto"/>
        <w:tabs>
          <w:tab w:leader="none" w:pos="1523" w:val="left"/>
        </w:tabs>
        <w:numPr>
          <w:ilvl w:val="0"/>
          <w:numId w:val="27"/>
        </w:numPr>
        <w:rPr>
          <w:rFonts w:ascii="Arial" w:cs="Arial" w:eastAsia="Arial" w:hAnsi="Arial"/>
          <w:sz w:val="16"/>
          <w:szCs w:val="16"/>
          <w:color w:val="010000"/>
        </w:rPr>
      </w:pPr>
      <w:r>
        <w:rPr>
          <w:rFonts w:ascii="Arial" w:cs="Arial" w:eastAsia="Arial" w:hAnsi="Arial"/>
          <w:sz w:val="16"/>
          <w:szCs w:val="16"/>
          <w:color w:val="auto"/>
        </w:rPr>
        <w:t>Subsequent to the execution and delivery of this Agreement there shall not have occurred any of the following: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 impracticable or inadvisable to proceed with the sale or delivery of the Shares on the terms and in the manner contemplated in the General Disclosure Package and the Prospectus.</w:t>
      </w:r>
    </w:p>
    <w:p>
      <w:pPr>
        <w:spacing w:after="0" w:line="170" w:lineRule="exact"/>
        <w:rPr>
          <w:rFonts w:ascii="Arial" w:cs="Arial" w:eastAsia="Arial" w:hAnsi="Arial"/>
          <w:sz w:val="16"/>
          <w:szCs w:val="16"/>
          <w:color w:val="010000"/>
        </w:rPr>
      </w:pPr>
    </w:p>
    <w:p>
      <w:pPr>
        <w:jc w:val="both"/>
        <w:ind w:firstLine="1304"/>
        <w:spacing w:after="0" w:line="263" w:lineRule="auto"/>
        <w:tabs>
          <w:tab w:leader="none" w:pos="1548"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(i) an opinion and negative assurance letter of Holland &amp; Knight LLP, counsel for the Company, and (ii) Polsinelli PC, intellectual property counsel for the Company, dated the Closing Date or any Option Closing Date, as applicable, covering such matters as the Underwriters shall reasonably request.</w:t>
      </w:r>
    </w:p>
    <w:p>
      <w:pPr>
        <w:spacing w:after="0" w:line="183" w:lineRule="exact"/>
        <w:rPr>
          <w:rFonts w:ascii="Arial" w:cs="Arial" w:eastAsia="Arial" w:hAnsi="Arial"/>
          <w:sz w:val="18"/>
          <w:szCs w:val="18"/>
          <w:color w:val="010000"/>
        </w:rPr>
      </w:pPr>
    </w:p>
    <w:p>
      <w:pPr>
        <w:ind w:firstLine="1304"/>
        <w:spacing w:after="0" w:line="277" w:lineRule="auto"/>
        <w:tabs>
          <w:tab w:leader="none" w:pos="1564"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the favorable opinion of Duane Morris LLP, counsel for the Underwriters, dated the Closing Date or any Option Closing Date, as applicable, and covering such matters as the Underwriters shall reasonably request.</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151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from KMJ Corbin &amp; Company LLP letters dated, respectively, the date hereof, and the Closing Date or any Option Closing Date, as applicable, in form and substance satisfactory to the Representative containing statements and information of the type ordinarily included in accountants’ “comfort letters” to underwriters with respect to the financial statements and certain financial information contained in the General Disclosure Package, the Prospectus and the Registration Statement.</w:t>
      </w:r>
    </w:p>
    <w:p>
      <w:pPr>
        <w:spacing w:after="0" w:line="186" w:lineRule="exact"/>
        <w:rPr>
          <w:rFonts w:ascii="Arial" w:cs="Arial" w:eastAsia="Arial" w:hAnsi="Arial"/>
          <w:sz w:val="18"/>
          <w:szCs w:val="18"/>
          <w:color w:val="010000"/>
        </w:rPr>
      </w:pPr>
    </w:p>
    <w:p>
      <w:pPr>
        <w:ind w:firstLine="1304"/>
        <w:spacing w:after="0" w:line="277" w:lineRule="auto"/>
        <w:tabs>
          <w:tab w:leader="none" w:pos="1515"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a written certificate executed by the Chief Financial Officer of the Company, dated the Closing Date or any Option Closing Date, as applicable, and covering such matters as the Underwriters shall reasonably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1304"/>
        <w:spacing w:after="0" w:line="259" w:lineRule="auto"/>
        <w:tabs>
          <w:tab w:leader="none" w:pos="1575"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On the date hereof and on the Closing Date or any Option Closing Date, as applicable, the Representative shall have received a certificate of the Company’s Chief Financial Officer with respect to certain financial data contained in the Registration Statement, the Pricing Disclosure Package, the Prospectus, and investor presentation providing “management comfort” with respect to such information, in form and substance reasonably satisfactory to the Representative.</w:t>
      </w:r>
    </w:p>
    <w:p>
      <w:pPr>
        <w:spacing w:after="0" w:line="186" w:lineRule="exact"/>
        <w:rPr>
          <w:rFonts w:ascii="Arial" w:cs="Arial" w:eastAsia="Arial" w:hAnsi="Arial"/>
          <w:sz w:val="18"/>
          <w:szCs w:val="18"/>
          <w:color w:val="010000"/>
        </w:rPr>
      </w:pPr>
    </w:p>
    <w:p>
      <w:pPr>
        <w:jc w:val="both"/>
        <w:ind w:firstLine="1304"/>
        <w:spacing w:after="0" w:line="286" w:lineRule="auto"/>
        <w:tabs>
          <w:tab w:leader="none" w:pos="1537"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 xml:space="preserve">The “lock-up” agreements between the Representative and the shareholders, officers and directors of the Company identified on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hereto relating to restrictions on sales and certain other dispositions of shares of Common Stock or certain other securities, delivered to the Representative on or before the date hereof, shall be in full force and effect on the Closing Date and any Option Closing Date, as applicable.</w:t>
      </w:r>
    </w:p>
    <w:p>
      <w:pPr>
        <w:spacing w:after="0" w:line="165" w:lineRule="exact"/>
        <w:rPr>
          <w:rFonts w:ascii="Arial" w:cs="Arial" w:eastAsia="Arial" w:hAnsi="Arial"/>
          <w:sz w:val="17"/>
          <w:szCs w:val="17"/>
          <w:color w:val="010000"/>
        </w:rPr>
      </w:pPr>
    </w:p>
    <w:p>
      <w:pPr>
        <w:ind w:firstLine="1304"/>
        <w:spacing w:after="0" w:line="308" w:lineRule="auto"/>
        <w:tabs>
          <w:tab w:leader="none" w:pos="1642"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The Company shall have furnished to the Representative such further certificates and documents as the Representative may reasonably require for the purpose of enabling the Underwriters to pass upon the issuance and sale of the Shares as herein contemplated.</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any condition specified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is not satisfied when and as required to be satisfied, this Agreement may be terminated in the absolute discretion of the Representative by notice to the Company at any time on or prior to the Closing Date or any Option Closing Date, as applicable, which termination shall be without liability on the part of any party to any other party (except to the extent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except that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shall at all times be effective and shall survive such termination.</w:t>
      </w:r>
    </w:p>
    <w:p>
      <w:pPr>
        <w:spacing w:after="0" w:line="183"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Increase in Underwriters’ Commitments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if any Underwriter shall default in its obligation to take up and pay for the Shares to be purchased by it hereunder (otherwise than for a failure of a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if the amount of Shares which all Underwriters so defaulting shall have agreed but failed to take up and pay for does not exceed 10% of the total amount of Shares, the non-defaulting Underwriters shall take up and pay for (in addition to the amount of Shares they are obligated to purchase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the amount of Shares agreed to be purchased by all such defaulting Underwriters, as hereinafter provided. Such Shares shall be taken up and paid for by such non-defaulting Underwriters in such amount or amounts as the Representative may designate with the consent of each Underwriter so designated or, in the event no such designation is made, such Shares shall be taken up and paid for by all non-defaulting Underwriters pro rata in proportion to the aggregate of Shares set opposite the names of such non-defaulting Underwriters in </w:t>
      </w:r>
      <w:r>
        <w:rPr>
          <w:rFonts w:ascii="Arial" w:cs="Arial" w:eastAsia="Arial" w:hAnsi="Arial"/>
          <w:sz w:val="18"/>
          <w:szCs w:val="18"/>
          <w:u w:val="single" w:color="auto"/>
          <w:color w:val="auto"/>
        </w:rPr>
        <w:t>Schedule A.</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Without relieving any defaulting Underwriter from its obligations hereunder, the Company agrees with the non-defaulting Underwriters that it will not sell any Shares hereunder unless all of the Shares are purchased by the Underwriters (or by substituted Underwriters selected by the Representative with the approval of the Company or selected by the Company with the Representative’s approval).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7"/>
          <w:szCs w:val="17"/>
          <w:color w:val="auto"/>
        </w:rPr>
        <w:t>If a new Underwriter is or Underwriters are substituted by the Representative or by the Company for a defaulting Underwriter or Underwriters in accordance with the foregoing provision, the Company or the Representative shall have the right to postpone the time of purchase for a period not exceeding five business days in order that any necessary changes in the General Disclosure Package and other documents that may be effected.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term Underwriter as used in this Agreement shall refer to and include any Underwriter substituted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like effect as if such substituted Underwriter had originally been named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If the amount of Shares which the defaulting Underwriter or Underwriters agreed to purchase exceeds 10% of the total amount of Shares which all Underwriters agreed to purchase hereunder, and if neither the non-defaulting Underwriters nor the Company shall make arrangements within the five business day-period stated above for the purchase of all the Shares which the defaulting Underwriter or Underwriters agreed to purchase hereunder, then this Agreement shall terminate without further act or deed and without any liability on the part of the Company to any non-defaulting Underwriter (except as provided in </w:t>
      </w:r>
      <w:r>
        <w:rPr>
          <w:rFonts w:ascii="Arial" w:cs="Arial" w:eastAsia="Arial" w:hAnsi="Arial"/>
          <w:sz w:val="16"/>
          <w:szCs w:val="16"/>
          <w:u w:val="single" w:color="auto"/>
          <w:color w:val="auto"/>
        </w:rPr>
        <w:t>Section 8</w:t>
      </w:r>
      <w:r>
        <w:rPr>
          <w:rFonts w:ascii="Arial" w:cs="Arial" w:eastAsia="Arial" w:hAnsi="Arial"/>
          <w:sz w:val="16"/>
          <w:szCs w:val="16"/>
          <w:color w:val="auto"/>
        </w:rPr>
        <w:t>)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60" w:lineRule="exact"/>
        <w:rPr>
          <w:sz w:val="20"/>
          <w:szCs w:val="20"/>
          <w:color w:val="auto"/>
        </w:rPr>
      </w:pPr>
    </w:p>
    <w:p>
      <w:pPr>
        <w:ind w:left="840" w:hanging="184"/>
        <w:spacing w:after="0"/>
        <w:tabs>
          <w:tab w:leader="none" w:pos="840" w:val="left"/>
        </w:tabs>
        <w:numPr>
          <w:ilvl w:val="1"/>
          <w:numId w:val="3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firstLine="1304"/>
        <w:spacing w:after="0" w:line="284" w:lineRule="auto"/>
        <w:tabs>
          <w:tab w:leader="none" w:pos="1543" w:val="left"/>
        </w:tabs>
        <w:numPr>
          <w:ilvl w:val="2"/>
          <w:numId w:val="30"/>
        </w:numPr>
        <w:rPr>
          <w:rFonts w:ascii="Arial" w:cs="Arial" w:eastAsia="Arial" w:hAnsi="Arial"/>
          <w:sz w:val="16"/>
          <w:szCs w:val="16"/>
          <w:color w:val="010000"/>
        </w:rPr>
      </w:pPr>
      <w:r>
        <w:rPr>
          <w:rFonts w:ascii="Arial" w:cs="Arial" w:eastAsia="Arial" w:hAnsi="Arial"/>
          <w:sz w:val="16"/>
          <w:szCs w:val="16"/>
          <w:color w:val="auto"/>
        </w:rPr>
        <w:t>The Company agrees to indemnify and hold harmless each Underwriter, its respective affiliates and each of their respective directors, officers, members, employees, representatives and agents and their respective affiliates, and each person, if any, who controls such Underwriter within the meaning of Section 15 of the Securities Act or Section 20 of the Exchange Act (collectively the “</w:t>
      </w:r>
      <w:r>
        <w:rPr>
          <w:rFonts w:ascii="Arial" w:cs="Arial" w:eastAsia="Arial" w:hAnsi="Arial"/>
          <w:sz w:val="16"/>
          <w:szCs w:val="16"/>
          <w:b w:val="1"/>
          <w:bCs w:val="1"/>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document incorporated by reference therein,</w:t>
      </w:r>
    </w:p>
    <w:p>
      <w:pPr>
        <w:jc w:val="both"/>
        <w:ind w:firstLine="8"/>
        <w:spacing w:after="0" w:line="267" w:lineRule="auto"/>
        <w:tabs>
          <w:tab w:leader="none" w:pos="2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omission or alleged omission to state in any Issuer Free Writing Prospectus, any “issuer information” filed or required to be filed pursuant to Rule 433(d) of the Rules and Regulations, any Registration Statement or the Prospectus, or in any amendment or supplement thereto or document incorporated by reference therein, a material fact required to be stated therein or necessary to make the statements therein not misleading, or (C) any breach of the representations and warranties of the Company contained herein or failure of the Company to perform its obligations hereunder or pursuant to any law, and shall reimburse the Underwriter Indemnified Party promptly upon demand for any legal fees or other expenses reasonably incurred by such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expense or liability arises out of or is based upon an untrue statement or alleged untrue statement in, or omission or alleged omission from, any Registration Statement or the Prospectus, or any such amendment or supplement thereto, or any Issuer Free Writing Prospectus made in reliance upon and in conformity with written information concerning the Underwriters furnished to the Company by or on behalf of the Underwriters specifically for use therein, which information the parties hereto agree is limited to the Underwriter’s Information. This indemnity agreement is not exclusive and will be in addition to any liability, which the Company may otherwise have and shall not limit any rights or remedies which may otherwise be available at law or in equity to each Underwriter Indemnified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1304"/>
        <w:spacing w:after="0" w:line="285" w:lineRule="auto"/>
        <w:tabs>
          <w:tab w:leader="none" w:pos="1569"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Each Underwriter severally and not jointly agrees to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6"/>
          <w:szCs w:val="16"/>
          <w:b w:val="1"/>
          <w:bCs w:val="1"/>
          <w:color w:val="auto"/>
        </w:rPr>
        <w:t>Company Indemnified Parties</w:t>
      </w:r>
      <w:r>
        <w:rPr>
          <w:rFonts w:ascii="Arial" w:cs="Arial" w:eastAsia="Arial" w:hAnsi="Arial"/>
          <w:sz w:val="16"/>
          <w:szCs w:val="16"/>
          <w:color w:val="auto"/>
        </w:rPr>
        <w:t>” and each a “</w:t>
      </w:r>
      <w:r>
        <w:rPr>
          <w:rFonts w:ascii="Arial" w:cs="Arial" w:eastAsia="Arial" w:hAnsi="Arial"/>
          <w:sz w:val="16"/>
          <w:szCs w:val="16"/>
          <w:b w:val="1"/>
          <w:bCs w:val="1"/>
          <w:color w:val="auto"/>
        </w:rPr>
        <w:t>Company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Underwriter might otherwise have and shall not limit any rights or remedies which may otherwise be available under this Agreement, at law or in equity to the Company Indemnified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1304"/>
        <w:spacing w:after="0" w:line="283" w:lineRule="auto"/>
        <w:tabs>
          <w:tab w:leader="none" w:pos="1557"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 xml:space="preserve">Promptly after receipt by an indemnified party under this Section 8 of notice of the commencement of any action, the indemnified party shall, if a claim in respect thereof is to be made against an indemnifying party under this Section 8, notify such indemnifying party in writing of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8 except to the extent it has been materially prejudiced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Section 8.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and approval by the indemnified party of counsel as set forth herein, except as provided herein, the indemnifying party shall not be liable to the indemnified party under Section 8 for any legal or other expenses subsequently incurred by the indemnified party in connection with the defense of such action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indemnified party shall have the right to employ separate counsel in any such action and to participate in the defense of such action but the fees and expenses of such counsel (other than reasonable costs of investigation which shall remain the expense of the Company) shall be at the expense of such indemnified party unless (i) in the case of an Underwriter Indemnified Party, the employment thereof has been specifically authorized in writing by the Company in the case of a claim for indemnification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Underwriter if the indemnified parties under this Section 8 consist of any Underwriter Indemnified Party or by the Company if the indemnified parties under this Section 8 consist of any Company Indemnified Parties. Subject to this Section 8(d), the amount payable by an indemnifying party under Section 8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8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reasonable fees and expenses of counsel, such indemnifying party agrees that it shall be liable for any settlement of the nature contemplated herein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1304"/>
        <w:spacing w:after="0" w:line="286" w:lineRule="auto"/>
        <w:tabs>
          <w:tab w:leader="none" w:pos="1553"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or insufficient to hold harmless an indemnified party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8(b)</w:t>
      </w:r>
      <w:r>
        <w:rPr>
          <w:rFonts w:ascii="Arial" w:cs="Arial" w:eastAsia="Arial" w:hAnsi="Arial"/>
          <w:sz w:val="16"/>
          <w:szCs w:val="16"/>
          <w:color w:val="auto"/>
        </w:rPr>
        <w:t xml:space="preserve">, then each applicable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hand from the Offering, or (ii) if the allocation provided by clause (i) of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is not permitted by applicable law, in such proportion as is appropriate to reflect not only the relative benefits referred to in clause (i) of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but also the relative fault of the Company on the one hand and each of the respective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hand with respect to such Offering shall be deemed to be in the same proportion as the total net proceeds from the Offering pursuant to this Agreement (before deducting expenses) received by the Company bear to the total compensation received by the Underwriter in connection with the Offering, in each case as set forth in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the Underwriters on the other hand, the intent of the parties and their relative knowledge, access to information and opportunity to correct or prevent such untrue statement, omission, act or failure to act.</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and the Underwriters agree that it would not be just and equitable if contributions pursuant to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shall be deemed to include, for purposes of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w:t>
      </w:r>
      <w:r>
        <w:rPr>
          <w:rFonts w:ascii="Arial" w:cs="Arial" w:eastAsia="Arial" w:hAnsi="Arial"/>
          <w:sz w:val="17"/>
          <w:szCs w:val="17"/>
          <w:u w:val="single" w:color="auto"/>
          <w:color w:val="auto"/>
        </w:rPr>
        <w:t>Section 8(d)</w:t>
      </w:r>
      <w:r>
        <w:rPr>
          <w:rFonts w:ascii="Arial" w:cs="Arial" w:eastAsia="Arial" w:hAnsi="Arial"/>
          <w:sz w:val="17"/>
          <w:szCs w:val="17"/>
          <w:color w:val="auto"/>
        </w:rPr>
        <w:t>, no Underwriter shall be required to contribute any amount in excess of the total compensation received by such Underwriter hereunder less the amount of any damages which such Underwriter has otherwise paid or become liable to pay by reason of any untrue or alleged untrue statement, omission or alleged omission, act or alleged act or failure to act or alleged failure to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10(f) of the Securities Act) shall be entitled to contribution from any person who was not guilty of such fraudulent misrepresentation.</w:t>
      </w:r>
    </w:p>
    <w:p>
      <w:pPr>
        <w:spacing w:after="0" w:line="166" w:lineRule="exact"/>
        <w:rPr>
          <w:sz w:val="20"/>
          <w:szCs w:val="20"/>
          <w:color w:val="auto"/>
        </w:rPr>
      </w:pPr>
    </w:p>
    <w:p>
      <w:pPr>
        <w:ind w:left="820" w:hanging="164"/>
        <w:spacing w:after="0"/>
        <w:tabs>
          <w:tab w:leader="none" w:pos="82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9" w:lineRule="exact"/>
        <w:rPr>
          <w:rFonts w:ascii="Arial" w:cs="Arial" w:eastAsia="Arial" w:hAnsi="Arial"/>
          <w:sz w:val="18"/>
          <w:szCs w:val="18"/>
          <w:b w:val="1"/>
          <w:bCs w:val="1"/>
          <w:color w:val="010000"/>
        </w:rPr>
      </w:pPr>
    </w:p>
    <w:p>
      <w:pPr>
        <w:jc w:val="both"/>
        <w:ind w:firstLine="1304"/>
        <w:spacing w:after="0" w:line="259" w:lineRule="auto"/>
        <w:tabs>
          <w:tab w:leader="none" w:pos="1553"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Underwriters’ responsibility to the Company is solely contractual in nature, the Underwriters have been retained solely to act as underwriters in connection with the Offering and no fiduciary, advisory or agency relationship between the Company and any Underwriter has been created in respect of any of the transactions contemplated by this Agreement, irrespective of whether such Underwriter has advised or is advising the Company on other matters;</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1597"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price of the Shares set forth in this Agreement was established by the Company following discussions and arms-length negotiations with the Underwriters, and the Company is capable of evaluating and understanding, and understands and accepts, the terms, risks and conditions of the transactions contemplated by this Agreement;</w:t>
      </w:r>
    </w:p>
    <w:p>
      <w:pPr>
        <w:spacing w:after="0" w:line="183" w:lineRule="exact"/>
        <w:rPr>
          <w:rFonts w:ascii="Arial" w:cs="Arial" w:eastAsia="Arial" w:hAnsi="Arial"/>
          <w:sz w:val="18"/>
          <w:szCs w:val="18"/>
          <w:color w:val="010000"/>
        </w:rPr>
      </w:pPr>
    </w:p>
    <w:p>
      <w:pPr>
        <w:ind w:firstLine="1304"/>
        <w:spacing w:after="0" w:line="277" w:lineRule="auto"/>
        <w:tabs>
          <w:tab w:leader="none" w:pos="1569"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no Underwriter has advised, and no Underwriter is advising, the Company or any other person as to any legal, tax, investment, accounting or regulatory matters in any jurisdiction with respect to the transactions contemplated hereby;</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1565"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Company shall consult with its own advisors concerning such matters and shall be responsible for making its own independent investigation and appraisal of the transactions contemplated hereby, and no Underwriter shall have any responsibility or liability to the Company with respect thereto;</w:t>
      </w:r>
    </w:p>
    <w:p>
      <w:pPr>
        <w:spacing w:after="0" w:line="183" w:lineRule="exact"/>
        <w:rPr>
          <w:rFonts w:ascii="Arial" w:cs="Arial" w:eastAsia="Arial" w:hAnsi="Arial"/>
          <w:sz w:val="18"/>
          <w:szCs w:val="18"/>
          <w:color w:val="010000"/>
        </w:rPr>
      </w:pPr>
    </w:p>
    <w:p>
      <w:pPr>
        <w:ind w:left="1540" w:hanging="236"/>
        <w:spacing w:after="0"/>
        <w:tabs>
          <w:tab w:leader="none" w:pos="1540" w:val="left"/>
        </w:tabs>
        <w:numPr>
          <w:ilvl w:val="1"/>
          <w:numId w:val="35"/>
        </w:numPr>
        <w:rPr>
          <w:rFonts w:ascii="Arial" w:cs="Arial" w:eastAsia="Arial" w:hAnsi="Arial"/>
          <w:sz w:val="17"/>
          <w:szCs w:val="17"/>
          <w:color w:val="010000"/>
        </w:rPr>
      </w:pPr>
      <w:r>
        <w:rPr>
          <w:rFonts w:ascii="Arial" w:cs="Arial" w:eastAsia="Arial" w:hAnsi="Arial"/>
          <w:sz w:val="17"/>
          <w:szCs w:val="17"/>
          <w:color w:val="auto"/>
        </w:rPr>
        <w:t>no Underwriter has or will be rendering an opinion to the Company as to the fairness of the terms of the offering of the Shares;</w:t>
      </w:r>
    </w:p>
    <w:p>
      <w:pPr>
        <w:spacing w:after="0" w:line="236" w:lineRule="exact"/>
        <w:rPr>
          <w:rFonts w:ascii="Arial" w:cs="Arial" w:eastAsia="Arial" w:hAnsi="Arial"/>
          <w:sz w:val="17"/>
          <w:szCs w:val="17"/>
          <w:color w:val="010000"/>
        </w:rPr>
      </w:pPr>
    </w:p>
    <w:p>
      <w:pPr>
        <w:jc w:val="both"/>
        <w:ind w:firstLine="1304"/>
        <w:spacing w:after="0" w:line="263" w:lineRule="auto"/>
        <w:tabs>
          <w:tab w:leader="none" w:pos="1527"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it has been advised that each Underwriter, and its respective affiliates, is engaged in a broad range of transactions which may involve interests that differ from those of the Company and no Underwriter has an obligation to disclose such interests and transactions to the Company by virtue of any fiduciary, advisory or agency relationship; and</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1575"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it waives, to the fullest extent permitted by law, any claims it may have against any Underwriter for breach of fiduciary duty or alleged breach of fiduciary duty and agrees that each Underwriter shall not have any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656"/>
        <w:spacing w:after="0" w:line="255" w:lineRule="auto"/>
        <w:tabs>
          <w:tab w:leader="none" w:pos="928"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Successors; Persons Entitled to Benefit of Agreement</w:t>
      </w:r>
      <w:r>
        <w:rPr>
          <w:rFonts w:ascii="Arial" w:cs="Arial" w:eastAsia="Arial" w:hAnsi="Arial"/>
          <w:sz w:val="18"/>
          <w:szCs w:val="18"/>
          <w:color w:val="auto"/>
        </w:rPr>
        <w:t>. This Agreement shall inure to the benefit of and be binding upon the Underwriters,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indemnity of the Underwriters shall be for benefit of the Company Indemnified Parties.</w:t>
      </w:r>
    </w:p>
    <w:p>
      <w:pPr>
        <w:spacing w:after="0" w:line="188" w:lineRule="exact"/>
        <w:rPr>
          <w:rFonts w:ascii="Arial" w:cs="Arial" w:eastAsia="Arial" w:hAnsi="Arial"/>
          <w:sz w:val="18"/>
          <w:szCs w:val="18"/>
          <w:b w:val="1"/>
          <w:bCs w:val="1"/>
          <w:color w:val="010000"/>
        </w:rPr>
      </w:pPr>
    </w:p>
    <w:p>
      <w:pPr>
        <w:jc w:val="both"/>
        <w:ind w:firstLine="656"/>
        <w:spacing w:after="0" w:line="256" w:lineRule="auto"/>
        <w:tabs>
          <w:tab w:leader="none" w:pos="918"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Survival of Indemnities, Representations, Warranties, Etc</w:t>
      </w:r>
      <w:r>
        <w:rPr>
          <w:rFonts w:ascii="Arial" w:cs="Arial" w:eastAsia="Arial" w:hAnsi="Arial"/>
          <w:sz w:val="18"/>
          <w:szCs w:val="18"/>
          <w:color w:val="auto"/>
        </w:rPr>
        <w:t>. The respective indemnities, covenants, agreements,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statements of the Company and the Underwriters, as set forth in this Agreement or made by them respectively, pursuant to this Agreement, shall remain in full force and effect, regardless of any investigation made by or on behalf of the Underwriters, the Company or any person controlling any of them and shall survive delivery of and payment for the Shares. Notwithstanding any termination of this Agreement, the indemnity and contribution agreements contained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the covenants, representations, warranties set forth in this Agreement shall not terminate and shall remain in full force and effect at all times.</w:t>
      </w:r>
    </w:p>
    <w:p>
      <w:pPr>
        <w:spacing w:after="0" w:line="187" w:lineRule="exact"/>
        <w:rPr>
          <w:rFonts w:ascii="Arial" w:cs="Arial" w:eastAsia="Arial" w:hAnsi="Arial"/>
          <w:sz w:val="18"/>
          <w:szCs w:val="18"/>
          <w:b w:val="1"/>
          <w:bCs w:val="1"/>
          <w:color w:val="010000"/>
        </w:rPr>
      </w:pPr>
    </w:p>
    <w:p>
      <w:pPr>
        <w:ind w:left="920" w:hanging="264"/>
        <w:spacing w:after="0"/>
        <w:tabs>
          <w:tab w:leader="none" w:pos="920"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statements, requests, notices and agreements hereunder shall be in writing, and:</w:t>
      </w:r>
    </w:p>
    <w:p>
      <w:pPr>
        <w:spacing w:after="0" w:line="226" w:lineRule="exact"/>
        <w:rPr>
          <w:rFonts w:ascii="Arial" w:cs="Arial" w:eastAsia="Arial" w:hAnsi="Arial"/>
          <w:sz w:val="18"/>
          <w:szCs w:val="18"/>
          <w:b w:val="1"/>
          <w:bCs w:val="1"/>
          <w:color w:val="010000"/>
        </w:rPr>
      </w:pPr>
    </w:p>
    <w:p>
      <w:pPr>
        <w:jc w:val="both"/>
        <w:ind w:firstLine="1304"/>
        <w:spacing w:after="0" w:line="226" w:lineRule="auto"/>
        <w:tabs>
          <w:tab w:leader="none" w:pos="1543"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if to the Underwriters, shall be delivered or sent by mail, overnight courier or email to B. Riley Securities, Inc., 299 Park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10171, Attention: Syndicate Department, with a copy to Duane Morris LLP Attn: James T. Seery, 1540 Broadway, New York, New York 10036.</w:t>
      </w:r>
    </w:p>
    <w:p>
      <w:pPr>
        <w:spacing w:after="0" w:line="202" w:lineRule="exact"/>
        <w:rPr>
          <w:rFonts w:ascii="Arial" w:cs="Arial" w:eastAsia="Arial" w:hAnsi="Arial"/>
          <w:sz w:val="18"/>
          <w:szCs w:val="18"/>
          <w:color w:val="010000"/>
        </w:rPr>
      </w:pPr>
    </w:p>
    <w:p>
      <w:pPr>
        <w:jc w:val="both"/>
        <w:ind w:firstLine="1304"/>
        <w:spacing w:after="0" w:line="263" w:lineRule="auto"/>
        <w:tabs>
          <w:tab w:leader="none" w:pos="1564"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if to the Company, shall be delivered or sent by mail, overnight courier or email to Harrow Health, Inc., Attention: Mark L. Baum, 102 Woodmont Blvd., Suite 610, Nashville, Tennessee 37205, with a copy to Holland &amp; Knight LLP Attn: James H. Nixon III, Nashville City Center, 511 Union Street, Suite 2700, Nashville, Tennessee 37219.</w:t>
      </w:r>
    </w:p>
    <w:p>
      <w:pPr>
        <w:spacing w:after="0" w:line="179" w:lineRule="exact"/>
        <w:rPr>
          <w:rFonts w:ascii="Arial" w:cs="Arial" w:eastAsia="Arial" w:hAnsi="Arial"/>
          <w:sz w:val="18"/>
          <w:szCs w:val="18"/>
          <w:color w:val="010000"/>
        </w:rPr>
      </w:pPr>
    </w:p>
    <w:p>
      <w:pPr>
        <w:ind w:left="940" w:hanging="284"/>
        <w:spacing w:after="0"/>
        <w:tabs>
          <w:tab w:leader="none" w:pos="940" w:val="left"/>
        </w:tabs>
        <w:numPr>
          <w:ilvl w:val="0"/>
          <w:numId w:val="36"/>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Definition of Certain Terms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the Nasdaq Stock Market is open for</w:t>
      </w:r>
    </w:p>
    <w:p>
      <w:pPr>
        <w:spacing w:after="0" w:line="50" w:lineRule="exact"/>
        <w:rPr>
          <w:rFonts w:ascii="Arial" w:cs="Arial" w:eastAsia="Arial" w:hAnsi="Arial"/>
          <w:sz w:val="16"/>
          <w:szCs w:val="16"/>
          <w:b w:val="1"/>
          <w:bCs w:val="1"/>
          <w:color w:val="010000"/>
        </w:rPr>
      </w:pPr>
    </w:p>
    <w:p>
      <w:pPr>
        <w:spacing w:after="0"/>
        <w:rPr>
          <w:rFonts w:ascii="Arial" w:cs="Arial" w:eastAsia="Arial" w:hAnsi="Arial"/>
          <w:sz w:val="16"/>
          <w:szCs w:val="16"/>
          <w:b w:val="1"/>
          <w:bCs w:val="1"/>
          <w:color w:val="010000"/>
        </w:rPr>
      </w:pPr>
      <w:r>
        <w:rPr>
          <w:rFonts w:ascii="Arial" w:cs="Arial" w:eastAsia="Arial" w:hAnsi="Arial"/>
          <w:sz w:val="18"/>
          <w:szCs w:val="18"/>
          <w:color w:val="auto"/>
        </w:rPr>
        <w:t>trading.</w:t>
      </w:r>
    </w:p>
    <w:p>
      <w:pPr>
        <w:spacing w:after="0" w:line="206" w:lineRule="exact"/>
        <w:rPr>
          <w:rFonts w:ascii="Arial" w:cs="Arial" w:eastAsia="Arial" w:hAnsi="Arial"/>
          <w:sz w:val="16"/>
          <w:szCs w:val="16"/>
          <w:b w:val="1"/>
          <w:bCs w:val="1"/>
          <w:color w:val="010000"/>
        </w:rPr>
      </w:pPr>
    </w:p>
    <w:p>
      <w:pPr>
        <w:ind w:left="920" w:hanging="264"/>
        <w:spacing w:after="0"/>
        <w:tabs>
          <w:tab w:leader="none" w:pos="920" w:val="left"/>
        </w:tabs>
        <w:numPr>
          <w:ilvl w:val="0"/>
          <w:numId w:val="36"/>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This Agreement shall be governed by and construed in accordance with the laws of the State of New York.</w:t>
      </w:r>
    </w:p>
    <w:p>
      <w:pPr>
        <w:spacing w:after="0" w:line="236" w:lineRule="exact"/>
        <w:rPr>
          <w:rFonts w:ascii="Arial" w:cs="Arial" w:eastAsia="Arial" w:hAnsi="Arial"/>
          <w:sz w:val="17"/>
          <w:szCs w:val="17"/>
          <w:b w:val="1"/>
          <w:bCs w:val="1"/>
          <w:color w:val="010000"/>
        </w:rPr>
      </w:pPr>
    </w:p>
    <w:p>
      <w:pPr>
        <w:jc w:val="both"/>
        <w:ind w:firstLine="656"/>
        <w:spacing w:after="0" w:line="303" w:lineRule="auto"/>
        <w:tabs>
          <w:tab w:leader="none" w:pos="971" w:val="left"/>
        </w:tabs>
        <w:numPr>
          <w:ilvl w:val="0"/>
          <w:numId w:val="36"/>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Underwriter’s Information</w:t>
      </w:r>
      <w:r>
        <w:rPr>
          <w:rFonts w:ascii="Arial" w:cs="Arial" w:eastAsia="Arial" w:hAnsi="Arial"/>
          <w:sz w:val="16"/>
          <w:szCs w:val="16"/>
          <w:color w:val="auto"/>
        </w:rPr>
        <w:t>. The parties hereto acknowledge and agree that, for all purposes of this Agreement, the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consists solely of the following information in the General Disclosure Package, the Prospectus and in the Registration Statement: the concession figure appearing in the first paragraph under the section entitled “Underwriting – Discounts and Expenses” and the information contained in the second and fourth paragraphs relating to stabilization transactions under the section entitled “Underwriting – Price Stabilization, Short Positions.”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656"/>
        <w:spacing w:after="0" w:line="261" w:lineRule="auto"/>
        <w:tabs>
          <w:tab w:leader="none" w:pos="927" w:val="left"/>
        </w:tabs>
        <w:numPr>
          <w:ilvl w:val="0"/>
          <w:numId w:val="3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Partial Unenforceability</w:t>
      </w:r>
      <w:r>
        <w:rPr>
          <w:rFonts w:ascii="Arial" w:cs="Arial" w:eastAsia="Arial" w:hAnsi="Arial"/>
          <w:sz w:val="18"/>
          <w:szCs w:val="18"/>
          <w:color w:val="auto"/>
        </w:rPr>
        <w:t>. The invalidity or unenforceability of any section, paragraph, clause or provision of this Agreement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Arial" w:cs="Arial" w:eastAsia="Arial" w:hAnsi="Arial"/>
          <w:sz w:val="18"/>
          <w:szCs w:val="18"/>
          <w:b w:val="1"/>
          <w:bCs w:val="1"/>
          <w:color w:val="010000"/>
        </w:rPr>
      </w:pPr>
    </w:p>
    <w:p>
      <w:pPr>
        <w:jc w:val="both"/>
        <w:ind w:firstLine="656"/>
        <w:spacing w:after="0" w:line="277" w:lineRule="auto"/>
        <w:tabs>
          <w:tab w:leader="none" w:pos="939" w:val="left"/>
        </w:tabs>
        <w:numPr>
          <w:ilvl w:val="0"/>
          <w:numId w:val="37"/>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This Agreement constitutes the entire agreement of the parties to this Agreement and supersedes all prior written or oral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w:t>
      </w:r>
    </w:p>
    <w:p>
      <w:pPr>
        <w:spacing w:after="0" w:line="167" w:lineRule="exact"/>
        <w:rPr>
          <w:rFonts w:ascii="Arial" w:cs="Arial" w:eastAsia="Arial" w:hAnsi="Arial"/>
          <w:sz w:val="17"/>
          <w:szCs w:val="17"/>
          <w:b w:val="1"/>
          <w:bCs w:val="1"/>
          <w:color w:val="010000"/>
        </w:rPr>
      </w:pPr>
    </w:p>
    <w:p>
      <w:pPr>
        <w:ind w:firstLine="656"/>
        <w:spacing w:after="0" w:line="282" w:lineRule="auto"/>
        <w:tabs>
          <w:tab w:leader="none" w:pos="921" w:val="left"/>
        </w:tabs>
        <w:numPr>
          <w:ilvl w:val="0"/>
          <w:numId w:val="3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thereto and hereto were upon the same instrument and such signatures may be delivered by facsimile.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48"/>
        <w:spacing w:after="0" w:line="263" w:lineRule="auto"/>
        <w:rPr>
          <w:sz w:val="20"/>
          <w:szCs w:val="20"/>
          <w:color w:val="auto"/>
        </w:rPr>
      </w:pPr>
      <w:r>
        <w:rPr>
          <w:rFonts w:ascii="Arial" w:cs="Arial" w:eastAsia="Arial" w:hAnsi="Arial"/>
          <w:sz w:val="18"/>
          <w:szCs w:val="18"/>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HARROW HEALTH, INC.</w:t>
      </w:r>
    </w:p>
    <w:p>
      <w:pPr>
        <w:spacing w:after="0" w:line="25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Patrice McNicoll</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Co-Head of Investment Banking</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3" w:name="page34"/>
    <w:bookmarkEnd w:id="33"/>
    <w:p>
      <w:pPr>
        <w:jc w:val="right"/>
        <w:ind w:right="24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Lake Street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Ladenburg Thalmann &amp; Co.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Number of Firm</w:t>
      </w:r>
    </w:p>
    <w:p>
      <w:pPr>
        <w:spacing w:after="0" w:line="5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Shares to</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be Purchased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2,704,226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422,535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253,521</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3,380,282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14605</wp:posOffset>
            </wp:positionV>
            <wp:extent cx="15005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31750</wp:posOffset>
            </wp:positionV>
            <wp:extent cx="15005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ectPr>
          <w:pgSz w:w="11900" w:h="16838" w:orient="portrait"/>
          <w:cols w:equalWidth="0" w:num="2">
            <w:col w:w="8600" w:space="720"/>
            <w:col w:w="1800"/>
          </w:cols>
          <w:pgMar w:left="320" w:top="661" w:right="459" w:bottom="1440" w:gutter="0" w:footer="0" w:header="0"/>
        </w:sectPr>
      </w:pPr>
    </w:p>
    <w:bookmarkStart w:id="34" w:name="page35"/>
    <w:bookmarkEnd w:id="34"/>
    <w:p>
      <w:pPr>
        <w:jc w:val="center"/>
        <w:ind w:right="-1120"/>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3,380,282 Firm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507,042 Option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for the Shares shall be $17.75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proceeds for the Firm Shares shall be $60,000,005.50.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to the underwriters shall be $16.685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5" w:name="page36"/>
    <w:bookmarkEnd w:id="35"/>
    <w:p>
      <w:pPr>
        <w:jc w:val="center"/>
        <w:ind w:right="-1120"/>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6" w:name="page37"/>
    <w:bookmarkEnd w:id="36"/>
    <w:p>
      <w:pPr>
        <w:jc w:val="center"/>
        <w:ind w:right="-1120"/>
        <w:spacing w:after="0"/>
        <w:rPr>
          <w:sz w:val="20"/>
          <w:szCs w:val="20"/>
          <w:color w:val="auto"/>
        </w:rPr>
      </w:pPr>
      <w:r>
        <w:rPr>
          <w:rFonts w:ascii="Arial" w:cs="Arial" w:eastAsia="Arial" w:hAnsi="Arial"/>
          <w:sz w:val="18"/>
          <w:szCs w:val="18"/>
          <w:b w:val="1"/>
          <w:bCs w:val="1"/>
          <w:u w:val="single" w:color="auto"/>
          <w:color w:val="auto"/>
        </w:rPr>
        <w:t>SCHEDULE D</w:t>
      </w:r>
    </w:p>
    <w:p>
      <w:pPr>
        <w:spacing w:after="0" w:line="225"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Officers and Directors Subject to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Martin A. Makary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Saharek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Teresa F. Sparks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Perry J. Sternberg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 Lawrence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05740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acted as special securities counsel to Harrow Health,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Registration Statement on Form S-3 (Registration No. 333-265244), including the prospectus which forms a part thereof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and the prospectus supplement dated July 18, 2023 (the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relating to the sale by the Company of 3,887,324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par value $0.001 per share (including 507,042 Shares issued upon the exercise in full of the option to purchase additional shares of the Company’s common stock granted under the Underwriting Agreement, dated July 18, 2023, by and between the Company and B. Riley Securities, Inc., as representative of the several underwriters listed on Schedule A thereto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to the Underwriters).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examined and relied upon such records, documents and other instruments as in our judgment are necessary and appropriate in order to express the opinions hereinafter set forth and have assumed the genuineness of all signatures, the legal capacity of all natural persons, the authenticity of all documents submitted to us as originals and the conformity to original documents of all documents submitted to us as certified or photostatic copies.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rendering the following opinions, we express no opinion as to the laws of any jurisdiction other than the General Corporation Law of the State of Delaware and the federal law of the United States to the extent specifically referred to herein. All opinions expressed are as of the date hereof except where expressly stated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 foregoing, we are of the opinion that the Shares, when issued and sold in the manner and on the terms described in the Prospectus, will be validly issued, fully paid and non-assessable.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hereby consent to the filing of this opinion as an exhibit to the Company’s Current Report on Form 8-K and further consent to the reference to us under the caption “Legal Matters” in the Prospectus and the Prospectus Supplement. This consent is not to be construed as an admission that we are a party whose consent is required under Section 7 of the Securities Act or the rules and regulations of the Commission promulgated thereunder.</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HOLLAND &amp; KNIGHT LLP</w:t>
      </w:r>
    </w:p>
    <w:p>
      <w:pPr>
        <w:spacing w:after="0" w:line="23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Atlanta | Austin | Birmingham | Boston | Century City | Charlotte | Chattanooga | Chicago | Dallas | Denver | Fort Lauderdale Fort Worth | Houston | Jacksonville | Los Angeles | Miami | Nashville | New York | Orange County | Orlando | Philadelphia Portland | Richmond | San Francisco | Stamford | Tallahassee | Tampa | Tysons Washington, D.C. | West Palm Beach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168910</wp:posOffset>
            </wp:positionV>
            <wp:extent cx="1543050" cy="805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Prices $60 Million Public Offering of Common Stock</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NASHVILLE, Tenn., July 19, 2023 </w:t>
      </w:r>
      <w:r>
        <w:rPr>
          <w:rFonts w:ascii="Arial" w:cs="Arial" w:eastAsia="Arial" w:hAnsi="Arial"/>
          <w:sz w:val="17"/>
          <w:szCs w:val="17"/>
          <w:color w:val="auto"/>
        </w:rPr>
        <w:t>– Harrow (Nasdaq: HROW), a leading U.S. eyecare pharmaceutical company, today announced that it priced an</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underwritten registered public offering of 3,380,282 shares of its common stock at a price of $17.75 per share for aggregate gross proceeds of $60 million. The offering is expected to close on or about July 21, 2023, subject to customary closing conditions. Harrow also announced that it had granted the underwriters a 30-day option to purchase an additional 507,042 shares of its common stock in connection with the offering.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use the net proceeds from the sale of the common stock to fund the initial amount payable for an acquisition, with the remaining net proceeds available for general corporate purposes, including funding future strategic product acquisitions and related investments, making capital expenditures, and funding working capital and other cash needs, including tax withholding obligations in connection with the settlement of outstanding equity awards vesting as a result of the achievement of stock price targets.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 Riley Securities is acting as sole book-running manager for this offering. Lake Street is acting as lead-manager and Ladenburg Thalmann &amp; Co. Inc. is acting as co-manager for this offering.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common stock in this offering is being offered by Harrow under its shelf registration statement on Form S-3, which was declared effective by the Securities and Exchange Commission (the “SEC”) on June 6, 2022. A prospectus supplement and accompanying base prospectus relating to this offering will be filed with the SEC. Copies of the prospectus supplement and the accompanying base prospectus may be obtained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contacting B. Riley Securities by phone at (703) 312-9580, or by emailing </w:t>
      </w:r>
      <w:r>
        <w:rPr>
          <w:rFonts w:ascii="Arial" w:cs="Arial" w:eastAsia="Arial" w:hAnsi="Arial"/>
          <w:sz w:val="17"/>
          <w:szCs w:val="17"/>
          <w:u w:val="single" w:color="auto"/>
          <w:color w:val="auto"/>
        </w:rPr>
        <w:t>prospectuses@brileyfin.com.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shall not constitute an offer to sell or the solicitation of an offer to buy, and shall not constitute an offer, solicitation or sale in any jurisdiction in which such offer, solicitation or sale is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Harrow Health, Inc</w:t>
      </w:r>
      <w:r>
        <w:rPr>
          <w:rFonts w:ascii="Arial" w:cs="Arial" w:eastAsia="Arial" w:hAnsi="Arial"/>
          <w:sz w:val="18"/>
          <w:szCs w:val="18"/>
          <w:color w:val="auto"/>
        </w:rPr>
        <w:t xml:space="preserve">. (Nasdaq: HROW) is a leading U.S. eyecare pharmaceutical company engaged in the discovery, development, and commercialization of innovative ophthalmic prescription therapies that are accessible and affordable. Harrow owns U.S. commercial rights to ten branded FDA-approved ophthalmic pharmaceutical products. Harrow also owns and operates ImprimisRx, a leading U.S. ophthalmic-focused pharmaceutical compounding business, which also serves as a mail-order pharmacy licensed to ship prescription medications in all 50 states. Harrow has non-controlling equity positions in </w:t>
      </w:r>
      <w:r>
        <w:rPr>
          <w:rFonts w:ascii="Arial" w:cs="Arial" w:eastAsia="Arial" w:hAnsi="Arial"/>
          <w:sz w:val="18"/>
          <w:szCs w:val="18"/>
          <w:u w:val="single" w:color="auto"/>
          <w:color w:val="auto"/>
        </w:rPr>
        <w:t>Surface Ophthalmics, Inc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Melt Pharmaceuticals, Inc</w:t>
      </w:r>
      <w:r>
        <w:rPr>
          <w:rFonts w:ascii="Arial" w:cs="Arial" w:eastAsia="Arial" w:hAnsi="Arial"/>
          <w:sz w:val="18"/>
          <w:szCs w:val="18"/>
          <w:color w:val="auto"/>
        </w:rPr>
        <w:t>., companies that began as subsidiaries of Harrow. Harrow also owns royalty rights in four late-stage drug candidates being developed by Surface and Melt.</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HROW Prices $60 Million Public Offering of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19,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forward-looking statements include, but are not limited to, statements regarding the intended use of proceeds of the common stock offering.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common stock offering will not be consummated at the expected time or at all. Additional risks and uncertainties are more fully described in Harrow’s filings with the Securities and Exchange Commission (“SEC”),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sec.gov</w:t>
      </w:r>
      <w:r>
        <w:rPr>
          <w:rFonts w:ascii="Arial" w:cs="Arial" w:eastAsia="Arial" w:hAnsi="Arial"/>
          <w:sz w:val="16"/>
          <w:szCs w:val="16"/>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299"/>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lvl w:ilvl="1">
      <w:lvlJc w:val="left"/>
      <w:lvlText w:val="(%2)"/>
      <w:numFmt w:val="lowerLetter"/>
      <w:start w:val="1"/>
    </w:lvl>
  </w:abstractNum>
  <w:abstractNum w:abstractNumId="4">
    <w:nsid w:val="628C895D"/>
    <w:multiLevelType w:val="hybridMultilevel"/>
    <w:lvl w:ilvl="0">
      <w:lvlJc w:val="left"/>
      <w:lvlText w:val="(%1)"/>
      <w:numFmt w:val="lowerLetter"/>
      <w:start w:val="2"/>
    </w:lvl>
  </w:abstractNum>
  <w:abstractNum w:abstractNumId="5">
    <w:nsid w:val="333AB105"/>
    <w:multiLevelType w:val="hybridMultilevel"/>
    <w:lvl w:ilvl="0">
      <w:lvlJc w:val="left"/>
      <w:lvlText w:val="(%1)"/>
      <w:numFmt w:val="lowerLetter"/>
      <w:start w:val="3"/>
    </w:lvl>
  </w:abstractNum>
  <w:abstractNum w:abstractNumId="6">
    <w:nsid w:val="721DA317"/>
    <w:multiLevelType w:val="hybridMultilevel"/>
    <w:lvl w:ilvl="0">
      <w:lvlJc w:val="left"/>
      <w:lvlText w:val="(%1)"/>
      <w:numFmt w:val="lowerLetter"/>
      <w:start w:val="4"/>
    </w:lvl>
  </w:abstractNum>
  <w:abstractNum w:abstractNumId="7">
    <w:nsid w:val="2443A858"/>
    <w:multiLevelType w:val="hybridMultilevel"/>
    <w:lvl w:ilvl="0">
      <w:lvlJc w:val="left"/>
      <w:lvlText w:val="(%1)"/>
      <w:numFmt w:val="lowerLetter"/>
      <w:start w:val="8"/>
    </w:lvl>
  </w:abstractNum>
  <w:abstractNum w:abstractNumId="8">
    <w:nsid w:val="2D1D5AE9"/>
    <w:multiLevelType w:val="hybridMultilevel"/>
    <w:lvl w:ilvl="0">
      <w:lvlJc w:val="left"/>
      <w:lvlText w:val="(%1)"/>
      <w:numFmt w:val="lowerLetter"/>
      <w:start w:val="16"/>
    </w:lvl>
  </w:abstractNum>
  <w:abstractNum w:abstractNumId="9">
    <w:nsid w:val="6763845E"/>
    <w:multiLevelType w:val="hybridMultilevel"/>
    <w:lvl w:ilvl="0">
      <w:lvlJc w:val="left"/>
      <w:lvlText w:val="(%1)"/>
      <w:numFmt w:val="lowerLetter"/>
      <w:start w:val="21"/>
    </w:lvl>
  </w:abstractNum>
  <w:abstractNum w:abstractNumId="10">
    <w:nsid w:val="75A2A8D4"/>
    <w:multiLevelType w:val="hybridMultilevel"/>
    <w:lvl w:ilvl="0">
      <w:lvlJc w:val="left"/>
      <w:lvlText w:val="(%1)"/>
      <w:numFmt w:val="lowerLetter"/>
      <w:start w:val="27"/>
    </w:lvl>
  </w:abstractNum>
  <w:abstractNum w:abstractNumId="11">
    <w:nsid w:val="8EDBDAB"/>
    <w:multiLevelType w:val="hybridMultilevel"/>
    <w:lvl w:ilvl="0">
      <w:lvlJc w:val="left"/>
      <w:lvlText w:val="(%1)"/>
      <w:numFmt w:val="lowerLetter"/>
      <w:start w:val="29"/>
    </w:lvl>
  </w:abstractNum>
  <w:abstractNum w:abstractNumId="12">
    <w:nsid w:val="79838CB2"/>
    <w:multiLevelType w:val="hybridMultilevel"/>
    <w:lvl w:ilvl="0">
      <w:lvlJc w:val="left"/>
      <w:lvlText w:val="(%1)"/>
      <w:numFmt w:val="lowerLetter"/>
      <w:start w:val="30"/>
    </w:lvl>
  </w:abstractNum>
  <w:abstractNum w:abstractNumId="13">
    <w:nsid w:val="4353D0CD"/>
    <w:multiLevelType w:val="hybridMultilevel"/>
    <w:lvl w:ilvl="0">
      <w:lvlJc w:val="left"/>
      <w:lvlText w:val="(%1)"/>
      <w:numFmt w:val="lowerLetter"/>
      <w:start w:val="33"/>
    </w:lvl>
  </w:abstractNum>
  <w:abstractNum w:abstractNumId="14">
    <w:nsid w:val="B03E0C6"/>
    <w:multiLevelType w:val="hybridMultilevel"/>
    <w:lvl w:ilvl="0">
      <w:lvlJc w:val="left"/>
      <w:lvlText w:val="(%1)"/>
      <w:numFmt w:val="lowerLetter"/>
      <w:start w:val="39"/>
    </w:lvl>
  </w:abstractNum>
  <w:abstractNum w:abstractNumId="15">
    <w:nsid w:val="189A769B"/>
    <w:multiLevelType w:val="hybridMultilevel"/>
    <w:lvl w:ilvl="0">
      <w:lvlJc w:val="left"/>
      <w:lvlText w:val="%1"/>
      <w:numFmt w:val="decimal"/>
      <w:start w:val="1"/>
    </w:lvl>
    <w:lvl w:ilvl="1">
      <w:lvlJc w:val="left"/>
      <w:lvlText w:val="(%2)"/>
      <w:numFmt w:val="lowerLetter"/>
      <w:start w:val="48"/>
    </w:lvl>
  </w:abstractNum>
  <w:abstractNum w:abstractNumId="16">
    <w:nsid w:val="54E49EB4"/>
    <w:multiLevelType w:val="hybridMultilevel"/>
    <w:lvl w:ilvl="0">
      <w:lvlJc w:val="left"/>
      <w:lvlText w:val="%1."/>
      <w:numFmt w:val="decimal"/>
      <w:start w:val="3"/>
    </w:lvl>
    <w:lvl w:ilvl="1">
      <w:lvlJc w:val="left"/>
      <w:lvlText w:val="(%2)"/>
      <w:numFmt w:val="lowerLetter"/>
      <w:start w:val="1"/>
    </w:lvl>
  </w:abstractNum>
  <w:abstractNum w:abstractNumId="17">
    <w:nsid w:val="71F32454"/>
    <w:multiLevelType w:val="hybridMultilevel"/>
    <w:lvl w:ilvl="0">
      <w:lvlJc w:val="left"/>
      <w:lvlText w:val="%1"/>
      <w:numFmt w:val="decimal"/>
      <w:start w:val="1"/>
    </w:lvl>
    <w:lvl w:ilvl="1">
      <w:lvlJc w:val="left"/>
      <w:lvlText w:val="(%2)"/>
      <w:numFmt w:val="lowerLetter"/>
      <w:start w:val="3"/>
    </w:lvl>
  </w:abstractNum>
  <w:abstractNum w:abstractNumId="18">
    <w:nsid w:val="2CA88611"/>
    <w:multiLevelType w:val="hybridMultilevel"/>
    <w:lvl w:ilvl="0">
      <w:lvlJc w:val="left"/>
      <w:lvlText w:val="%1."/>
      <w:numFmt w:val="decimal"/>
      <w:start w:val="4"/>
    </w:lvl>
    <w:lvl w:ilvl="1">
      <w:lvlJc w:val="left"/>
      <w:lvlText w:val="%2"/>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3"/>
    </w:lvl>
  </w:abstractNum>
  <w:abstractNum w:abstractNumId="21">
    <w:nsid w:val="3A95F874"/>
    <w:multiLevelType w:val="hybridMultilevel"/>
    <w:lvl w:ilvl="0">
      <w:lvlJc w:val="left"/>
      <w:lvlText w:val="(%1)"/>
      <w:numFmt w:val="lowerLetter"/>
      <w:start w:val="8"/>
    </w:lvl>
  </w:abstractNum>
  <w:abstractNum w:abstractNumId="22">
    <w:nsid w:val="8138641"/>
    <w:multiLevelType w:val="hybridMultilevel"/>
    <w:lvl w:ilvl="0">
      <w:lvlJc w:val="left"/>
      <w:lvlText w:val="%1."/>
      <w:numFmt w:val="decimal"/>
      <w:start w:val="5"/>
    </w:lvl>
  </w:abstractNum>
  <w:abstractNum w:abstractNumId="23">
    <w:nsid w:val="1E7FF521"/>
    <w:multiLevelType w:val="hybridMultilevel"/>
    <w:lvl w:ilvl="0">
      <w:lvlJc w:val="left"/>
      <w:lvlText w:val="%1."/>
      <w:numFmt w:val="decimal"/>
      <w:start w:val="6"/>
    </w:lvl>
    <w:lvl w:ilvl="1">
      <w:lvlJc w:val="left"/>
      <w:lvlText w:val="(%2)"/>
      <w:numFmt w:val="lowerLetter"/>
      <w:start w:val="1"/>
    </w:lvl>
  </w:abstractNum>
  <w:abstractNum w:abstractNumId="24">
    <w:nsid w:val="7C3DBD3D"/>
    <w:multiLevelType w:val="hybridMultilevel"/>
    <w:lvl w:ilvl="0">
      <w:lvlJc w:val="left"/>
      <w:lvlText w:val="%1"/>
      <w:numFmt w:val="lowerLetter"/>
      <w:start w:val="1"/>
    </w:lvl>
    <w:lvl w:ilvl="1">
      <w:lvlJc w:val="left"/>
      <w:lvlText w:val="(%2)"/>
      <w:numFmt w:val="lowerLetter"/>
      <w:start w:val="2"/>
    </w:lvl>
  </w:abstractNum>
  <w:abstractNum w:abstractNumId="25">
    <w:nsid w:val="737B8DDC"/>
    <w:multiLevelType w:val="hybridMultilevel"/>
    <w:lvl w:ilvl="0">
      <w:lvlJc w:val="left"/>
      <w:lvlText w:val="(%1)"/>
      <w:numFmt w:val="lowerLetter"/>
      <w:start w:val="35"/>
    </w:lvl>
    <w:lvl w:ilvl="1">
      <w:lvlJc w:val="left"/>
      <w:lvlText w:val="(%2)"/>
      <w:numFmt w:val="lowerLetter"/>
      <w:start w:val="4"/>
    </w:lvl>
  </w:abstractNum>
  <w:abstractNum w:abstractNumId="26">
    <w:nsid w:val="6CEAF087"/>
    <w:multiLevelType w:val="hybridMultilevel"/>
    <w:lvl w:ilvl="0">
      <w:lvlJc w:val="left"/>
      <w:lvlText w:val="(%1)"/>
      <w:numFmt w:val="lowerLetter"/>
      <w:start w:val="6"/>
    </w:lvl>
  </w:abstractNum>
  <w:abstractNum w:abstractNumId="27">
    <w:nsid w:val="22221A70"/>
    <w:multiLevelType w:val="hybridMultilevel"/>
    <w:lvl w:ilvl="0">
      <w:lvlJc w:val="left"/>
      <w:lvlText w:val="(%1)"/>
      <w:numFmt w:val="lowerLetter"/>
      <w:start w:val="11"/>
    </w:lvl>
  </w:abstractNum>
  <w:abstractNum w:abstractNumId="28">
    <w:nsid w:val="4516DDE9"/>
    <w:multiLevelType w:val="hybridMultilevel"/>
    <w:lvl w:ilvl="0">
      <w:lvlJc w:val="left"/>
      <w:lvlText w:val="%1."/>
      <w:numFmt w:val="decimal"/>
      <w:start w:val="7"/>
    </w:lvl>
  </w:abstractNum>
  <w:abstractNum w:abstractNumId="29">
    <w:nsid w:val="3006C83E"/>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30">
    <w:nsid w:val="614FD4A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lowerLetter"/>
      <w:start w:val="3"/>
    </w:lvl>
  </w:abstractNum>
  <w:abstractNum w:abstractNumId="33">
    <w:nsid w:val="440BADFC"/>
    <w:multiLevelType w:val="hybridMultilevel"/>
    <w:lvl w:ilvl="0">
      <w:lvlJc w:val="left"/>
      <w:lvlText w:val="(%1)"/>
      <w:numFmt w:val="lowerLetter"/>
      <w:start w:val="4"/>
    </w:lvl>
  </w:abstractNum>
  <w:abstractNum w:abstractNumId="34">
    <w:nsid w:val="5072367"/>
    <w:multiLevelType w:val="hybridMultilevel"/>
    <w:lvl w:ilvl="0">
      <w:lvlJc w:val="left"/>
      <w:lvlText w:val="%1."/>
      <w:numFmt w:val="decimal"/>
      <w:start w:val="9"/>
    </w:lvl>
    <w:lvl w:ilvl="1">
      <w:lvlJc w:val="left"/>
      <w:lvlText w:val="(%2)"/>
      <w:numFmt w:val="lowerLetter"/>
      <w:start w:val="1"/>
    </w:lvl>
  </w:abstractNum>
  <w:abstractNum w:abstractNumId="35">
    <w:nsid w:val="3804823E"/>
    <w:multiLevelType w:val="hybridMultilevel"/>
    <w:lvl w:ilvl="0">
      <w:lvlJc w:val="left"/>
      <w:lvlText w:val="%1."/>
      <w:numFmt w:val="decimal"/>
      <w:start w:val="10"/>
    </w:lvl>
    <w:lvl w:ilvl="1">
      <w:lvlJc w:val="left"/>
      <w:lvlText w:val="(%2)"/>
      <w:numFmt w:val="lowerLetter"/>
      <w:start w:val="1"/>
    </w:lvl>
  </w:abstractNum>
  <w:abstractNum w:abstractNumId="36">
    <w:nsid w:val="77465F01"/>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2023-07-21T15:10:33Z</dcterms:created>
  <dcterms:modified xsi:type="dcterms:W3CDTF">2023-07-21T15:10:33Z</dcterms:modified>
</cp:coreProperties>
</file>