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7, 2013</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IMPRIMIS PHARMACEUTICALS,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880" w:type="dxa"/>
        <w:tblCellMar>
          <w:top w:w="0" w:type="dxa"/>
          <w:left w:w="0" w:type="dxa"/>
          <w:bottom w:w="0" w:type="dxa"/>
          <w:right w:w="0" w:type="dxa"/>
        </w:tblCellMar>
      </w:tblPr>
      <w:tr>
        <w:trPr>
          <w:trHeight w:val="241"/>
        </w:trPr>
        <w:tc>
          <w:tcPr>
            <w:tcW w:w="372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1"/>
              </w:rPr>
              <w:t>Delaware</w:t>
            </w:r>
          </w:p>
        </w:tc>
        <w:tc>
          <w:tcPr>
            <w:tcW w:w="16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001-35814</w:t>
            </w:r>
          </w:p>
        </w:tc>
        <w:tc>
          <w:tcPr>
            <w:tcW w:w="1000" w:type="dxa"/>
            <w:vAlign w:val="bottom"/>
          </w:tcPr>
          <w:p>
            <w:pPr>
              <w:spacing w:after="0"/>
              <w:rPr>
                <w:sz w:val="20"/>
                <w:szCs w:val="20"/>
                <w:color w:val="auto"/>
              </w:rPr>
            </w:pPr>
          </w:p>
        </w:tc>
        <w:tc>
          <w:tcPr>
            <w:tcW w:w="3360" w:type="dxa"/>
            <w:vAlign w:val="bottom"/>
            <w:gridSpan w:val="2"/>
          </w:tcPr>
          <w:p>
            <w:pPr>
              <w:jc w:val="right"/>
              <w:ind w:right="930"/>
              <w:spacing w:after="0"/>
              <w:rPr>
                <w:sz w:val="20"/>
                <w:szCs w:val="20"/>
                <w:color w:val="auto"/>
              </w:rPr>
            </w:pPr>
            <w:r>
              <w:rPr>
                <w:rFonts w:ascii="Arial" w:cs="Arial" w:eastAsia="Arial" w:hAnsi="Arial"/>
                <w:sz w:val="18"/>
                <w:szCs w:val="18"/>
                <w:b w:val="1"/>
                <w:bCs w:val="1"/>
                <w:color w:val="auto"/>
              </w:rPr>
              <w:t>45-0567010</w:t>
            </w:r>
          </w:p>
        </w:tc>
      </w:tr>
      <w:tr>
        <w:trPr>
          <w:trHeight w:val="202"/>
        </w:trPr>
        <w:tc>
          <w:tcPr>
            <w:tcW w:w="2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5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3"/>
          </w:tcPr>
          <w:p>
            <w:pPr>
              <w:jc w:val="center"/>
              <w:ind w:right="340"/>
              <w:spacing w:after="0" w:line="201" w:lineRule="exact"/>
              <w:rPr>
                <w:sz w:val="20"/>
                <w:szCs w:val="20"/>
                <w:color w:val="auto"/>
              </w:rPr>
            </w:pPr>
            <w:r>
              <w:rPr>
                <w:rFonts w:ascii="Arial" w:cs="Arial" w:eastAsia="Arial" w:hAnsi="Arial"/>
                <w:sz w:val="18"/>
                <w:szCs w:val="18"/>
                <w:color w:val="auto"/>
                <w:w w:val="92"/>
              </w:rPr>
              <w:t>(Commission File Number)</w:t>
            </w:r>
          </w:p>
        </w:tc>
        <w:tc>
          <w:tcPr>
            <w:tcW w:w="460" w:type="dxa"/>
            <w:vAlign w:val="bottom"/>
          </w:tcPr>
          <w:p>
            <w:pPr>
              <w:spacing w:after="0"/>
              <w:rPr>
                <w:sz w:val="17"/>
                <w:szCs w:val="17"/>
                <w:color w:val="auto"/>
              </w:rPr>
            </w:pPr>
          </w:p>
        </w:tc>
        <w:tc>
          <w:tcPr>
            <w:tcW w:w="29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720" w:type="dxa"/>
            <w:vAlign w:val="bottom"/>
            <w:gridSpan w:val="3"/>
          </w:tcPr>
          <w:p>
            <w:pPr>
              <w:jc w:val="center"/>
              <w:ind w:right="840"/>
              <w:spacing w:after="0"/>
              <w:rPr>
                <w:sz w:val="20"/>
                <w:szCs w:val="20"/>
                <w:color w:val="auto"/>
              </w:rPr>
            </w:pPr>
            <w:r>
              <w:rPr>
                <w:rFonts w:ascii="Arial" w:cs="Arial" w:eastAsia="Arial" w:hAnsi="Arial"/>
                <w:sz w:val="18"/>
                <w:szCs w:val="18"/>
                <w:color w:val="auto"/>
                <w:w w:val="94"/>
              </w:rPr>
              <w:t>incorporation)</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41"/>
        </w:trPr>
        <w:tc>
          <w:tcPr>
            <w:tcW w:w="372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437 South Hwy 101, Suite 209</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41"/>
        </w:trPr>
        <w:tc>
          <w:tcPr>
            <w:tcW w:w="372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9"/>
              </w:rPr>
              <w:t>Solana Beach, CA</w:t>
            </w:r>
          </w:p>
        </w:tc>
        <w:tc>
          <w:tcPr>
            <w:tcW w:w="64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2"/>
          </w:tcPr>
          <w:p>
            <w:pPr>
              <w:jc w:val="right"/>
              <w:ind w:right="1870"/>
              <w:spacing w:after="0"/>
              <w:rPr>
                <w:sz w:val="20"/>
                <w:szCs w:val="20"/>
                <w:color w:val="auto"/>
              </w:rPr>
            </w:pPr>
            <w:r>
              <w:rPr>
                <w:rFonts w:ascii="Arial" w:cs="Arial" w:eastAsia="Arial" w:hAnsi="Arial"/>
                <w:sz w:val="18"/>
                <w:szCs w:val="18"/>
                <w:b w:val="1"/>
                <w:bCs w:val="1"/>
                <w:color w:val="auto"/>
              </w:rPr>
              <w:t>92075</w:t>
            </w:r>
          </w:p>
        </w:tc>
      </w:tr>
      <w:tr>
        <w:trPr>
          <w:trHeight w:val="230"/>
        </w:trPr>
        <w:tc>
          <w:tcPr>
            <w:tcW w:w="372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(Address of principal executive offices)</w:t>
            </w:r>
          </w:p>
        </w:tc>
        <w:tc>
          <w:tcPr>
            <w:tcW w:w="6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00" w:type="dxa"/>
            <w:vAlign w:val="bottom"/>
          </w:tcPr>
          <w:p>
            <w:pPr>
              <w:jc w:val="center"/>
              <w:ind w:right="1370"/>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433-2800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492760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01"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February 7, 2013, Imprimis Pharmaceuticals, Inc. (the “Company”) entered into an Underwriting Agreement (the “Underwriting Agreement”) with MDB Capital Group, LLC, as representative of the several underwriters named therein (the “Underwriters”), providing for, among other things, the sale by the Company and the purchase by the Underwriters of 1,840,000 shares of the Company’s common stock, and up to an additional 276,000 shares of common stock from the Company within 45 days from the date of the Underwriting Agreement to cover overallotments, if any. The shares of common stock were offered to the public at a price of $5.25 per share. The offering is expected to close on or about February 13, 2013, subject to the satisfaction of customary closing conditions. The net proceeds to the Company from this offering are expected to be approximately $8.13 million after deducting underwriting discounts and commissions and other estimated offering expenses payable by the Company.</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were registered for offer and sold pursuant to an effective Registration Statement on Form S-1 (File No. 333-182846) and a related prospectus and prospectus supplement filed with the Securities and Exchange Commission.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7, 2013, the Company issued a press release announcing the pricing of the offering. A copy of the press release is attached as Exhibit 99.1 hereto.</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foregoing description of the Underwriting Agreement does not purport to be complete and is qualified in its entirety by reference to the exhibit hereto.</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contemplated by the Underwriting Agreement, at the closing of the offering the Underwriters will receive warrants (the “Warrants”) to purchase 8.5% of the number of shares sold in the offering (including 8.5% of any shares sold pursuant to their over-allotment option). The Warrants will be exercisable at $5.25 per share (100% of the price of the common stock sold in this offering), commencing on the effective date of the offering and expiring five years from the effective date of the offering. The Warrants and the shares of the Company’s common stock underlying the Warrants have not been registered under the Securities Act of 1933 (the “Securities Act”) and have been issued in reliance on an exemption from the registration requirements of the Securities Act afforded by Section 4(2) thereof. The Warrants and the shares of the Company’s common stock underlying the Warrants may not be offered or sold in the United States in the absence of an effective registration statement or exemption from applicable registration requirements.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7, 2013, the Company filed a Certificate of Amendment to its Certificate of Incorporation with the Secretary of State of the State of Delaware to effect a one-for-five reverse stock split of the Company’s common stock, such reverse split to become effective at 5:02 pm Eastern time on February 7, 2013. The reverse stock split had been previously approved by the Company’s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February 8, 2013, the Company's common stock began trading on The NASDAQ Capital Market on a split-adjusted basis. The Company’s common stock will trade under the symbol “IMMY.”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720" w:hanging="712"/>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tabs>
          <w:tab w:leader="none" w:pos="64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1.1</w:t>
        </w:r>
      </w:hyperlink>
      <w:r>
        <w:rPr>
          <w:rFonts w:ascii="Arial" w:cs="Arial" w:eastAsia="Arial" w:hAnsi="Arial"/>
          <w:sz w:val="18"/>
          <w:szCs w:val="18"/>
          <w:color w:val="0000EE"/>
        </w:rPr>
        <w:tab/>
      </w:r>
      <w:r>
        <w:rPr>
          <w:rFonts w:ascii="Arial" w:cs="Arial" w:eastAsia="Arial" w:hAnsi="Arial"/>
          <w:sz w:val="16"/>
          <w:szCs w:val="16"/>
          <w:color w:val="0000EE"/>
        </w:rPr>
        <w:t>Underwriting Agreement, dated February 7, 2013, by and between the Company and MDB Capital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rFonts w:ascii="Arial" w:cs="Arial" w:eastAsia="Arial" w:hAnsi="Arial"/>
          <w:sz w:val="18"/>
          <w:szCs w:val="18"/>
          <w:color w:val="0000EE"/>
        </w:rPr>
      </w:pPr>
      <w:hyperlink w:anchor="page34">
        <w:r>
          <w:rPr>
            <w:rFonts w:ascii="Arial" w:cs="Arial" w:eastAsia="Arial" w:hAnsi="Arial"/>
            <w:sz w:val="18"/>
            <w:szCs w:val="18"/>
            <w:u w:val="single" w:color="auto"/>
            <w:color w:val="0000EE"/>
          </w:rPr>
          <w:t>3.1</w:t>
        </w:r>
      </w:hyperlink>
      <w:r>
        <w:rPr>
          <w:rFonts w:ascii="Arial" w:cs="Arial" w:eastAsia="Arial" w:hAnsi="Arial"/>
          <w:sz w:val="18"/>
          <w:szCs w:val="18"/>
          <w:color w:val="0000EE"/>
        </w:rPr>
        <w:tab/>
      </w:r>
      <w:r>
        <w:rPr>
          <w:rFonts w:ascii="Arial" w:cs="Arial" w:eastAsia="Arial" w:hAnsi="Arial"/>
          <w:sz w:val="16"/>
          <w:szCs w:val="16"/>
          <w:color w:val="0000EE"/>
        </w:rPr>
        <w:t>Certificate of Amendment to Amended and Restated Certificate of Incorporation, effective on February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32" w:lineRule="exact"/>
        <w:rPr>
          <w:sz w:val="20"/>
          <w:szCs w:val="20"/>
          <w:color w:val="auto"/>
        </w:rPr>
      </w:pPr>
    </w:p>
    <w:p>
      <w:pPr>
        <w:spacing w:after="0"/>
        <w:tabs>
          <w:tab w:leader="none" w:pos="640" w:val="left"/>
        </w:tabs>
        <w:rPr>
          <w:rFonts w:ascii="Arial" w:cs="Arial" w:eastAsia="Arial" w:hAnsi="Arial"/>
          <w:sz w:val="18"/>
          <w:szCs w:val="18"/>
          <w:color w:val="0000EE"/>
        </w:rPr>
      </w:pPr>
      <w:hyperlink w:anchor="page3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February 7,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February 8, 2013</w:t>
      </w:r>
      <w:r>
        <w:rPr>
          <w:sz w:val="20"/>
          <w:szCs w:val="20"/>
          <w:color w:val="auto"/>
        </w:rPr>
        <w:tab/>
      </w:r>
      <w:r>
        <w:rPr>
          <w:rFonts w:ascii="Arial" w:cs="Arial" w:eastAsia="Arial" w:hAnsi="Arial"/>
          <w:sz w:val="17"/>
          <w:szCs w:val="17"/>
          <w:color w:val="auto"/>
        </w:rPr>
        <w:t>By: /s/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Mark L. Baum</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513"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7, 2013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MDB Capital Group,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 of the several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 hereto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MDB Capital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 Wilshire Blvd., Suite 1020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 90401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The undersigned, </w:t>
      </w:r>
      <w:r>
        <w:rPr>
          <w:rFonts w:ascii="Arial" w:cs="Arial" w:eastAsia="Arial" w:hAnsi="Arial"/>
          <w:sz w:val="18"/>
          <w:szCs w:val="18"/>
          <w:b w:val="1"/>
          <w:bCs w:val="1"/>
          <w:color w:val="auto"/>
        </w:rPr>
        <w:t>Imprimis Pharmaceuticals, Inc.</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hereby confirms its agreement with </w:t>
      </w:r>
      <w:r>
        <w:rPr>
          <w:rFonts w:ascii="Arial" w:cs="Arial" w:eastAsia="Arial" w:hAnsi="Arial"/>
          <w:sz w:val="18"/>
          <w:szCs w:val="18"/>
          <w:b w:val="1"/>
          <w:bCs w:val="1"/>
          <w:color w:val="auto"/>
        </w:rPr>
        <w:t>MDB Capital</w:t>
      </w:r>
      <w:r>
        <w:rPr>
          <w:rFonts w:ascii="Arial" w:cs="Arial" w:eastAsia="Arial" w:hAnsi="Arial"/>
          <w:sz w:val="18"/>
          <w:szCs w:val="18"/>
          <w:color w:val="auto"/>
        </w:rPr>
        <w:t xml:space="preserve"> </w:t>
      </w:r>
      <w:r>
        <w:rPr>
          <w:rFonts w:ascii="Arial" w:cs="Arial" w:eastAsia="Arial" w:hAnsi="Arial"/>
          <w:sz w:val="18"/>
          <w:szCs w:val="18"/>
          <w:b w:val="1"/>
          <w:bCs w:val="1"/>
          <w:color w:val="auto"/>
        </w:rPr>
        <w:t>Group, LLC</w:t>
      </w:r>
      <w:r>
        <w:rPr>
          <w:rFonts w:ascii="Arial" w:cs="Arial" w:eastAsia="Arial" w:hAnsi="Arial"/>
          <w:sz w:val="18"/>
          <w:szCs w:val="18"/>
          <w:color w:val="auto"/>
        </w:rPr>
        <w:t>, as representative (the “</w:t>
      </w:r>
      <w:r>
        <w:rPr>
          <w:rFonts w:ascii="Arial" w:cs="Arial" w:eastAsia="Arial" w:hAnsi="Arial"/>
          <w:sz w:val="18"/>
          <w:szCs w:val="18"/>
          <w:b w:val="1"/>
          <w:bCs w:val="1"/>
          <w:color w:val="auto"/>
        </w:rPr>
        <w:t>Representative</w:t>
      </w:r>
      <w:r>
        <w:rPr>
          <w:rFonts w:ascii="Arial" w:cs="Arial" w:eastAsia="Arial" w:hAnsi="Arial"/>
          <w:sz w:val="18"/>
          <w:szCs w:val="18"/>
          <w:color w:val="auto"/>
        </w:rPr>
        <w:t>”) and the other underwriters named in Schedule I annexed hereto (hereinafter referred to, collectively,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as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as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207" w:lineRule="exact"/>
        <w:rPr>
          <w:sz w:val="20"/>
          <w:szCs w:val="20"/>
          <w:color w:val="auto"/>
        </w:rPr>
      </w:pPr>
    </w:p>
    <w:p>
      <w:pPr>
        <w:ind w:left="660" w:right="8920" w:hanging="652"/>
        <w:spacing w:after="0" w:line="601" w:lineRule="auto"/>
        <w:tabs>
          <w:tab w:leader="none" w:pos="192" w:val="left"/>
        </w:tabs>
        <w:numPr>
          <w:ilvl w:val="0"/>
          <w:numId w:val="3"/>
        </w:numPr>
        <w:rPr>
          <w:rFonts w:ascii="Arial" w:cs="Arial" w:eastAsia="Arial" w:hAnsi="Arial"/>
          <w:sz w:val="15"/>
          <w:szCs w:val="15"/>
          <w:color w:val="auto"/>
        </w:rPr>
      </w:pPr>
      <w:r>
        <w:rPr>
          <w:rFonts w:ascii="Arial" w:cs="Arial" w:eastAsia="Arial" w:hAnsi="Arial"/>
          <w:sz w:val="15"/>
          <w:szCs w:val="15"/>
          <w:u w:val="single" w:color="auto"/>
          <w:color w:val="auto"/>
        </w:rPr>
        <w:t xml:space="preserve">Purchase and Sale of Securities. </w:t>
      </w:r>
      <w:r>
        <w:rPr>
          <w:rFonts w:ascii="Arial" w:cs="Arial" w:eastAsia="Arial" w:hAnsi="Arial"/>
          <w:sz w:val="15"/>
          <w:szCs w:val="15"/>
          <w:color w:val="auto"/>
        </w:rPr>
        <w:t>1.1 Firm Securities.</w:t>
      </w:r>
    </w:p>
    <w:p>
      <w:pPr>
        <w:ind w:left="1300"/>
        <w:spacing w:after="0"/>
        <w:rPr>
          <w:rFonts w:ascii="Arial" w:cs="Arial" w:eastAsia="Arial" w:hAnsi="Arial"/>
          <w:sz w:val="15"/>
          <w:szCs w:val="15"/>
          <w:color w:val="auto"/>
        </w:rPr>
      </w:pPr>
      <w:r>
        <w:rPr>
          <w:rFonts w:ascii="Arial" w:cs="Arial" w:eastAsia="Arial" w:hAnsi="Arial"/>
          <w:sz w:val="18"/>
          <w:szCs w:val="18"/>
          <w:color w:val="auto"/>
        </w:rPr>
        <w:t>1.1.1 Nature and Purchase of Firm Securities.</w:t>
      </w:r>
    </w:p>
    <w:p>
      <w:pPr>
        <w:spacing w:after="0" w:line="225" w:lineRule="exact"/>
        <w:rPr>
          <w:rFonts w:ascii="Arial" w:cs="Arial" w:eastAsia="Arial" w:hAnsi="Arial"/>
          <w:sz w:val="15"/>
          <w:szCs w:val="15"/>
          <w:color w:val="auto"/>
        </w:rPr>
      </w:pPr>
    </w:p>
    <w:p>
      <w:pPr>
        <w:jc w:val="both"/>
        <w:ind w:firstLine="1953"/>
        <w:spacing w:after="0" w:line="264" w:lineRule="auto"/>
        <w:tabs>
          <w:tab w:leader="none" w:pos="2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On the basis of the representations and warranties herein contained, but subject to the terms and conditions herein set forth, the Company agrees to issue and sell to the Underwriters, an aggregate of 1,840,000 shares (the “</w:t>
      </w:r>
      <w:r>
        <w:rPr>
          <w:rFonts w:ascii="Arial" w:cs="Arial" w:eastAsia="Arial" w:hAnsi="Arial"/>
          <w:sz w:val="18"/>
          <w:szCs w:val="18"/>
          <w:b w:val="1"/>
          <w:bCs w:val="1"/>
          <w:color w:val="auto"/>
        </w:rPr>
        <w:t>Firm Shares</w:t>
      </w:r>
      <w:r>
        <w:rPr>
          <w:rFonts w:ascii="Arial" w:cs="Arial" w:eastAsia="Arial" w:hAnsi="Arial"/>
          <w:sz w:val="18"/>
          <w:szCs w:val="18"/>
          <w:color w:val="auto"/>
        </w:rPr>
        <w:t>”) of common stock of the Company, par value $0.001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firstLine="1953"/>
        <w:spacing w:after="0" w:line="264" w:lineRule="auto"/>
        <w:tabs>
          <w:tab w:leader="none" w:pos="221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Underwriters agree to purchase from the Company the Firm Shares at a purchase price (net of discounts and commissions) of $4.8037 per Share (91.5% of the per Share public offering price). The Firm Shares are to be offered initially to the public (the “</w:t>
      </w:r>
      <w:r>
        <w:rPr>
          <w:rFonts w:ascii="Arial" w:cs="Arial" w:eastAsia="Arial" w:hAnsi="Arial"/>
          <w:sz w:val="18"/>
          <w:szCs w:val="18"/>
          <w:b w:val="1"/>
          <w:bCs w:val="1"/>
          <w:color w:val="auto"/>
        </w:rPr>
        <w:t>Offering</w:t>
      </w:r>
      <w:r>
        <w:rPr>
          <w:rFonts w:ascii="Arial" w:cs="Arial" w:eastAsia="Arial" w:hAnsi="Arial"/>
          <w:sz w:val="18"/>
          <w:szCs w:val="18"/>
          <w:color w:val="auto"/>
        </w:rPr>
        <w:t>”) at the offering price set forth on the cover page of the Prospectus (as defined in Section 2.1.1 hereof).</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1.1.2 Shares Payment and Delivery.</w:t>
      </w:r>
    </w:p>
    <w:p>
      <w:pPr>
        <w:spacing w:after="0" w:line="225" w:lineRule="exact"/>
        <w:rPr>
          <w:sz w:val="20"/>
          <w:szCs w:val="20"/>
          <w:color w:val="auto"/>
        </w:rPr>
      </w:pPr>
    </w:p>
    <w:p>
      <w:pPr>
        <w:jc w:val="both"/>
        <w:ind w:firstLine="1953"/>
        <w:spacing w:after="0" w:line="276" w:lineRule="auto"/>
        <w:tabs>
          <w:tab w:leader="none" w:pos="216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Delivery and payment for the Firm Shares shall be made at 10:00 a.m., Eastern time, on the third (3rd) Business Day following the date of this Agreement (the “</w:t>
      </w:r>
      <w:r>
        <w:rPr>
          <w:rFonts w:ascii="Arial" w:cs="Arial" w:eastAsia="Arial" w:hAnsi="Arial"/>
          <w:sz w:val="17"/>
          <w:szCs w:val="17"/>
          <w:b w:val="1"/>
          <w:bCs w:val="1"/>
          <w:color w:val="auto"/>
        </w:rPr>
        <w:t>Effective Date</w:t>
      </w:r>
      <w:r>
        <w:rPr>
          <w:rFonts w:ascii="Arial" w:cs="Arial" w:eastAsia="Arial" w:hAnsi="Arial"/>
          <w:sz w:val="17"/>
          <w:szCs w:val="17"/>
          <w:color w:val="auto"/>
        </w:rPr>
        <w:t>”) (or the fourth (4th) Business Day following the Effective Date, if this Agreement is executed after 4:30 p.m. Eastern Time) or at such earlier time as shall be agreed upon by the Representative and the Company at the offices of Richardson &amp; Patel, LLP, counsel to the Representative (“</w:t>
      </w:r>
      <w:r>
        <w:rPr>
          <w:rFonts w:ascii="Arial" w:cs="Arial" w:eastAsia="Arial" w:hAnsi="Arial"/>
          <w:sz w:val="17"/>
          <w:szCs w:val="17"/>
          <w:b w:val="1"/>
          <w:bCs w:val="1"/>
          <w:color w:val="auto"/>
        </w:rPr>
        <w:t>R&amp;P</w:t>
      </w:r>
      <w:r>
        <w:rPr>
          <w:rFonts w:ascii="Arial" w:cs="Arial" w:eastAsia="Arial" w:hAnsi="Arial"/>
          <w:sz w:val="17"/>
          <w:szCs w:val="17"/>
          <w:color w:val="auto"/>
        </w:rPr>
        <w:t>”), or at such other place (or remotely by facsimile or other electronic transmission) as shall be agreed upon by the Representative and the Company. The hour and date of delivery and payment for the Firm Shares is called the “</w:t>
      </w:r>
      <w:r>
        <w:rPr>
          <w:rFonts w:ascii="Arial" w:cs="Arial" w:eastAsia="Arial" w:hAnsi="Arial"/>
          <w:sz w:val="17"/>
          <w:szCs w:val="17"/>
          <w:b w:val="1"/>
          <w:bCs w:val="1"/>
          <w:color w:val="auto"/>
        </w:rPr>
        <w:t>Closing Date</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firstLine="1953"/>
        <w:spacing w:after="0" w:line="255" w:lineRule="auto"/>
        <w:tabs>
          <w:tab w:leader="none" w:pos="221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Payment for the Firm Shares shall be made on the Closing Date by wire transfer in Federal (same day) funds, payable to the order of the Company upon delivery of the certificates (in form and substance satisfactory to the Underwriters) representing the Firm Shares (or through the facilities of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for the respective accounts of the Underwriters. The Firm Shares shall be registered in such name or names and in such authorized denominations as the Representative may request in writing at least two (2) full Business Days prior to the Closing Date. The Company shall not be obligated to sell or deliver the Firm Shares except upon tender of payment by the Underwriters for all the Firm Shares. The term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legal holiday or a day on which banking institutions are authorized or obligated by law to close in New York, New York.</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1.2 Over-allotment Option.</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Option Shares</w:t>
      </w:r>
      <w:r>
        <w:rPr>
          <w:rFonts w:ascii="Arial" w:cs="Arial" w:eastAsia="Arial" w:hAnsi="Arial"/>
          <w:sz w:val="18"/>
          <w:szCs w:val="18"/>
          <w:color w:val="auto"/>
        </w:rPr>
        <w:t>. For the purposes of covering any over-allotments made by the Underwriters in connection with the distribution and sale of the Firm Shares, the Underwriters are hereby granted an option to purchase from the Company up to a total of 276,000 Shares representing fifteen percent (15%) of the Firm Shares sold in the offering (the “</w:t>
      </w:r>
      <w:r>
        <w:rPr>
          <w:rFonts w:ascii="Arial" w:cs="Arial" w:eastAsia="Arial" w:hAnsi="Arial"/>
          <w:sz w:val="18"/>
          <w:szCs w:val="18"/>
          <w:b w:val="1"/>
          <w:bCs w:val="1"/>
          <w:color w:val="auto"/>
        </w:rPr>
        <w:t>Over-allotment Option</w:t>
      </w:r>
      <w:r>
        <w:rPr>
          <w:rFonts w:ascii="Arial" w:cs="Arial" w:eastAsia="Arial" w:hAnsi="Arial"/>
          <w:sz w:val="18"/>
          <w:szCs w:val="18"/>
          <w:color w:val="auto"/>
        </w:rPr>
        <w:t>”). Such additional 276,000 Shares, the net proceeds of which will be deposited with the Company’s account, are hereinafter referred to as “</w:t>
      </w:r>
      <w:r>
        <w:rPr>
          <w:rFonts w:ascii="Arial" w:cs="Arial" w:eastAsia="Arial" w:hAnsi="Arial"/>
          <w:sz w:val="18"/>
          <w:szCs w:val="18"/>
          <w:b w:val="1"/>
          <w:bCs w:val="1"/>
          <w:color w:val="auto"/>
        </w:rPr>
        <w:t>Option Shares</w:t>
      </w:r>
      <w:r>
        <w:rPr>
          <w:rFonts w:ascii="Arial" w:cs="Arial" w:eastAsia="Arial" w:hAnsi="Arial"/>
          <w:sz w:val="18"/>
          <w:szCs w:val="18"/>
          <w:color w:val="auto"/>
        </w:rPr>
        <w:t>.” The purchase price to be paid for the Option Shares will be the same price per Option Share as the price per Firm Share set forth in Section 1.1.1 hereof. The Firm Shares and the Option Shares are hereinafter referred to collectively as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19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Exercise of Option</w:t>
      </w:r>
      <w:r>
        <w:rPr>
          <w:rFonts w:ascii="Arial" w:cs="Arial" w:eastAsia="Arial" w:hAnsi="Arial"/>
          <w:sz w:val="17"/>
          <w:szCs w:val="17"/>
          <w:color w:val="auto"/>
        </w:rPr>
        <w:t>. The Over-allotment Option granted pursuant to Section 1.2.1 hereof may be exercised by the Representative as to all (at any time) or any part (from time to time) of the Option Shares within 45 days after the Effective Date. The Underwriters will not be under any obligation to purchase any Option Shares prior to the exercise of the Over-allotment Option. The Over-allotment Option granted hereby may be exercised by the giving of oral notice to the Company from the Representative, which must be confirmed in writing by overnight mail or facsimile or other electronic transmission setting forth the number of Option Shares to be purchased and the date and time for delivery of and payment for the Option Shares (the “</w:t>
      </w:r>
      <w:r>
        <w:rPr>
          <w:rFonts w:ascii="Arial" w:cs="Arial" w:eastAsia="Arial" w:hAnsi="Arial"/>
          <w:sz w:val="17"/>
          <w:szCs w:val="17"/>
          <w:b w:val="1"/>
          <w:bCs w:val="1"/>
          <w:color w:val="auto"/>
        </w:rPr>
        <w:t>Option</w:t>
      </w:r>
      <w:r>
        <w:rPr>
          <w:rFonts w:ascii="Arial" w:cs="Arial" w:eastAsia="Arial" w:hAnsi="Arial"/>
          <w:sz w:val="17"/>
          <w:szCs w:val="17"/>
          <w:color w:val="auto"/>
        </w:rPr>
        <w:t xml:space="preserve"> </w:t>
      </w:r>
      <w:r>
        <w:rPr>
          <w:rFonts w:ascii="Arial" w:cs="Arial" w:eastAsia="Arial" w:hAnsi="Arial"/>
          <w:sz w:val="17"/>
          <w:szCs w:val="17"/>
          <w:b w:val="1"/>
          <w:bCs w:val="1"/>
          <w:color w:val="auto"/>
        </w:rPr>
        <w:t>Closing Date</w:t>
      </w:r>
      <w:r>
        <w:rPr>
          <w:rFonts w:ascii="Arial" w:cs="Arial" w:eastAsia="Arial" w:hAnsi="Arial"/>
          <w:sz w:val="17"/>
          <w:szCs w:val="17"/>
          <w:color w:val="auto"/>
        </w:rPr>
        <w:t>”), which will not be later than five (5) full Business Days after the date of the notice or such other time as shall be agreed upon by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Representative, at the offices of R&amp;P or at such other place (including remotely by facsimile or other electronic transmission) as shall be agreed upon by the Company and the Representative. The Option Closing Date will be as set forth in the notice. Upon exercise of the Over-allotment Option and subject to the terms and conditions set forth herein, the Company will become obligated to convey to the Underwriters, and the Underwriters will become obligated to purchase, the number of Option Shares specified in such notice.</w:t>
      </w:r>
    </w:p>
    <w:p>
      <w:pPr>
        <w:spacing w:after="0" w:line="17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u w:val="single" w:color="auto"/>
          <w:color w:val="auto"/>
        </w:rPr>
        <w:t>Payment and Delivery</w:t>
      </w:r>
      <w:r>
        <w:rPr>
          <w:rFonts w:ascii="Arial" w:cs="Arial" w:eastAsia="Arial" w:hAnsi="Arial"/>
          <w:sz w:val="18"/>
          <w:szCs w:val="18"/>
          <w:color w:val="auto"/>
        </w:rPr>
        <w:t>. Payment for the Option Shares will be made on the Option Closing Date by wire transfer in Federal (same day) funds as follows: $4.8037 per Option Share (91.5% of the per Option Share offering price), payable to the order of the Company upon delivery of certificates (in form and substance satisfactory to the Representative) representing the Option Shares (or through the facilities of DTC) for the account of the Underwriters. The Option Shares shall be registered in such name or names and in such authorized denominations as the Representative may request in writing at least two (2) full Business Days prior to the Option Closing Date. The Company shall not be obligated to sell or deliver the Option Shares except upon tender of payment by the Underwriters for applicable Option Shares.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Underwriters’ Warrants</w:t>
      </w:r>
      <w:r>
        <w:rPr>
          <w:rFonts w:ascii="Arial" w:cs="Arial" w:eastAsia="Arial" w:hAnsi="Arial"/>
          <w:sz w:val="17"/>
          <w:szCs w:val="17"/>
          <w:color w:val="auto"/>
        </w:rPr>
        <w:t>. The Company hereby agrees to issue and sell to the Representative on the Closing Date warrants to purchase that number of shares of Common Stock equal to an aggregate of 8.5% of the amount of Securities sold in the Offering, including all Option Shares but excluding any warrants issued in the Offering (the “</w:t>
      </w:r>
      <w:r>
        <w:rPr>
          <w:rFonts w:ascii="Arial" w:cs="Arial" w:eastAsia="Arial" w:hAnsi="Arial"/>
          <w:sz w:val="17"/>
          <w:szCs w:val="17"/>
          <w:b w:val="1"/>
          <w:bCs w:val="1"/>
          <w:color w:val="auto"/>
        </w:rPr>
        <w:t>Underwriters’ Warrants</w:t>
      </w:r>
      <w:r>
        <w:rPr>
          <w:rFonts w:ascii="Arial" w:cs="Arial" w:eastAsia="Arial" w:hAnsi="Arial"/>
          <w:sz w:val="17"/>
          <w:szCs w:val="17"/>
          <w:color w:val="auto"/>
        </w:rPr>
        <w:t xml:space="preserve">”). The Underwriters’ Warrants, as evidenced by the Underwriter’s Warrant in the form attached hereto as Exhibit A, shall be exercisable, in whole or in part, commencing on the Effective Date and expiring five (5) years after the Effective Date at an initial exercise price per share of Common Stock of $5.25, which is </w:t>
      </w:r>
      <w:r>
        <w:rPr>
          <w:rFonts w:ascii="Arial" w:cs="Arial" w:eastAsia="Arial" w:hAnsi="Arial"/>
          <w:sz w:val="17"/>
          <w:szCs w:val="17"/>
          <w:b w:val="1"/>
          <w:bCs w:val="1"/>
          <w:color w:val="auto"/>
        </w:rPr>
        <w:t>100</w:t>
      </w:r>
      <w:r>
        <w:rPr>
          <w:rFonts w:ascii="Arial" w:cs="Arial" w:eastAsia="Arial" w:hAnsi="Arial"/>
          <w:sz w:val="17"/>
          <w:szCs w:val="17"/>
          <w:color w:val="auto"/>
        </w:rPr>
        <w:t>% of the public offering price of the Securities. The Underwriter’s Warrants and the shares of Common Stock of the Company issuable upon exercise thereof (“</w:t>
      </w:r>
      <w:r>
        <w:rPr>
          <w:rFonts w:ascii="Arial" w:cs="Arial" w:eastAsia="Arial" w:hAnsi="Arial"/>
          <w:sz w:val="17"/>
          <w:szCs w:val="17"/>
          <w:b w:val="1"/>
          <w:bCs w:val="1"/>
          <w:color w:val="auto"/>
        </w:rPr>
        <w:t>Warrant Shares</w:t>
      </w:r>
      <w:r>
        <w:rPr>
          <w:rFonts w:ascii="Arial" w:cs="Arial" w:eastAsia="Arial" w:hAnsi="Arial"/>
          <w:sz w:val="17"/>
          <w:szCs w:val="17"/>
          <w:color w:val="auto"/>
        </w:rPr>
        <w:t>”) are sometimes referred to herein collectively as the “</w:t>
      </w:r>
      <w:r>
        <w:rPr>
          <w:rFonts w:ascii="Arial" w:cs="Arial" w:eastAsia="Arial" w:hAnsi="Arial"/>
          <w:sz w:val="17"/>
          <w:szCs w:val="17"/>
          <w:b w:val="1"/>
          <w:bCs w:val="1"/>
          <w:color w:val="auto"/>
        </w:rPr>
        <w:t>Warrant Securities</w:t>
      </w:r>
      <w:r>
        <w:rPr>
          <w:rFonts w:ascii="Arial" w:cs="Arial" w:eastAsia="Arial" w:hAnsi="Arial"/>
          <w:sz w:val="17"/>
          <w:szCs w:val="17"/>
          <w:color w:val="auto"/>
        </w:rPr>
        <w:t>.” The Underwriters understand and agree that there are significant restrictions pursuant to FINRA Rule 5110 against transferring the Warrant Securities and by the acceptance thereof shall agree that they will not, sell, transfer, assign, pledge or hypothecate the Warrant Securities, or any portion thereof, or be the subject of any hedging, short sale, derivative, put or call transaction that would result in the effective economic disposition of such securities other than in accordance with FINRA Rule 5110.</w:t>
      </w:r>
    </w:p>
    <w:p>
      <w:pPr>
        <w:spacing w:after="0" w:line="205" w:lineRule="exact"/>
        <w:rPr>
          <w:sz w:val="20"/>
          <w:szCs w:val="20"/>
          <w:color w:val="auto"/>
        </w:rPr>
      </w:pPr>
    </w:p>
    <w:p>
      <w:pPr>
        <w:ind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the Underwriters as of the Applicable Time (as defined below), as of the Closing Date and as of the Option Closing Date, if any, as follows: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2.1 Filing of Registration Statement.</w:t>
      </w:r>
    </w:p>
    <w:p>
      <w:pPr>
        <w:spacing w:after="0" w:line="221"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Pursuant to the Act</w:t>
      </w:r>
      <w:r>
        <w:rPr>
          <w:rFonts w:ascii="Arial" w:cs="Arial" w:eastAsia="Arial" w:hAnsi="Arial"/>
          <w:sz w:val="16"/>
          <w:szCs w:val="16"/>
          <w:color w:val="auto"/>
        </w:rPr>
        <w:t>. 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and an amendment or amendments thereto, on Form S-1 (File No. 333-182846), including any related preliminary prospectus (the preliminary prospectus that is included in the Registration Statement immediately prior to the effectiveness of the Registration Statement for the registration of the Securities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the “</w:t>
      </w:r>
      <w:r>
        <w:rPr>
          <w:rFonts w:ascii="Arial" w:cs="Arial" w:eastAsia="Arial" w:hAnsi="Arial"/>
          <w:sz w:val="16"/>
          <w:szCs w:val="16"/>
          <w:b w:val="1"/>
          <w:bCs w:val="1"/>
          <w:color w:val="auto"/>
        </w:rPr>
        <w:t>Preliminary Prospectus</w:t>
      </w:r>
      <w:r>
        <w:rPr>
          <w:rFonts w:ascii="Arial" w:cs="Arial" w:eastAsia="Arial" w:hAnsi="Arial"/>
          <w:sz w:val="16"/>
          <w:szCs w:val="16"/>
          <w:color w:val="auto"/>
        </w:rPr>
        <w:t>”), which registration statement and amendment or amendments have been prepared by the Company in conformity in all material respects with the requirements of the Act, and the rules and regulations (the “</w:t>
      </w:r>
      <w:r>
        <w:rPr>
          <w:rFonts w:ascii="Arial" w:cs="Arial" w:eastAsia="Arial" w:hAnsi="Arial"/>
          <w:sz w:val="16"/>
          <w:szCs w:val="16"/>
          <w:b w:val="1"/>
          <w:bCs w:val="1"/>
          <w:color w:val="auto"/>
        </w:rPr>
        <w:t>Regulations</w:t>
      </w:r>
      <w:r>
        <w:rPr>
          <w:rFonts w:ascii="Arial" w:cs="Arial" w:eastAsia="Arial" w:hAnsi="Arial"/>
          <w:sz w:val="16"/>
          <w:szCs w:val="16"/>
          <w:color w:val="auto"/>
        </w:rPr>
        <w:t>”) of the Commission under the Act. Except as the context may otherwise require, such registration statement, as amended, on file with the Commission at the time the registration statement becomes effective (including the Preliminary Prospectus,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form of the final prospectus dated the Effective Date 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w:t>
      </w:r>
      <w:r>
        <w:rPr>
          <w:rFonts w:ascii="Arial" w:cs="Arial" w:eastAsia="Arial" w:hAnsi="Arial"/>
          <w:sz w:val="16"/>
          <w:szCs w:val="16"/>
          <w:b w:val="1"/>
          <w:bCs w:val="1"/>
          <w:color w:val="auto"/>
        </w:rPr>
        <w:t>Prospectus</w:t>
      </w:r>
      <w:r>
        <w:rPr>
          <w:rFonts w:ascii="Arial" w:cs="Arial" w:eastAsia="Arial" w:hAnsi="Arial"/>
          <w:sz w:val="16"/>
          <w:szCs w:val="16"/>
          <w:color w:val="auto"/>
        </w:rPr>
        <w:t>.” For purposes of this Agreement, “</w:t>
      </w:r>
      <w:r>
        <w:rPr>
          <w:rFonts w:ascii="Arial" w:cs="Arial" w:eastAsia="Arial" w:hAnsi="Arial"/>
          <w:sz w:val="16"/>
          <w:szCs w:val="16"/>
          <w:b w:val="1"/>
          <w:bCs w:val="1"/>
          <w:color w:val="auto"/>
        </w:rPr>
        <w:t>Applicable Time</w:t>
      </w:r>
      <w:r>
        <w:rPr>
          <w:rFonts w:ascii="Arial" w:cs="Arial" w:eastAsia="Arial" w:hAnsi="Arial"/>
          <w:sz w:val="16"/>
          <w:szCs w:val="16"/>
          <w:color w:val="auto"/>
        </w:rPr>
        <w:t>” means 5:00 p.m., New York City time, on the date of this Agreement. Prior to the Applicable Time, the Company prepared and filed with the Commission a Preliminary Prospectus, dated February 4, 2012, for distribution by the Underwriters (the “</w:t>
      </w:r>
      <w:r>
        <w:rPr>
          <w:rFonts w:ascii="Arial" w:cs="Arial" w:eastAsia="Arial" w:hAnsi="Arial"/>
          <w:sz w:val="16"/>
          <w:szCs w:val="16"/>
          <w:b w:val="1"/>
          <w:bCs w:val="1"/>
          <w:color w:val="auto"/>
        </w:rPr>
        <w:t>Statutory Prospectus</w:t>
      </w:r>
      <w:r>
        <w:rPr>
          <w:rFonts w:ascii="Arial" w:cs="Arial" w:eastAsia="Arial" w:hAnsi="Arial"/>
          <w:sz w:val="16"/>
          <w:szCs w:val="16"/>
          <w:color w:val="auto"/>
        </w:rPr>
        <w:t>”). If the Company has filed, or is required pursuant to the terms hereof to file, a registration statement pursuant to Rule 462(b) under the Act registering the Securities (a “</w:t>
      </w:r>
      <w:r>
        <w:rPr>
          <w:rFonts w:ascii="Arial" w:cs="Arial" w:eastAsia="Arial" w:hAnsi="Arial"/>
          <w:sz w:val="16"/>
          <w:szCs w:val="16"/>
          <w:b w:val="1"/>
          <w:bCs w:val="1"/>
          <w:color w:val="auto"/>
        </w:rPr>
        <w:t>Rule 462(b) Registration Statement</w:t>
      </w:r>
      <w:r>
        <w:rPr>
          <w:rFonts w:ascii="Arial" w:cs="Arial" w:eastAsia="Arial" w:hAnsi="Arial"/>
          <w:sz w:val="16"/>
          <w:szCs w:val="16"/>
          <w:color w:val="auto"/>
        </w:rPr>
        <w:t>”), then, unless otherwise specified, any reference herein to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Securities have been registered under the Act pursuant to the Registration Statement or, if any Rule 462(b) Registration Statement is filed, will be duly registered under the Act with the filing of such Rule 462(b) Registration Statement. The Registration Statement has been declared effective by the Commission on the date hereof. If, subsequent to the date of this Agreement, the Company or the Representative have determined that at the Applicable Time the Statutory Prospectus included an untrue statement of a material fact or omitted a statement of material fact necessary to make the statements therein, in light of the circumstances under which they were made, not misleading, and have agreed to provide an opportunity to purchasers of the Securities to terminate their old purchase contracts and enter into new purchase contracts, the Statutory Prospectus will be deemed to include any additional information available to purchasers at the time of entry into the first such new purchase contract.</w:t>
      </w:r>
    </w:p>
    <w:p>
      <w:pPr>
        <w:spacing w:after="0" w:line="39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Registration under the Exchange Act and Stock Exchange Listing</w:t>
      </w:r>
      <w:r>
        <w:rPr>
          <w:rFonts w:ascii="Arial" w:cs="Arial" w:eastAsia="Arial" w:hAnsi="Arial"/>
          <w:sz w:val="18"/>
          <w:szCs w:val="18"/>
          <w:color w:val="auto"/>
        </w:rPr>
        <w:t>. The Company has filed with the Commission a Form 8-A12B (File Number 001-35814), as amended, providing for the registration under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of the Common Stock. The registration of the Securities under the Exchange Act is effective. The Common Stock is registered pursuant to Section 12(b) of the Exchange Act and is listed on the NASDAQ Capital Market (“</w:t>
      </w:r>
      <w:r>
        <w:rPr>
          <w:rFonts w:ascii="Arial" w:cs="Arial" w:eastAsia="Arial" w:hAnsi="Arial"/>
          <w:sz w:val="18"/>
          <w:szCs w:val="18"/>
          <w:b w:val="1"/>
          <w:bCs w:val="1"/>
          <w:color w:val="auto"/>
        </w:rPr>
        <w:t>NASDAQ</w:t>
      </w:r>
      <w:r>
        <w:rPr>
          <w:rFonts w:ascii="Arial" w:cs="Arial" w:eastAsia="Arial" w:hAnsi="Arial"/>
          <w:sz w:val="18"/>
          <w:szCs w:val="18"/>
          <w:color w:val="auto"/>
        </w:rPr>
        <w:t>”). The Company has taken no action designed to, or likely to have the effect of, terminating the registration of the Common Stock under the Exchange Act or delisting the Common Stock from NASDAQ, nor has the Company received any notification that the Commission or NASDAQ is contemplating terminating such registration or listing except as described in the Registration Statement and Prospectus.</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No Stop Orders, etc</w:t>
      </w:r>
      <w:r>
        <w:rPr>
          <w:rFonts w:ascii="Arial" w:cs="Arial" w:eastAsia="Arial" w:hAnsi="Arial"/>
          <w:sz w:val="18"/>
          <w:szCs w:val="18"/>
          <w:color w:val="auto"/>
        </w:rPr>
        <w:t>. Neither the Commission nor, to the Company’s knowledge, any state regulatory authority has issued any order preventing or suspending the use of the Statutory Prospectus, Prospectus or the Registration Statement or has instituted or, to the Company’s knowledge, threatened to institute any proceedings with respect to such an order.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 Disclosures in Registration Statement.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both"/>
        <w:ind w:firstLine="1297"/>
        <w:spacing w:after="0" w:line="286"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1 0b-5 Representation</w:t>
      </w:r>
      <w:r>
        <w:rPr>
          <w:rFonts w:ascii="Arial" w:cs="Arial" w:eastAsia="Arial" w:hAnsi="Arial"/>
          <w:sz w:val="16"/>
          <w:szCs w:val="16"/>
          <w:color w:val="auto"/>
        </w:rPr>
        <w:t>. At the time of effectiveness of the Registration Statement (or at the time of any post-effective amendment to the Registration Statement) and at all times subsequent thereto up to the Closing Date and the Option Closing Date, if any, the Registration Statement, any Preliminary Prospectus, the Statutory Prospectus and the Prospectus contained or will contain all material statements that are required to be stated therein in accordance with the Act and the Regulations, and did or will, in all material respects, conform to the requirements of the Act and the Regulations. On the Effective Date, the Registration Statement did not contain any untrue statement of a material fact or omit to state a material fact required to be stated therein or necessary to make the statements therein not misleading. As of its date, the Closing Date and the Option Closing Date, if any, the Prospectus (together with any supplement thereto) did not and will not include any untrue statement of a material fact or omit to state a material fact necessary in order to make the statements therein, in the light of the circumstances under which they were made, not misleading. At the Applicable Time, the Statutory Prospectus did not include any untrue statement of a material fact or omit to state a material fact necessary in order to make the statements therein, in light of the circumstances under which they were made, not misleading. The representations and warranties made in this Section 2.3.1 do not apply to statements made or statements omitted in reliance upon and in strict conformity with written information furnished to the Company with respect to the Underwriters by the Underwriters expressly for use in the Registration Statement, any Preliminary Prospectus, the Statutory Prospectus or Prospectus or any amendment thereof or supplement thereto, which information, it is agreed, shall consist solely of (i) the name and address of the Underwriters, (ii) the second and fifth paragraphs under “Underwriting,” and (iii) the statements in “Underwriting—Determination of Offering Price,” “Passive Market Making,” “Electronic Distribution,” “United Kingdom,” and “European Economic Area,” and “Underwriting—Stabilization, Short Positions and Penalty Bids” (“</w:t>
      </w:r>
      <w:r>
        <w:rPr>
          <w:rFonts w:ascii="Arial" w:cs="Arial" w:eastAsia="Arial" w:hAnsi="Arial"/>
          <w:sz w:val="16"/>
          <w:szCs w:val="16"/>
          <w:b w:val="1"/>
          <w:bCs w:val="1"/>
          <w:color w:val="auto"/>
        </w:rPr>
        <w:t>Underwriter Information</w:t>
      </w:r>
      <w:r>
        <w:rPr>
          <w:rFonts w:ascii="Arial" w:cs="Arial" w:eastAsia="Arial" w:hAnsi="Arial"/>
          <w:sz w:val="16"/>
          <w:szCs w:val="16"/>
          <w:color w:val="auto"/>
        </w:rPr>
        <w:t>”).</w:t>
      </w:r>
    </w:p>
    <w:p>
      <w:pPr>
        <w:spacing w:after="0" w:line="169"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Disclosure of Agreements</w:t>
      </w:r>
      <w:r>
        <w:rPr>
          <w:rFonts w:ascii="Arial" w:cs="Arial" w:eastAsia="Arial" w:hAnsi="Arial"/>
          <w:sz w:val="17"/>
          <w:szCs w:val="17"/>
          <w:color w:val="auto"/>
        </w:rPr>
        <w:t>. The agreements and documents described in the Registration Statement, any Preliminary Prospectus, the Statutory Prospectus and the Prospectus conform to the descriptions thereof contained therein in all material respects and there are no agreements or other documents required to be described in the Registration Statement, any Preliminary Prospectus, the Statutory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any Preliminary Prospectus, the Statutory Prospectus or the Prospectus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22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u w:val="single" w:color="auto"/>
          <w:color w:val="auto"/>
        </w:rPr>
        <w:t>Prior Securities Transactions</w:t>
      </w:r>
      <w:r>
        <w:rPr>
          <w:rFonts w:ascii="Arial" w:cs="Arial" w:eastAsia="Arial" w:hAnsi="Arial"/>
          <w:sz w:val="17"/>
          <w:szCs w:val="17"/>
          <w:color w:val="auto"/>
        </w:rPr>
        <w:t>. To the knowledge of the Company,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 any Preliminary Prospectus, the Statutory Prospectus and the Prospectus.</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2.3.4 </w:t>
      </w:r>
      <w:r>
        <w:rPr>
          <w:rFonts w:ascii="Arial" w:cs="Arial" w:eastAsia="Arial" w:hAnsi="Arial"/>
          <w:sz w:val="18"/>
          <w:szCs w:val="18"/>
          <w:u w:val="single" w:color="auto"/>
          <w:color w:val="auto"/>
        </w:rPr>
        <w:t>Regulations</w:t>
      </w:r>
      <w:r>
        <w:rPr>
          <w:rFonts w:ascii="Arial" w:cs="Arial" w:eastAsia="Arial" w:hAnsi="Arial"/>
          <w:sz w:val="18"/>
          <w:szCs w:val="18"/>
          <w:color w:val="auto"/>
        </w:rPr>
        <w:t>. The disclosures in the Registration Statement, any Preliminary Prospectus, the Statutory Prospectus and the Prospectus concerning the effects of Federal, state and local regulation on the Company’s business as currently contemplated fairly summarize, to the best of the Company’s knowledge, such effects in all material respects and do not omit to state a material fact necessary to make the statements therein, in light of the circumstances in which they were made, not misleading.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ind w:left="660"/>
        <w:spacing w:after="0"/>
        <w:rPr>
          <w:sz w:val="20"/>
          <w:szCs w:val="20"/>
          <w:color w:val="auto"/>
        </w:rPr>
      </w:pPr>
      <w:r>
        <w:rPr>
          <w:rFonts w:ascii="Arial" w:cs="Arial" w:eastAsia="Arial" w:hAnsi="Arial"/>
          <w:sz w:val="18"/>
          <w:szCs w:val="18"/>
          <w:color w:val="auto"/>
        </w:rPr>
        <w:t>2.4 Changes After Dates in Registration Statement.</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No Material Adverse Change</w:t>
      </w:r>
      <w:r>
        <w:rPr>
          <w:rFonts w:ascii="Arial" w:cs="Arial" w:eastAsia="Arial" w:hAnsi="Arial"/>
          <w:sz w:val="18"/>
          <w:szCs w:val="18"/>
          <w:color w:val="auto"/>
        </w:rPr>
        <w:t>. Since the respective dates as of which information is given in the Registration Statement, any Preliminary Prospectus, the Statutory Prospectus and the Prospectus, except as otherwise specifically stated therein: (i) there has been no material adverse change in the condition, financial or otherwise, or business prospects of the Company (a “</w:t>
      </w:r>
      <w:r>
        <w:rPr>
          <w:rFonts w:ascii="Arial" w:cs="Arial" w:eastAsia="Arial" w:hAnsi="Arial"/>
          <w:sz w:val="18"/>
          <w:szCs w:val="18"/>
          <w:b w:val="1"/>
          <w:bCs w:val="1"/>
          <w:color w:val="auto"/>
        </w:rPr>
        <w:t>Material Adverse Effect</w:t>
      </w:r>
      <w:r>
        <w:rPr>
          <w:rFonts w:ascii="Arial" w:cs="Arial" w:eastAsia="Arial" w:hAnsi="Arial"/>
          <w:sz w:val="18"/>
          <w:szCs w:val="18"/>
          <w:color w:val="auto"/>
        </w:rPr>
        <w:t>”); (ii) there have been no material transactions entered into by the Company, other than as contemplated pursuant to this Agreement; and (iii) no member of the Company’s board of directors or management has resigned from any position with the Company.</w:t>
      </w:r>
    </w:p>
    <w:p>
      <w:pPr>
        <w:spacing w:after="0" w:line="188"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2.4.2 </w:t>
      </w:r>
      <w:r>
        <w:rPr>
          <w:rFonts w:ascii="Arial" w:cs="Arial" w:eastAsia="Arial" w:hAnsi="Arial"/>
          <w:sz w:val="17"/>
          <w:szCs w:val="17"/>
          <w:u w:val="single" w:color="auto"/>
          <w:color w:val="auto"/>
        </w:rPr>
        <w:t>Recent Securities Transactions, etc</w:t>
      </w:r>
      <w:r>
        <w:rPr>
          <w:rFonts w:ascii="Arial" w:cs="Arial" w:eastAsia="Arial" w:hAnsi="Arial"/>
          <w:sz w:val="17"/>
          <w:szCs w:val="17"/>
          <w:color w:val="auto"/>
        </w:rPr>
        <w:t>. Subsequent to the respective dates as of which information is given in the Registration Statement, any Preliminary Prospectus, the Statutory Prospectus and the Prospectus, and except as may otherwise be indicated or contemplated herein or therein, the Company has not: (i) issued any securities(other than shares of Common Stock that may be issued upon conversion of the Company’s outstanding indebtedness) or incurred any material liability or obligation, direct or contingent, for borrowed money other than trade payables incurred in the ordinary course of business; or (ii) declared or paid any dividend or made any other distribution on or in respect to its capital stock.</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Independent Accountants</w:t>
      </w:r>
      <w:r>
        <w:rPr>
          <w:rFonts w:ascii="Arial" w:cs="Arial" w:eastAsia="Arial" w:hAnsi="Arial"/>
          <w:sz w:val="17"/>
          <w:szCs w:val="17"/>
          <w:color w:val="auto"/>
        </w:rPr>
        <w:t>. To the knowledge of the Company, KMJ Corbin &amp; Company (“</w:t>
      </w:r>
      <w:r>
        <w:rPr>
          <w:rFonts w:ascii="Arial" w:cs="Arial" w:eastAsia="Arial" w:hAnsi="Arial"/>
          <w:sz w:val="17"/>
          <w:szCs w:val="17"/>
          <w:b w:val="1"/>
          <w:bCs w:val="1"/>
          <w:color w:val="auto"/>
        </w:rPr>
        <w:t>KMJ</w:t>
      </w:r>
      <w:r>
        <w:rPr>
          <w:rFonts w:ascii="Arial" w:cs="Arial" w:eastAsia="Arial" w:hAnsi="Arial"/>
          <w:sz w:val="17"/>
          <w:szCs w:val="17"/>
          <w:color w:val="auto"/>
        </w:rPr>
        <w:t>”), whose report is filed with the Commission as part of the Registration Statement, any Preliminary Prospectus, the Statutory Prospectus and the Prospectus, are independent registered public accountants as required by the Act and the Regulations, and are registered with and in good standing with the PCAOB. KMJ has not, during the periods covered by the financial statements included in the Registration Statement, any Preliminary Prospectus, the Statutory Prospectus and the Prospectus, provided to the Company any non-audit services, as such term is used in Section 10A(g) of the Exchange Act.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2.6 Financial Statements, Statistical Data.</w:t>
      </w:r>
    </w:p>
    <w:p>
      <w:pPr>
        <w:spacing w:after="0" w:line="22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2.6.1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including the notes thereto, included in the Registration Statement, any Preliminary Prospectus, the Statutory Prospectus and the Prospectus fairly present the financial position and the results of operations of the Company at the dates and for the periods to which they apply; and such financial statements have been prepared in conformity with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consistently applied throughout the periods involved. The Registration Statement, any Preliminary Prospectus, the Statutory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Registration Statement, any Preliminary Prospectus, the Statutory Prospectus and the Prospectus, (a) the Company has not incurred any material liabilities or obligations, direct or contingent, or entered into any material transactions, other than in the ordinary course of business, (b) the Company has not declared or paid any dividends or made any distribution of any kind with respect to its capital stock; (c) there has not been any material change in the capital stock of the Company or any material grants under any stock compensation plan and, (d) there has not been any material adverse change in the Company’s long-term or short-term debt.</w:t>
      </w:r>
    </w:p>
    <w:p>
      <w:pPr>
        <w:spacing w:after="0" w:line="20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u w:val="single" w:color="auto"/>
          <w:color w:val="auto"/>
        </w:rPr>
        <w:t>Statistical Data</w:t>
      </w:r>
      <w:r>
        <w:rPr>
          <w:rFonts w:ascii="Arial" w:cs="Arial" w:eastAsia="Arial" w:hAnsi="Arial"/>
          <w:sz w:val="18"/>
          <w:szCs w:val="18"/>
          <w:color w:val="auto"/>
        </w:rPr>
        <w:t>. The statistical, industry-related and market-related data included in the Registration Statement, any Preliminary Prospectus, the Statutory Prospectus and the Prospectus are based on or derived from sources which the Company reasonably and in good faith believes are reliable and accurate, and such data agree with the sources from which they are derived.</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Authorized Capital; Options, etc</w:t>
      </w:r>
      <w:r>
        <w:rPr>
          <w:rFonts w:ascii="Arial" w:cs="Arial" w:eastAsia="Arial" w:hAnsi="Arial"/>
          <w:sz w:val="16"/>
          <w:szCs w:val="16"/>
          <w:color w:val="auto"/>
        </w:rPr>
        <w:t>. The Company had at the date or dates indicated in the Registration Statement, any Preliminary Prospectus, the Statutory Prospectus and the Prospectus, as the case may be, duly authorized, issued and outstanding capitalization as set forth therein. Based on the assumptions stated in the Registration Statement, any Preliminary Prospectus, the Statutory Prospectus and the Prospectus, the Company will have on the Closing Date the adjusted stock capitalization set forth therein. Other than as disclosed in the Registration Statement, any Preliminary Prospectus, the Statutory Prospectus and the Prospectus on the Effective Date and the Closing Date and the Option Closing Date, if any, there will be no options, warrants, or other rights to purchase or otherwise acquire any authorized, but unissued Common Stock of the Company or any security convertible into Common Stock of the Company, or any contracts or commitments to issue or sell Common Stock or any such options, warrants, rights or convertible securities, other than those that may be granted subsequent to such dates under the employee benefit or equity incentive plans of the Company.</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color w:val="auto"/>
        </w:rPr>
        <w:t>2.8 Valid Issuance of Securities, etc.</w:t>
      </w:r>
    </w:p>
    <w:p>
      <w:pPr>
        <w:spacing w:after="0" w:line="225"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2.8.1 </w:t>
      </w:r>
      <w:r>
        <w:rPr>
          <w:rFonts w:ascii="Arial" w:cs="Arial" w:eastAsia="Arial" w:hAnsi="Arial"/>
          <w:sz w:val="17"/>
          <w:szCs w:val="17"/>
          <w:u w:val="single" w:color="auto"/>
          <w:color w:val="auto"/>
        </w:rPr>
        <w:t>Outstanding Securities</w:t>
      </w:r>
      <w:r>
        <w:rPr>
          <w:rFonts w:ascii="Arial" w:cs="Arial" w:eastAsia="Arial" w:hAnsi="Arial"/>
          <w:sz w:val="17"/>
          <w:szCs w:val="17"/>
          <w:color w:val="auto"/>
        </w:rPr>
        <w:t>. All issued and outstanding securities of the Company issued prior to the transactions contemplated by this Agreement have been duly authorized and validly issued and, with respect to all issued and outstanding shares of capital stock of the Company,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authorized shares conform in all material respects to all statements relating thereto contained in the Registration Statement, any Preliminary Prospectus, the Statutory Prospectus and the Prospectus. The offers and sales of the outstanding securities were at all relevant times either registered under the Act and the applicable state securities or Blue Sky laws or, based in part on the representations and warranties of the purchasers of such securities, exempt from such registration requirements.</w:t>
      </w:r>
    </w:p>
    <w:p>
      <w:pPr>
        <w:spacing w:after="0" w:line="17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2.8.2 </w:t>
      </w:r>
      <w:r>
        <w:rPr>
          <w:rFonts w:ascii="Arial" w:cs="Arial" w:eastAsia="Arial" w:hAnsi="Arial"/>
          <w:sz w:val="17"/>
          <w:szCs w:val="17"/>
          <w:u w:val="single" w:color="auto"/>
          <w:color w:val="auto"/>
        </w:rPr>
        <w:t>Securities Sold Pursuant to this Agreement</w:t>
      </w:r>
      <w:r>
        <w:rPr>
          <w:rFonts w:ascii="Arial" w:cs="Arial" w:eastAsia="Arial" w:hAnsi="Arial"/>
          <w:sz w:val="17"/>
          <w:szCs w:val="17"/>
          <w:color w:val="auto"/>
        </w:rPr>
        <w:t>. The Securities have been duly authorized and reserved for issuance and when issued and paid for,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 required to be taken for the authorization, issuance and sale of the Securities has been duly and validly taken. The Securities conform in all material respects to all statements with respect thereto contained in the Registration Statement, any Preliminary Prospectus, the Statutory Prospectus and the Prospectus, as the case may be. The Warrant Shares issuable upon exercise of the Underwriters’ Warrants have been reserved for issuance upon the exercise thereof and, when issued in accordance with the terms of such securities, will be duly and validly authorized, validly issued, fully paid and non-assessable; the holders thereof are not and will not be subject to personal liability by reason of being such holders. The Warrant Securities conform in all material respects to all statements with respect thereto contained in the Registration Statement, any Preliminary Prospectus, the Statutory Prospectus and the Prospectus, as the case may be.</w:t>
      </w:r>
    </w:p>
    <w:p>
      <w:pPr>
        <w:spacing w:after="0" w:line="178"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auto"/>
        </w:rPr>
        <w:t xml:space="preserve">2.8.3 </w:t>
      </w:r>
      <w:r>
        <w:rPr>
          <w:rFonts w:ascii="Arial" w:cs="Arial" w:eastAsia="Arial" w:hAnsi="Arial"/>
          <w:sz w:val="16"/>
          <w:szCs w:val="16"/>
          <w:u w:val="single" w:color="auto"/>
          <w:color w:val="auto"/>
        </w:rPr>
        <w:t>No Integration</w:t>
      </w:r>
      <w:r>
        <w:rPr>
          <w:rFonts w:ascii="Arial" w:cs="Arial" w:eastAsia="Arial" w:hAnsi="Arial"/>
          <w:sz w:val="16"/>
          <w:szCs w:val="16"/>
          <w:color w:val="auto"/>
        </w:rPr>
        <w:t>. Neither the Company nor any of its affiliates has, prior to the date hereof, made any offer or sale of any securities which are required to be “integrated” pursuant to the Act or the Regulations with the offer and sale of the Securities pursuant to the Registration Statement.</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Registration Rights of Third Parties</w:t>
      </w:r>
      <w:r>
        <w:rPr>
          <w:rFonts w:ascii="Arial" w:cs="Arial" w:eastAsia="Arial" w:hAnsi="Arial"/>
          <w:sz w:val="18"/>
          <w:szCs w:val="18"/>
          <w:color w:val="auto"/>
        </w:rPr>
        <w:t>. Except as set forth in the Registration Statement, any Preliminary Prospectus, the Statutory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Validity and Binding Effect of Agreements</w:t>
      </w:r>
      <w:r>
        <w:rPr>
          <w:rFonts w:ascii="Arial" w:cs="Arial" w:eastAsia="Arial" w:hAnsi="Arial"/>
          <w:sz w:val="18"/>
          <w:szCs w:val="18"/>
          <w:color w:val="auto"/>
        </w:rPr>
        <w:t>. This Agreement and the Underwriters’ Warrants have been duly and validly authorized by the Company, and, when executed and delivered, will constitute, the valid and binding agreements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therefore may be brought.</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2.11 </w:t>
      </w:r>
      <w:r>
        <w:rPr>
          <w:rFonts w:ascii="Arial" w:cs="Arial" w:eastAsia="Arial" w:hAnsi="Arial"/>
          <w:sz w:val="16"/>
          <w:szCs w:val="16"/>
          <w:u w:val="single" w:color="auto"/>
          <w:color w:val="auto"/>
        </w:rPr>
        <w:t>No Conflicts, etc</w:t>
      </w:r>
      <w:r>
        <w:rPr>
          <w:rFonts w:ascii="Arial" w:cs="Arial" w:eastAsia="Arial" w:hAnsi="Arial"/>
          <w:sz w:val="16"/>
          <w:szCs w:val="16"/>
          <w:color w:val="auto"/>
        </w:rPr>
        <w:t xml:space="preserve">. The execution, delivery, and performance by the Company of this Agreement, the Underwriters’ Warrants and all ancillary documents,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lien, charge or encumbrance upon any property or assets of the Company pursuant to the terms of any agreement or instrument to which the Company is a party; (ii) result in any violation of the provisions of the amended and restated Certificate of Incorporation (as the same may be amended from time to time, the </w:t>
      </w:r>
      <w:r>
        <w:rPr>
          <w:rFonts w:ascii="Arial" w:cs="Arial" w:eastAsia="Arial" w:hAnsi="Arial"/>
          <w:sz w:val="16"/>
          <w:szCs w:val="16"/>
          <w:b w:val="1"/>
          <w:bCs w:val="1"/>
          <w:color w:val="auto"/>
        </w:rPr>
        <w:t>“Certificate of</w:t>
      </w:r>
      <w:r>
        <w:rPr>
          <w:rFonts w:ascii="Arial" w:cs="Arial" w:eastAsia="Arial" w:hAnsi="Arial"/>
          <w:sz w:val="16"/>
          <w:szCs w:val="16"/>
          <w:color w:val="auto"/>
        </w:rPr>
        <w:t xml:space="preserve"> </w:t>
      </w:r>
      <w:r>
        <w:rPr>
          <w:rFonts w:ascii="Arial" w:cs="Arial" w:eastAsia="Arial" w:hAnsi="Arial"/>
          <w:sz w:val="16"/>
          <w:szCs w:val="16"/>
          <w:b w:val="1"/>
          <w:bCs w:val="1"/>
          <w:color w:val="auto"/>
        </w:rPr>
        <w:t>Incorporation</w:t>
      </w:r>
      <w:r>
        <w:rPr>
          <w:rFonts w:ascii="Arial" w:cs="Arial" w:eastAsia="Arial" w:hAnsi="Arial"/>
          <w:sz w:val="16"/>
          <w:szCs w:val="16"/>
          <w:color w:val="auto"/>
        </w:rPr>
        <w:t>”); or (iii) violate any existing applicable law, rule, regulation, judgment, order or decree of any governmental agency or court, domestic or</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having jurisdiction over the Company or any of its properties or business constituted as of the date hereof.</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 w:name="page11"/>
    <w:bookmarkEnd w:id="10"/>
    <w:p>
      <w:pPr>
        <w:jc w:val="both"/>
        <w:ind w:firstLine="648"/>
        <w:spacing w:after="0" w:line="255"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No Defaults; Violations</w:t>
      </w:r>
      <w:r>
        <w:rPr>
          <w:rFonts w:ascii="Arial" w:cs="Arial" w:eastAsia="Arial" w:hAnsi="Arial"/>
          <w:sz w:val="18"/>
          <w:szCs w:val="18"/>
          <w:color w:val="auto"/>
        </w:rPr>
        <w:t>.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term or provision of its Certificate of Incorporation, or in violation of any franchise, license, permit, applicable law, rule, regulation, judgment or decree of any governmental agency or court, domestic or foreign, having jurisdiction over the Company or any of its properties or businesses.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2.13 Corporate Power; Licenses; Consents.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2.13.1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The Company has all requisite corporate power and authority, and has all necessary authorizations, approvals, orders, licenses, certificates and permits of and from all governmental regulatory officials and bodies that it needs as of the date hereof to conduct its business purpose as described in the Registration Statement, any Preliminary, the Statutory Prospectus and the Prospectus. To the knowledge of the Company, the disclosures in the Registration Statement, any Preliminary Prospectus, the Statutory Prospectus and the Prospectus concerning the effects of foreign, federal, state and local regulation on this Offering and the Company’s business purpose as currently contemplated are correct in all material respects and do not omit to state a material fact required to be stated therein or necessary in order to make the statements therein, in light of the circumstances under which they were made, not misleading.</w:t>
      </w:r>
    </w:p>
    <w:p>
      <w:pPr>
        <w:spacing w:after="0" w:line="18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2.13.2 </w:t>
      </w:r>
      <w:r>
        <w:rPr>
          <w:rFonts w:ascii="Arial" w:cs="Arial" w:eastAsia="Arial" w:hAnsi="Arial"/>
          <w:sz w:val="18"/>
          <w:szCs w:val="18"/>
          <w:u w:val="single" w:color="auto"/>
          <w:color w:val="auto"/>
        </w:rPr>
        <w:t>Transactions Contemplated Herein</w:t>
      </w:r>
      <w:r>
        <w:rPr>
          <w:rFonts w:ascii="Arial" w:cs="Arial" w:eastAsia="Arial" w:hAnsi="Arial"/>
          <w:sz w:val="18"/>
          <w:szCs w:val="18"/>
          <w:color w:val="auto"/>
        </w:rPr>
        <w:t>. The Company has all corporate power and authority to enter into this Agreement and the Underwriters’ Warrants and to carry out the provisions and conditions hereof and thereof,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and the Underwriters’ Warrants, except with respect to applicable Federal and state securities laws and the rules and regulations of the Financial Industry Regulatory Authority, Inc. (“</w:t>
      </w:r>
      <w:r>
        <w:rPr>
          <w:rFonts w:ascii="Arial" w:cs="Arial" w:eastAsia="Arial" w:hAnsi="Arial"/>
          <w:sz w:val="18"/>
          <w:szCs w:val="18"/>
          <w:b w:val="1"/>
          <w:bCs w:val="1"/>
          <w:color w:val="auto"/>
        </w:rPr>
        <w:t>FINRA</w:t>
      </w:r>
      <w:r>
        <w:rPr>
          <w:rFonts w:ascii="Arial" w:cs="Arial" w:eastAsia="Arial" w:hAnsi="Arial"/>
          <w:sz w:val="18"/>
          <w:szCs w:val="18"/>
          <w:color w:val="auto"/>
        </w:rPr>
        <w:t>”).</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u w:val="single" w:color="auto"/>
          <w:color w:val="auto"/>
        </w:rPr>
        <w:t>D&amp;O Questionnaires</w:t>
      </w:r>
      <w:r>
        <w:rPr>
          <w:rFonts w:ascii="Arial" w:cs="Arial" w:eastAsia="Arial" w:hAnsi="Arial"/>
          <w:sz w:val="17"/>
          <w:szCs w:val="17"/>
          <w:color w:val="auto"/>
        </w:rPr>
        <w:t>. To the Company’s knowledge, all information contained in the questionnaires completed by each of the Company’s directors and officers and 5% and greater shareholders (the “</w:t>
      </w:r>
      <w:r>
        <w:rPr>
          <w:rFonts w:ascii="Arial" w:cs="Arial" w:eastAsia="Arial" w:hAnsi="Arial"/>
          <w:sz w:val="17"/>
          <w:szCs w:val="17"/>
          <w:b w:val="1"/>
          <w:bCs w:val="1"/>
          <w:color w:val="auto"/>
        </w:rPr>
        <w:t>Insiders</w:t>
      </w:r>
      <w:r>
        <w:rPr>
          <w:rFonts w:ascii="Arial" w:cs="Arial" w:eastAsia="Arial" w:hAnsi="Arial"/>
          <w:sz w:val="17"/>
          <w:szCs w:val="17"/>
          <w:color w:val="auto"/>
        </w:rPr>
        <w:t>”) immediately prior to the Offering (the “</w:t>
      </w:r>
      <w:r>
        <w:rPr>
          <w:rFonts w:ascii="Arial" w:cs="Arial" w:eastAsia="Arial" w:hAnsi="Arial"/>
          <w:sz w:val="17"/>
          <w:szCs w:val="17"/>
          <w:b w:val="1"/>
          <w:bCs w:val="1"/>
          <w:color w:val="auto"/>
        </w:rPr>
        <w:t>Questionnaires</w:t>
      </w:r>
      <w:r>
        <w:rPr>
          <w:rFonts w:ascii="Arial" w:cs="Arial" w:eastAsia="Arial" w:hAnsi="Arial"/>
          <w:sz w:val="17"/>
          <w:szCs w:val="17"/>
          <w:color w:val="auto"/>
        </w:rPr>
        <w:t>”) as well as in the Lock-Up Agreement provided to the Underwriters is true and correct in all respects, and the Company has not become aware of any information which would cause the information disclosed in the Questionnaires completed by each Insider to become inaccurate and incorrect.</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Litigation; Governmental Proceedings</w:t>
      </w:r>
      <w:r>
        <w:rPr>
          <w:rFonts w:ascii="Arial" w:cs="Arial" w:eastAsia="Arial" w:hAnsi="Arial"/>
          <w:sz w:val="17"/>
          <w:szCs w:val="17"/>
          <w:color w:val="auto"/>
        </w:rPr>
        <w:t>. There is no action, suit, proceeding, inquiry, arbitration, investigation, litigation or governmental proceeding pending or, to the Company’s knowledge, threatened against, or involving the Company or, to the best of the Company’s knowledge, any Insider which has not been disclosed in the Registration Statement, the Questionnaires, any Preliminary Prospectus, the Statutory Prospectus and the Prospectus or in connection with the Company’s listing application for the listing of its Common Stock on NASDAQ.</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Good Standing</w:t>
      </w:r>
      <w:r>
        <w:rPr>
          <w:rFonts w:ascii="Arial" w:cs="Arial" w:eastAsia="Arial" w:hAnsi="Arial"/>
          <w:sz w:val="18"/>
          <w:szCs w:val="18"/>
          <w:color w:val="auto"/>
        </w:rPr>
        <w:t>. The Company has been duly organized and is validly existing as a corporation and is in good standing under the laws of the State of Delaware as of the date hereof, and is duly qualified to do business and is in good standing in each jurisdiction in which its ownership or lease of property or the conduct of business requires such qualification, except where the failure to qualify would not have a material adverse effect on the assets, business or operations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2.17 Transactions Affecting Disclosure to FINRA.</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2.17.1 </w:t>
      </w:r>
      <w:r>
        <w:rPr>
          <w:rFonts w:ascii="Arial" w:cs="Arial" w:eastAsia="Arial" w:hAnsi="Arial"/>
          <w:sz w:val="16"/>
          <w:szCs w:val="16"/>
          <w:u w:val="single" w:color="auto"/>
          <w:color w:val="auto"/>
        </w:rPr>
        <w:t>Finder’s Fees</w:t>
      </w:r>
      <w:r>
        <w:rPr>
          <w:rFonts w:ascii="Arial" w:cs="Arial" w:eastAsia="Arial" w:hAnsi="Arial"/>
          <w:sz w:val="16"/>
          <w:szCs w:val="16"/>
          <w:color w:val="auto"/>
        </w:rPr>
        <w:t>. Except as described in the Registration Statement, any Preliminary Prospectus, the Statutory Prospectus and the Prospectus, there are no claims, payments, arrangements, agreements or understandings relating to the payment of a finder’s, consulting or origination fee by the Company or any Insider with respect to the sale of the Securities hereunder or any other arrangements, agreements or understandings of the Company or, to the Company’s knowledge, any of its stockholders that may affect the Underwriters’ compensation, as determined by FINRA.</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 w:name="page12"/>
    <w:bookmarkEnd w:id="11"/>
    <w:p>
      <w:pPr>
        <w:jc w:val="both"/>
        <w:ind w:firstLine="1297"/>
        <w:spacing w:after="0" w:line="272" w:lineRule="auto"/>
        <w:rPr>
          <w:sz w:val="20"/>
          <w:szCs w:val="20"/>
          <w:color w:val="auto"/>
        </w:rPr>
      </w:pPr>
      <w:r>
        <w:rPr>
          <w:rFonts w:ascii="Arial" w:cs="Arial" w:eastAsia="Arial" w:hAnsi="Arial"/>
          <w:sz w:val="17"/>
          <w:szCs w:val="17"/>
          <w:color w:val="auto"/>
        </w:rPr>
        <w:t xml:space="preserve">2.17.2 </w:t>
      </w:r>
      <w:r>
        <w:rPr>
          <w:rFonts w:ascii="Arial" w:cs="Arial" w:eastAsia="Arial" w:hAnsi="Arial"/>
          <w:sz w:val="17"/>
          <w:szCs w:val="17"/>
          <w:u w:val="single" w:color="auto"/>
          <w:color w:val="auto"/>
        </w:rPr>
        <w:t>Payments Within Twelve Months</w:t>
      </w:r>
      <w:r>
        <w:rPr>
          <w:rFonts w:ascii="Arial" w:cs="Arial" w:eastAsia="Arial" w:hAnsi="Arial"/>
          <w:sz w:val="17"/>
          <w:szCs w:val="17"/>
          <w:color w:val="auto"/>
        </w:rPr>
        <w:t>. Except as described in the Registration Statement, any Preliminary Prospectus, the Statutory Prospectus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months prior to the Effective Date. No officer, director, or beneficial owner of over 5% of any class of the Company’s securities (whether debt or equity, registered or unregistered, regardless of the time acquired or the source from which derived) (any such individual or entity, a “</w:t>
      </w:r>
      <w:r>
        <w:rPr>
          <w:rFonts w:ascii="Arial" w:cs="Arial" w:eastAsia="Arial" w:hAnsi="Arial"/>
          <w:sz w:val="17"/>
          <w:szCs w:val="17"/>
          <w:b w:val="1"/>
          <w:bCs w:val="1"/>
          <w:color w:val="auto"/>
        </w:rPr>
        <w:t>Company Affiliate</w:t>
      </w:r>
      <w:r>
        <w:rPr>
          <w:rFonts w:ascii="Arial" w:cs="Arial" w:eastAsia="Arial" w:hAnsi="Arial"/>
          <w:sz w:val="17"/>
          <w:szCs w:val="17"/>
          <w:color w:val="auto"/>
        </w:rPr>
        <w:t>”) is a member, a person associated, or affiliated with a member of the FINRA.</w:t>
      </w:r>
    </w:p>
    <w:p>
      <w:pPr>
        <w:spacing w:after="0" w:line="178"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2.17.3 </w:t>
      </w:r>
      <w:r>
        <w:rPr>
          <w:rFonts w:ascii="Arial" w:cs="Arial" w:eastAsia="Arial" w:hAnsi="Arial"/>
          <w:sz w:val="18"/>
          <w:szCs w:val="18"/>
          <w:u w:val="single" w:color="auto"/>
          <w:color w:val="auto"/>
        </w:rPr>
        <w:t>Company Affiliate Membership</w:t>
      </w:r>
      <w:r>
        <w:rPr>
          <w:rFonts w:ascii="Arial" w:cs="Arial" w:eastAsia="Arial" w:hAnsi="Arial"/>
          <w:sz w:val="18"/>
          <w:szCs w:val="18"/>
          <w:color w:val="auto"/>
        </w:rPr>
        <w:t>. Except as described in the Registration Statement, any Preliminary Prospectus, the Statutory Prospectus and the Prospectus ,to the knowledge of the Company, no Company Affiliate is an owner of stock or other securities of any member of the FINRA (other than securities purchased on the open market).</w:t>
      </w:r>
    </w:p>
    <w:p>
      <w:pPr>
        <w:spacing w:after="0" w:line="181"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 xml:space="preserve">2.17.4 </w:t>
      </w:r>
      <w:r>
        <w:rPr>
          <w:rFonts w:ascii="Arial" w:cs="Arial" w:eastAsia="Arial" w:hAnsi="Arial"/>
          <w:sz w:val="17"/>
          <w:szCs w:val="17"/>
          <w:u w:val="single" w:color="auto"/>
          <w:color w:val="auto"/>
        </w:rPr>
        <w:t>Subordinated Loans</w:t>
      </w:r>
      <w:r>
        <w:rPr>
          <w:rFonts w:ascii="Arial" w:cs="Arial" w:eastAsia="Arial" w:hAnsi="Arial"/>
          <w:sz w:val="17"/>
          <w:szCs w:val="17"/>
          <w:color w:val="auto"/>
        </w:rPr>
        <w:t>. Except as described in the Registration Statement, any Preliminary Prospectus, the Statutory Prospectus and the Prospectus, to the knowledge of the Company, no Company Affiliate has made a subordinated loan to any member of the FINRA.</w:t>
      </w:r>
    </w:p>
    <w:p>
      <w:pPr>
        <w:spacing w:after="0" w:line="17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2.17.5 </w:t>
      </w:r>
      <w:r>
        <w:rPr>
          <w:rFonts w:ascii="Arial" w:cs="Arial" w:eastAsia="Arial" w:hAnsi="Arial"/>
          <w:sz w:val="18"/>
          <w:szCs w:val="18"/>
          <w:u w:val="single" w:color="auto"/>
          <w:color w:val="auto"/>
        </w:rPr>
        <w:t>Use of Proceeds</w:t>
      </w:r>
      <w:r>
        <w:rPr>
          <w:rFonts w:ascii="Arial" w:cs="Arial" w:eastAsia="Arial" w:hAnsi="Arial"/>
          <w:sz w:val="18"/>
          <w:szCs w:val="18"/>
          <w:color w:val="auto"/>
        </w:rPr>
        <w:t>. Except as described in the Registration Statement, any Preliminary Prospectus, the Statutory Prospectus and the Prospectus, no proceeds from the sale of the Securities (excluding underwriting compensation) will be paid to any FINRA member, or any persons associated or affiliated with a member of the FINRA, except as specifically authorized herein.</w:t>
      </w:r>
    </w:p>
    <w:p>
      <w:pPr>
        <w:spacing w:after="0" w:line="181"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 xml:space="preserve">2.17.6 </w:t>
      </w:r>
      <w:r>
        <w:rPr>
          <w:rFonts w:ascii="Arial" w:cs="Arial" w:eastAsia="Arial" w:hAnsi="Arial"/>
          <w:sz w:val="18"/>
          <w:szCs w:val="18"/>
          <w:u w:val="single" w:color="auto"/>
          <w:color w:val="auto"/>
        </w:rPr>
        <w:t>No Other Options, etc</w:t>
      </w:r>
      <w:r>
        <w:rPr>
          <w:rFonts w:ascii="Arial" w:cs="Arial" w:eastAsia="Arial" w:hAnsi="Arial"/>
          <w:sz w:val="18"/>
          <w:szCs w:val="18"/>
          <w:color w:val="auto"/>
        </w:rPr>
        <w:t>. Except with respect to the Underwriters’ Warrants,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8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2.17.7 </w:t>
      </w:r>
      <w:r>
        <w:rPr>
          <w:rFonts w:ascii="Arial" w:cs="Arial" w:eastAsia="Arial" w:hAnsi="Arial"/>
          <w:sz w:val="17"/>
          <w:szCs w:val="17"/>
          <w:u w:val="single" w:color="auto"/>
          <w:color w:val="auto"/>
        </w:rPr>
        <w:t>FINRA Relationship</w:t>
      </w:r>
      <w:r>
        <w:rPr>
          <w:rFonts w:ascii="Arial" w:cs="Arial" w:eastAsia="Arial" w:hAnsi="Arial"/>
          <w:sz w:val="17"/>
          <w:szCs w:val="17"/>
          <w:color w:val="auto"/>
        </w:rPr>
        <w:t>. Except as described in the Registration Statement, any Preliminary Prospectus, the Statutory Prospectus and the Prospectus, to the knowledge of the Company, no person to whom securities of the Company have been privately issued within the 180-day period prior to the initial filing date of the Registration Statement has any relationship or affiliation or association with any member of the FINRA.</w:t>
      </w:r>
    </w:p>
    <w:p>
      <w:pPr>
        <w:spacing w:after="0" w:line="16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2.17.8 </w:t>
      </w:r>
      <w:r>
        <w:rPr>
          <w:rFonts w:ascii="Arial" w:cs="Arial" w:eastAsia="Arial" w:hAnsi="Arial"/>
          <w:sz w:val="18"/>
          <w:szCs w:val="18"/>
          <w:u w:val="single" w:color="auto"/>
          <w:color w:val="auto"/>
        </w:rPr>
        <w:t>FINRA Conflicts</w:t>
      </w:r>
      <w:r>
        <w:rPr>
          <w:rFonts w:ascii="Arial" w:cs="Arial" w:eastAsia="Arial" w:hAnsi="Arial"/>
          <w:sz w:val="18"/>
          <w:szCs w:val="18"/>
          <w:color w:val="auto"/>
        </w:rPr>
        <w:t>. Except as described in the Registration Statement, any Preliminary Prospectus, the Statutory Prospectus and the Prospectus, no FINRA member intending to participate in the Offering has a conflict of interest with the Company. For this purpose, a “conflict of interest” exists when a member of the FINRA and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the FINRA.</w:t>
      </w:r>
    </w:p>
    <w:p>
      <w:pPr>
        <w:spacing w:after="0" w:line="188"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2.17.9 </w:t>
      </w:r>
      <w:r>
        <w:rPr>
          <w:rFonts w:ascii="Arial" w:cs="Arial" w:eastAsia="Arial" w:hAnsi="Arial"/>
          <w:sz w:val="18"/>
          <w:szCs w:val="18"/>
          <w:u w:val="single" w:color="auto"/>
          <w:color w:val="auto"/>
        </w:rPr>
        <w:t>Other Arrangements</w:t>
      </w:r>
      <w:r>
        <w:rPr>
          <w:rFonts w:ascii="Arial" w:cs="Arial" w:eastAsia="Arial" w:hAnsi="Arial"/>
          <w:sz w:val="18"/>
          <w:szCs w:val="18"/>
          <w:color w:val="auto"/>
        </w:rPr>
        <w:t>. Except as described in the Registration Statement, any Preliminary Prospectus, the Statutory Prospectus and the Prospectus and except with respect to the Underwriters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 w:name="page13"/>
    <w:bookmarkEnd w:id="12"/>
    <w:p>
      <w:pPr>
        <w:jc w:val="both"/>
        <w:ind w:firstLine="648"/>
        <w:spacing w:after="0" w:line="272" w:lineRule="auto"/>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Neither the Company, nor, to the knowledge of the Company, any director, officer, agent, employee or affiliate of the Company, is aware of or has taken any action directly or indirectly, that would result in a material violation by such persons of the FCPA (as defined below),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has conducted its business in compliance in all material respects with the FCPA. “FCPA” means the Foreign Corrupt Practices Act of 1977, as amended, and the rules and regulations thereunder.</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Any certificate signed by any duly authorized officer of the Company and delivered to you or to R&amp;P shall be deemed a representation and warranty by the Company to the Underwriters as to the matters covered thereby.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2.20 Lock-Up Period.</w:t>
      </w:r>
    </w:p>
    <w:p>
      <w:pPr>
        <w:spacing w:after="0" w:line="225"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2.20.1 Each of the Company’s officers and directors beneficially holding shares of Common Stock (or securities convertible into Common Stock) and each beneficial owner of at least 5% of the Company’s outstanding Common Stock (or securities convertible into Common Stock at any time) (together with the Company’s officers and directors the “</w:t>
      </w:r>
      <w:r>
        <w:rPr>
          <w:rFonts w:ascii="Arial" w:cs="Arial" w:eastAsia="Arial" w:hAnsi="Arial"/>
          <w:sz w:val="16"/>
          <w:szCs w:val="16"/>
          <w:b w:val="1"/>
          <w:bCs w:val="1"/>
          <w:color w:val="auto"/>
        </w:rPr>
        <w:t>Lock-Up Parties</w:t>
      </w:r>
      <w:r>
        <w:rPr>
          <w:rFonts w:ascii="Arial" w:cs="Arial" w:eastAsia="Arial" w:hAnsi="Arial"/>
          <w:sz w:val="16"/>
          <w:szCs w:val="16"/>
          <w:color w:val="auto"/>
        </w:rPr>
        <w:t>”) have agreed pursuant to executed Lock-Up Agreements attached hereto as Exhibit B (the “</w:t>
      </w:r>
      <w:r>
        <w:rPr>
          <w:rFonts w:ascii="Arial" w:cs="Arial" w:eastAsia="Arial" w:hAnsi="Arial"/>
          <w:sz w:val="16"/>
          <w:szCs w:val="16"/>
          <w:b w:val="1"/>
          <w:bCs w:val="1"/>
          <w:color w:val="auto"/>
        </w:rPr>
        <w:t>Lock-Up Agreement</w:t>
      </w:r>
      <w:r>
        <w:rPr>
          <w:rFonts w:ascii="Arial" w:cs="Arial" w:eastAsia="Arial" w:hAnsi="Arial"/>
          <w:sz w:val="16"/>
          <w:szCs w:val="16"/>
          <w:color w:val="auto"/>
        </w:rPr>
        <w:t>”) that for a period of 180 days from the date of the Prospectus (the “</w:t>
      </w:r>
      <w:r>
        <w:rPr>
          <w:rFonts w:ascii="Arial" w:cs="Arial" w:eastAsia="Arial" w:hAnsi="Arial"/>
          <w:sz w:val="16"/>
          <w:szCs w:val="16"/>
          <w:b w:val="1"/>
          <w:bCs w:val="1"/>
          <w:color w:val="auto"/>
        </w:rPr>
        <w:t>Lock-Up Period</w:t>
      </w:r>
      <w:r>
        <w:rPr>
          <w:rFonts w:ascii="Arial" w:cs="Arial" w:eastAsia="Arial" w:hAnsi="Arial"/>
          <w:sz w:val="16"/>
          <w:szCs w:val="16"/>
          <w:color w:val="auto"/>
        </w:rPr>
        <w:t>”), such persons and their affiliated parties shall not offer, pledge, sell, contract to sell, grant, lend or otherwise transfer or dispose of, directly or indirectly, any Common Stock, or any securities convertible into or exercisable or exchangeable for Common Stock, without the consent of the Representative, subject only to the exceptions contained in the Lock-Up Agreement. The Representative may consent to an early release from the applicable Lock-Up Period if, in its opinion, the market for the Common Stock would not be adversely impacted by sales. The Company has caused each of the Lock-Up Parties to deliver to the Representative a Lock-Up Agreement prior to the date that the Company requests that the Commission declare the Registration Statement effective under the Act.</w:t>
      </w:r>
    </w:p>
    <w:p>
      <w:pPr>
        <w:spacing w:after="0" w:line="194"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2.20.2 The Company, on behalf of itself and any successor entity, has agreed that, without the prior written consent of the Representative, it will not, for a period of 180 days from the Effective Date, (i) offer, pledge, sell, contract to sell, sell any option or contract to purchase, purchase any option or contract to sell, grant any option, right or warrant to purchase, lend, or otherwise transfer or dispose of, directly or indirectly, any shares of capital stock of the Company or any securities convertible into or exercisable or exchangeable for shares of capital stock of the Company other than options or other awards under the employee benefit or equity incentive plans of the Company, as amended, and the exercise of such options or awards; (ii) file or caused to be filed any registration statement with the Commission relating to the offering of any shares of capital stock of the Company or any securities convertible into or exercisable or exchangeable for shares of capital stock of the Company (other than the registration of shares issuable pursuant to employee benefit or equity incentive plans) or (iii) enter into any swap or other arrangement that transfers to another, in whole or in part, any of the economic consequences of ownership of capital stock of the Company, whether any such transaction described in clause (i), (ii) or (iii) above is to be settled by delivery of shares of capital stock of the Company or such other securities, in cash or otherwise.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has no subsidiaries.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No material relationship, direct or indirect, exists between or among any of the Company or any Company Affiliate, on the one hand, and any director, officer, stockholder, customer or supplier of the Company or any Company Affiliate, on the other hand, which is required by the Act, the Exchange Act or the Regulations to be described in the Registration Statement, any Preliminary Prospectus, the Statutory Prospectus and the Prospectus which is not so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any Preliminary Prospectus, the Statutory Prospectus and the Prospectus. The Company has not extended or maintained credit, arranged for the extension of credit, or renewed an extension of credit, in the form of a personal loan to or for any director or officer of the Company.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jc w:val="both"/>
        <w:ind w:firstLine="648"/>
        <w:spacing w:after="0" w:line="273"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Board of Directors</w:t>
      </w:r>
      <w:r>
        <w:rPr>
          <w:rFonts w:ascii="Arial" w:cs="Arial" w:eastAsia="Arial" w:hAnsi="Arial"/>
          <w:sz w:val="17"/>
          <w:szCs w:val="17"/>
          <w:color w:val="auto"/>
        </w:rPr>
        <w:t>. The Board of Directors of the Company is comprised of the persons set forth under the heading of the Statutory Prospectus and the Prospectus captioned “DIRECTORS, EXECUTIVE OFFICERS AND CORPORATE GOVERNANCE.” The qualifications of the persons serving as board members and the overall composition of the board comply with the Sarbanes-Oxley Act of 2002 and the rules promulgated thereunder applicable to the Company and the rules of NASDAQ. At least one member of the Board of Directors of the Company qualifies as a “financial expert” as such term is defined under the Sarbanes-Oxley Act of 2002 and the rules promulgated thereunder and the rules of NASDAQ. In addition, at least a majority of the persons serving on the Board of Directors qualifies as “independent” as defined under the rules of NASDAQ.</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2.24Sarbanes-Oxley Compliance.</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2.24.1</w:t>
      </w:r>
      <w:r>
        <w:rPr>
          <w:rFonts w:ascii="Arial" w:cs="Arial" w:eastAsia="Arial" w:hAnsi="Arial"/>
          <w:sz w:val="17"/>
          <w:szCs w:val="17"/>
          <w:u w:val="single" w:color="auto"/>
          <w:color w:val="auto"/>
        </w:rPr>
        <w:t>Disclosure Controls</w:t>
      </w:r>
      <w:r>
        <w:rPr>
          <w:rFonts w:ascii="Arial" w:cs="Arial" w:eastAsia="Arial" w:hAnsi="Arial"/>
          <w:sz w:val="17"/>
          <w:szCs w:val="17"/>
          <w:color w:val="auto"/>
        </w:rPr>
        <w:t>. The Company has developed and currently maintains disclosure controls and procedures in compliance with Rule 13a-15 or 15d-15 of the Exchange Act. The Company’s certifying officers have evaluated the effectiveness of the disclosure controls and procedures of the Company as of the end of the period covered by the most recently filed periodic report under the Exchange Act (such date, the “</w:t>
      </w:r>
      <w:r>
        <w:rPr>
          <w:rFonts w:ascii="Arial" w:cs="Arial" w:eastAsia="Arial" w:hAnsi="Arial"/>
          <w:sz w:val="17"/>
          <w:szCs w:val="17"/>
          <w:b w:val="1"/>
          <w:bCs w:val="1"/>
          <w:color w:val="auto"/>
        </w:rPr>
        <w:t>Evaluation Date</w:t>
      </w:r>
      <w:r>
        <w:rPr>
          <w:rFonts w:ascii="Arial" w:cs="Arial" w:eastAsia="Arial" w:hAnsi="Arial"/>
          <w:sz w:val="17"/>
          <w:szCs w:val="17"/>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that have adversely materially affected, or are reasonably likely to adversely materially affect, the internal control over financial reporting of the Company.</w:t>
      </w:r>
    </w:p>
    <w:p>
      <w:pPr>
        <w:spacing w:after="0" w:line="17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2.24.2 </w:t>
      </w:r>
      <w:r>
        <w:rPr>
          <w:rFonts w:ascii="Arial" w:cs="Arial" w:eastAsia="Arial" w:hAnsi="Arial"/>
          <w:sz w:val="17"/>
          <w:szCs w:val="17"/>
          <w:u w:val="single" w:color="auto"/>
          <w:color w:val="auto"/>
        </w:rPr>
        <w:t>Compliance</w:t>
      </w:r>
      <w:r>
        <w:rPr>
          <w:rFonts w:ascii="Arial" w:cs="Arial" w:eastAsia="Arial" w:hAnsi="Arial"/>
          <w:sz w:val="17"/>
          <w:szCs w:val="17"/>
          <w:color w:val="auto"/>
        </w:rPr>
        <w:t>. The Company is, or on the Effective Date will be, in material compliance with the provisions of the Sarbanes-Oxley Act of 2002 applicable to it, and has implemented or will implement such programs and taken reasonable steps to ensure the Company’s future compliance (not later than the relevant statutory and regulatory deadlines therefore) with all the provisions of the Sarbanes-Oxley Act of 2002.</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No Investment Company Status</w:t>
      </w:r>
      <w:r>
        <w:rPr>
          <w:rFonts w:ascii="Arial" w:cs="Arial" w:eastAsia="Arial" w:hAnsi="Arial"/>
          <w:sz w:val="18"/>
          <w:szCs w:val="18"/>
          <w:color w:val="auto"/>
        </w:rPr>
        <w:t>. The Company is not and, after giving effect to the Offering and sale of the Securities and the application of the proceeds thereof, will not be, an “investment company” as defined in the Investment Company Act of 1940, as amended.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2.26 </w:t>
      </w:r>
      <w:r>
        <w:rPr>
          <w:rFonts w:ascii="Arial" w:cs="Arial" w:eastAsia="Arial" w:hAnsi="Arial"/>
          <w:sz w:val="17"/>
          <w:szCs w:val="17"/>
          <w:u w:val="single" w:color="auto"/>
          <w:color w:val="auto"/>
        </w:rPr>
        <w:t>No Labor Disputes</w:t>
      </w:r>
      <w:r>
        <w:rPr>
          <w:rFonts w:ascii="Arial" w:cs="Arial" w:eastAsia="Arial" w:hAnsi="Arial"/>
          <w:sz w:val="17"/>
          <w:szCs w:val="17"/>
          <w:color w:val="auto"/>
        </w:rPr>
        <w:t>. No labor dispute with the employees of the Company exists or, to the knowledge of the Company, is imminent.</w:t>
      </w:r>
    </w:p>
    <w:p>
      <w:pPr>
        <w:spacing w:after="0" w:line="23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2.27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None of the Intellectual Property necessary for the conduct of the business of the Company as currently carried on and as contemplated by the Company, as described in the Registration Statement, any Preliminary Prospectus, the Statutory Prospectus and the Prospectus, are in dispute or, to the knowledge of the Company, are in any conflict with the rights of any other person or entity. The Company (i) owns or has the right to use, free and clear of all liens, charges, claims, encumbrances, pledges, security interests, defects or other restrictions or equities of any kind whatsoever, all of its Intellectual Property and the licenses and rights with respect to the foregoing, used in the conduct of the business of the Company as currently carried on and contemplated by the Company, as described in the Registration Statement, any Preliminary Prospectus, the Statutory Prospectus and the Prospectus, without infringing upon the right of any person, corporation or other entity under or with respect to any of the foregoing, and (ii) is not obligated to make any payment by way of royalties, fees or otherwise to any owner or licensee of, or other claimant to, any Intellectual Property with respect to the use thereof or in connection therewith for the conduct of its business or otherwise. For the purposes of this Section and this Agreement, the term “</w:t>
      </w:r>
      <w:r>
        <w:rPr>
          <w:rFonts w:ascii="Arial" w:cs="Arial" w:eastAsia="Arial" w:hAnsi="Arial"/>
          <w:sz w:val="16"/>
          <w:szCs w:val="16"/>
          <w:b w:val="1"/>
          <w:bCs w:val="1"/>
          <w:color w:val="auto"/>
        </w:rPr>
        <w:t>Intellectual Property</w:t>
      </w:r>
      <w:r>
        <w:rPr>
          <w:rFonts w:ascii="Arial" w:cs="Arial" w:eastAsia="Arial" w:hAnsi="Arial"/>
          <w:sz w:val="16"/>
          <w:szCs w:val="16"/>
          <w:color w:val="auto"/>
        </w:rPr>
        <w:t>” means (a) all inventions (whether patentable or unpatentable and whether or not reduced to practice), all improvements thereto, and all patents, patent applications, and patent disclosures, together with all reissuances, continuations, continuations in part, revisions, extensions, and reexaminations thereof, (b) all trademarks, service marks, trade dress, logos, trade names, and corporate names, together with all translations, adaptations, derivations, and combinations thereof and including all goodwill associated therewith, and all applications, registrations, and renewals in connection therewith, (c) all copyrightable works, all copyrights, and all applications, registrations, and renewals in connection therewith, (d) all mask works and all applications, registrations, and renewals in connection therewith, (e) all trade secrets and confidential business information (including ideas, research and development, know how, formulas, compositions, manufacturing and production processes and techniques, technical data, designs, drawings, diagrams, specifications, customer and supplier lists, catalogs, pricing and cost information, and business and marketing plans and proposals), (f) all computer software (including data and related documentation) (whether purchased or internally developed), (g) all information systems and management procedures, (h) all other proprietary rights, and (h) all copies and tangible embodiments thereof (in whatever form or medium).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jc w:val="both"/>
        <w:ind w:firstLine="648"/>
        <w:spacing w:after="0" w:line="259" w:lineRule="auto"/>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u w:val="single" w:color="auto"/>
          <w:color w:val="auto"/>
        </w:rPr>
        <w:t>Trade Secrets.</w:t>
      </w:r>
      <w:r>
        <w:rPr>
          <w:rFonts w:ascii="Arial" w:cs="Arial" w:eastAsia="Arial" w:hAnsi="Arial"/>
          <w:sz w:val="18"/>
          <w:szCs w:val="18"/>
          <w:color w:val="auto"/>
        </w:rPr>
        <w:t xml:space="preserve"> The Company owns or has the right to use all trade secrets, know-how, inventions, designs, processes, works of authorship, computer programs and technical data and information that are material to the development, manufacture, operation and sale of all products and services sold or proposed to be sold by the Company, free and clear of and without violating any right, lien, or claim of others, including without limitation, former employers of its employees.</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2.29 </w:t>
      </w:r>
      <w:r>
        <w:rPr>
          <w:rFonts w:ascii="Arial" w:cs="Arial" w:eastAsia="Arial" w:hAnsi="Arial"/>
          <w:sz w:val="16"/>
          <w:szCs w:val="16"/>
          <w:u w:val="single" w:color="auto"/>
          <w:color w:val="auto"/>
        </w:rPr>
        <w:t>Taxes</w:t>
      </w:r>
      <w:r>
        <w:rPr>
          <w:rFonts w:ascii="Arial" w:cs="Arial" w:eastAsia="Arial" w:hAnsi="Arial"/>
          <w:sz w:val="16"/>
          <w:szCs w:val="16"/>
          <w:color w:val="auto"/>
        </w:rPr>
        <w:t>. The Company has filed all returns (as hereinafter defined) required to be filed with taxing authorities prior to the date hereof or has duly obtained extensions of time for the filing thereof. The Company has paid all taxes (as hereinafter defined) shown as due on such returns that were filed and has paid all taxes imposed on or assessed against the Company that are due and payable as of the Effective Date.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Except as disclosed in writing to the Underwriters, (i) no issues have been raised (and are currently pending) by any taxing authority in connection with any of the returns or taxes asserted as due from the Company, and (ii) no waivers of statutes of limitation with respect to the returns or collection of taxes have been given by or requested from the Company. The term “</w:t>
      </w:r>
      <w:r>
        <w:rPr>
          <w:rFonts w:ascii="Arial" w:cs="Arial" w:eastAsia="Arial" w:hAnsi="Arial"/>
          <w:sz w:val="16"/>
          <w:szCs w:val="16"/>
          <w:b w:val="1"/>
          <w:bCs w:val="1"/>
          <w:color w:val="auto"/>
        </w:rPr>
        <w:t>taxes</w:t>
      </w:r>
      <w:r>
        <w:rPr>
          <w:rFonts w:ascii="Arial" w:cs="Arial" w:eastAsia="Arial" w:hAnsi="Arial"/>
          <w:sz w:val="16"/>
          <w:szCs w:val="16"/>
          <w:color w:val="auto"/>
        </w:rPr>
        <w:t>”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Arial" w:cs="Arial" w:eastAsia="Arial" w:hAnsi="Arial"/>
          <w:sz w:val="16"/>
          <w:szCs w:val="16"/>
          <w:b w:val="1"/>
          <w:bCs w:val="1"/>
          <w:color w:val="auto"/>
        </w:rPr>
        <w:t>returns</w:t>
      </w:r>
      <w:r>
        <w:rPr>
          <w:rFonts w:ascii="Arial" w:cs="Arial" w:eastAsia="Arial" w:hAnsi="Arial"/>
          <w:sz w:val="16"/>
          <w:szCs w:val="16"/>
          <w:color w:val="auto"/>
        </w:rPr>
        <w:t>” means all returns, declarations, reports, statements, and other documents required to be filed in respect to taxes.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xml:space="preserve"> The Company covenants and agrees as follows: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Amendments to Registration Statement</w:t>
      </w:r>
      <w:r>
        <w:rPr>
          <w:rFonts w:ascii="Arial" w:cs="Arial" w:eastAsia="Arial" w:hAnsi="Arial"/>
          <w:sz w:val="16"/>
          <w:szCs w:val="16"/>
          <w:color w:val="auto"/>
        </w:rPr>
        <w:t>. The Company will deliver to the Underwriters, prior to filing, any amendment or supplement to the Registration Statement or Prospectus proposed to be filed after the Effective Date and not file any such amendment or supplement to which the Underwriters shall reasonably object in writing. The Underwriters shall provide any such notice of objection and a reasonably detailed explanation therefor within five (5) Business Days after the Company’s delivery to the Underwriters of the applicable amendment or supplement to the Registration Statement.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3.2 Federal Securities Laws.</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Compliance</w:t>
      </w:r>
      <w:r>
        <w:rPr>
          <w:rFonts w:ascii="Arial" w:cs="Arial" w:eastAsia="Arial" w:hAnsi="Arial"/>
          <w:sz w:val="17"/>
          <w:szCs w:val="17"/>
          <w:color w:val="auto"/>
        </w:rPr>
        <w:t>. During the time when a Prospectus is required to be delivered under the Act, the Company will use its best efforts to comply with all requirements imposed upon it by the Act, the Regulations and the Exchange Act and by the regulations under the Exchange Act, as from time to time in force, so far as necessary to permit the continuance of sales of or dealings in the Securities in accordance with the provisions hereof and the Prospectus. If at any time when a Prospectus relating to the Securities is required to be delivered under the Act, any event shall have occurred as a result of which, in the opinion of counsel for the Company or counsel for the Representative,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at any time to amend the Prospectus to comply with the Act, the Company will notify the Underwriters promptly and prepare and file with the Commission, subject to Section 3.1 hereof, an appropriate amendment or supplement in accordance with Section 10 of the Act.</w:t>
      </w:r>
    </w:p>
    <w:p>
      <w:pPr>
        <w:spacing w:after="0" w:line="18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Filing of Final Prospectus</w:t>
      </w:r>
      <w:r>
        <w:rPr>
          <w:rFonts w:ascii="Arial" w:cs="Arial" w:eastAsia="Arial" w:hAnsi="Arial"/>
          <w:sz w:val="18"/>
          <w:szCs w:val="18"/>
          <w:color w:val="auto"/>
        </w:rPr>
        <w:t>. The Company will file the Prospectus (in form and substance satisfactory to the Underwriters) with the Commission pursuant to the requirements of Rule 424 of the Regulations.</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For a period of five (5) years from the Effective Date, the Company will use its best efforts to maintain the registration of the Common Stock under the Exchange Act. The Company will not deregister the Common Stock from under the Exchange Act without the prior written consent of the Representative.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jc w:val="both"/>
        <w:ind w:firstLine="1297"/>
        <w:spacing w:after="0" w:line="291"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u w:val="single" w:color="auto"/>
          <w:color w:val="auto"/>
        </w:rPr>
        <w:t>Sarbanes-Oxley Compliance</w:t>
      </w:r>
      <w:r>
        <w:rPr>
          <w:rFonts w:ascii="Arial" w:cs="Arial" w:eastAsia="Arial" w:hAnsi="Arial"/>
          <w:sz w:val="16"/>
          <w:szCs w:val="16"/>
          <w:color w:val="auto"/>
        </w:rPr>
        <w:t>. The Company shall take all actions reasonably necessary to be in compliance as soon as reasonably practicable with each applicable provision of the Sarbanes-Oxley Act of 2002 and the rules and regulations promulgated thereunder and related or similar rules and regulations promulgated by any other governmental or self regulatory entity or agency with jurisdiction over the Company, including maintenance of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The Company shall take all actions reasonably necessary to be in compliance as soon as reasonably practicable to institute and maintain policies and procedures designed to ensure, and which are reasonably expected to continue to ensure, continued compliance in all material respects the FCPA.</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Blue Sky Filing</w:t>
      </w:r>
      <w:r>
        <w:rPr>
          <w:rFonts w:ascii="Arial" w:cs="Arial" w:eastAsia="Arial" w:hAnsi="Arial"/>
          <w:sz w:val="17"/>
          <w:szCs w:val="17"/>
          <w:color w:val="auto"/>
        </w:rPr>
        <w:t>. The Company will endeavor in good faith, in cooperation with the Representative, at or prior to the time the Registration Statement becomes effective, to qualify the Securities for offering and sale under the securities laws of such jurisdictions as the Underwriters may reasonably designate, provided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 The Company, at its expense, will cause its counsel to provide to the Representative a Preliminary Blue Sky Memorandum and Final Blue Sky Memorandum, in such quantities as the Representative reasonably requests, for its use and the use of the selling members in connection with the offer and sale of the Securities.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Delivery to the Underwriters of Prospectuses</w:t>
      </w:r>
      <w:r>
        <w:rPr>
          <w:rFonts w:ascii="Arial" w:cs="Arial" w:eastAsia="Arial" w:hAnsi="Arial"/>
          <w:sz w:val="17"/>
          <w:szCs w:val="17"/>
          <w:color w:val="auto"/>
        </w:rPr>
        <w:t>. The Company will deliver to the Underwriters, without charge, from time to time during the period when the Prospectus is required to be delivered under the Act or the Exchange Act such number of copies of each Statutory Prospectus and Prospectus as the Underwriters may reasonably request and, as soon as the Registration Statement or any amendment or supplement thereto becomes effective, deliver to the Underwriters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Effectiveness and Events Requiring Notice to the Underwriters</w:t>
      </w:r>
      <w:r>
        <w:rPr>
          <w:rFonts w:ascii="Arial" w:cs="Arial" w:eastAsia="Arial" w:hAnsi="Arial"/>
          <w:sz w:val="17"/>
          <w:szCs w:val="17"/>
          <w:color w:val="auto"/>
        </w:rPr>
        <w:t>. The Company will use its reasonable best efforts to cause the Registration Statement to remain effective with a current prospectus for at least nine (9) months from the Applicable Time and will notify the Underwriters immediately and confirm the notice in writing: (i)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Securities for offering or sale in any jurisdiction or of the initiation, or the threatening, of any proceeding for that purpose; (iv) of the mailing and delivery to the Commission for filing of any amendment or supplement to the Registration Statement or Prospectus;(v) of the receipt of any comments or request for any additional information from the Commission; and (vi) of the happening of any event during the period described in this Section 3.6 hereof that, in the judgment of the Company, makes any statement of a material fact made in the Registration Statement, any Preliminary Prospectus, the Statutory Prospectus or the Prospectus untrue or that requires the making of any changes in the Registration Statement, any Preliminary Prospectus, the Statutory Prospectus or the Prospectus in order to make the statements therein,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Secondary Market Trading and Standard &amp; Poor’s</w:t>
      </w:r>
      <w:r>
        <w:rPr>
          <w:rFonts w:ascii="Arial" w:cs="Arial" w:eastAsia="Arial" w:hAnsi="Arial"/>
          <w:sz w:val="18"/>
          <w:szCs w:val="18"/>
          <w:color w:val="auto"/>
        </w:rPr>
        <w:t>. The Company will apply to be included in Standard &amp; Poor’s Daily News and Corporation Records for a period of five (5) years immediately after the Effective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color w:val="auto"/>
        </w:rPr>
        <w:t>3.8 Reports to the Underwriters.</w:t>
      </w:r>
    </w:p>
    <w:p>
      <w:pPr>
        <w:spacing w:after="0" w:line="22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3.8.1 </w:t>
      </w:r>
      <w:r>
        <w:rPr>
          <w:rFonts w:ascii="Arial" w:cs="Arial" w:eastAsia="Arial" w:hAnsi="Arial"/>
          <w:sz w:val="17"/>
          <w:szCs w:val="17"/>
          <w:u w:val="single" w:color="auto"/>
          <w:color w:val="auto"/>
        </w:rPr>
        <w:t>Periodic Reports, etc</w:t>
      </w:r>
      <w:r>
        <w:rPr>
          <w:rFonts w:ascii="Arial" w:cs="Arial" w:eastAsia="Arial" w:hAnsi="Arial"/>
          <w:sz w:val="17"/>
          <w:szCs w:val="17"/>
          <w:color w:val="auto"/>
        </w:rPr>
        <w:t>. For a period of two (2) years from the Effective Date, the Company will furnish to the Underwriters copies of such financial statements and other periodic and special reports as the Company from time to time furnishes generally to holders of any class of its securities and also promptly furnish to the Underwriters: (i) a copy of each periodic report the Company shall be required to file with the Commission; (ii) a copy of every press release and every news item and article with respect to the Company or its affairs which was released by the Company; (iii) a copy of each Form 8-K prepared and filed by the Company; (iv) a copy of each registration statement filed by the Company under the Act; (v) such additional documents and information with respect to the Company and the affairs of any future subsidiaries of the Company as the Underwriters may from time to time reasonably request, provided that the Underwriters shall sign, if required by the Company, a Regulation FD compliant confidentiality agreement which is reasonably acceptable to the person or persons requesting the information and company counsel. Documents filed with the Commission pursuant to its EDGAR system shall be deemed to have been delivered to the Underwriters pursuant to this Section.</w:t>
      </w:r>
    </w:p>
    <w:p>
      <w:pPr>
        <w:spacing w:after="0" w:line="209"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 xml:space="preserve">3.8.2 </w:t>
      </w:r>
      <w:r>
        <w:rPr>
          <w:rFonts w:ascii="Arial" w:cs="Arial" w:eastAsia="Arial" w:hAnsi="Arial"/>
          <w:sz w:val="18"/>
          <w:szCs w:val="18"/>
          <w:u w:val="single" w:color="auto"/>
          <w:color w:val="auto"/>
        </w:rPr>
        <w:t>Transfer Sheets</w:t>
      </w:r>
      <w:r>
        <w:rPr>
          <w:rFonts w:ascii="Arial" w:cs="Arial" w:eastAsia="Arial" w:hAnsi="Arial"/>
          <w:sz w:val="18"/>
          <w:szCs w:val="18"/>
          <w:color w:val="auto"/>
        </w:rPr>
        <w:t>. For a period of five (5) years from the Effective Date, the Company shall retain a transfer and registrar agent acceptable to the Representative (the “</w:t>
      </w:r>
      <w:r>
        <w:rPr>
          <w:rFonts w:ascii="Arial" w:cs="Arial" w:eastAsia="Arial" w:hAnsi="Arial"/>
          <w:sz w:val="18"/>
          <w:szCs w:val="18"/>
          <w:b w:val="1"/>
          <w:bCs w:val="1"/>
          <w:color w:val="auto"/>
        </w:rPr>
        <w:t>Transfer Agent</w:t>
      </w:r>
      <w:r>
        <w:rPr>
          <w:rFonts w:ascii="Arial" w:cs="Arial" w:eastAsia="Arial" w:hAnsi="Arial"/>
          <w:sz w:val="18"/>
          <w:szCs w:val="18"/>
          <w:color w:val="auto"/>
        </w:rPr>
        <w:t>”), and for a period of two (2) years from the Effective Date, the Company shall furnish to the Underwriters at the Company’s sole cost and expense such transfer sheet reports of the Company’s securities available by subscription to DTC, upon the reasonable request of the Underwriters or any of them.</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3.8.3 </w:t>
      </w:r>
      <w:r>
        <w:rPr>
          <w:rFonts w:ascii="Arial" w:cs="Arial" w:eastAsia="Arial" w:hAnsi="Arial"/>
          <w:sz w:val="18"/>
          <w:szCs w:val="18"/>
          <w:u w:val="single" w:color="auto"/>
          <w:color w:val="auto"/>
        </w:rPr>
        <w:t>Trading Reports</w:t>
      </w:r>
      <w:r>
        <w:rPr>
          <w:rFonts w:ascii="Arial" w:cs="Arial" w:eastAsia="Arial" w:hAnsi="Arial"/>
          <w:sz w:val="18"/>
          <w:szCs w:val="18"/>
          <w:color w:val="auto"/>
        </w:rPr>
        <w:t>. During such time as the Shares are listed on NASDAQ, the Company shall provide to the Underwriters, at the Company’s expense, such reports published by NASDAQ relating to price trading of the Common Stock, as the Underwriters, or any of them, shall reasonably request.</w:t>
      </w:r>
    </w:p>
    <w:p>
      <w:pPr>
        <w:spacing w:after="0" w:line="18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Payment of General Expenses Related to the Offering</w:t>
      </w:r>
      <w:r>
        <w:rPr>
          <w:rFonts w:ascii="Arial" w:cs="Arial" w:eastAsia="Arial" w:hAnsi="Arial"/>
          <w:sz w:val="16"/>
          <w:szCs w:val="16"/>
          <w:color w:val="auto"/>
        </w:rPr>
        <w:t>. The Company hereby agrees to pay on each of the Closing Date and the Option Closing Date, if any, to the extent not paid at the Closing Date, all expenses incident to the performance of the obligations of the Company under this Agreement, including, but not limited to: (a) all filing fees and communication expenses relating to the registration of the Securities to be sold in the Offering (including the Option Shares) with the Commission; (b) all fees and expenses relating to the listing of the Common Stock on NASDAQ and such other stock exchanges as the Company and the Underwriters together determine; (c) all fees, expenses and disbursements relating to background checks of the Company’s officers and directors and the Company; (d) all fees, expenses and disbursements relating to the registration or qualification of the Securities under the “blue sky” securities laws of such states and other jurisdictions as the Underwriters may reasonably designate; (e) all fees, expenses and disbursements relating to the registration, qualification or exemption of the Securities under the securities laws of such foreign jurisdictions as the Underwriters may reasonably designate;</w:t>
      </w:r>
    </w:p>
    <w:p>
      <w:pPr>
        <w:spacing w:after="0" w:line="1" w:lineRule="exact"/>
        <w:rPr>
          <w:sz w:val="20"/>
          <w:szCs w:val="20"/>
          <w:color w:val="auto"/>
        </w:rPr>
      </w:pPr>
    </w:p>
    <w:p>
      <w:pPr>
        <w:jc w:val="both"/>
        <w:ind w:firstLine="8"/>
        <w:spacing w:after="0" w:line="267" w:lineRule="auto"/>
        <w:tabs>
          <w:tab w:leader="none" w:pos="273"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of all mailing and printing of the underwriting documents (including, without limitation, the Underwriting Agreement, any Blue Sky Memorandums and, if appropriate, any Agreement Among Underwriters, Selected Dealers’ Agreement, Underwriters’ Questionnaire and Power of Attorney), Registration Statements, Preliminary Prospectuses, Prospectuses and all amendments, supplements and exhibits thereto and as many preliminary and final Prospectuses as the Underwriters may reasonably deem necessary, (g) the costs and expenses of the public relations firm, if any; (h) the costs of preparing, printing and delivering certificates representing the Securities; (i) fees and expenses of the transfer agent for the Common Stock; (j) stock transfer and/or stamp taxes, if any, payable upon the transfer of securities from the Company to the Underwriters; (k) the fees and expenses of the Company’s accountants; and (l) the fees and expenses of the Company’s legal counsel and other agents and representatives (collectively, the “Company Expenses”). Furthermore, the Company hereby agrees to pay on the Closing Date, to the extent not paid prior to the Closing Date and in addition to the Company Expenses, (A) the negotiated set fees and disbursements of the Representative’s counsel in connection with the Offering, which shall be $150,000, of which $30,000 has been advanced on a refundable, accountable basis; (B) all other expenses of the Underwriters incurred in connection with the Offering, including (i) all Public Offering System filing fees associated with the review of the Offering by FINRA, (ii) the Underwriters’ use of i-Deal’s book-building, prospectus tracking and compliance software for the Offering, (iii) the Underwriters’ actual “road show” expenses for the Offering, and (iv) the Underwriters’ costs of mailing prospectuses to prospective investors, up to a maximum of $10,000 for all such expenses, of which $10,000 has been advanced on a refundable, accountable basis.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firstLine="648"/>
        <w:spacing w:after="0" w:line="30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Application of Net Proceeds</w:t>
      </w:r>
      <w:r>
        <w:rPr>
          <w:rFonts w:ascii="Arial" w:cs="Arial" w:eastAsia="Arial" w:hAnsi="Arial"/>
          <w:sz w:val="16"/>
          <w:szCs w:val="16"/>
          <w:color w:val="auto"/>
        </w:rPr>
        <w:t>. The section of the Prospectus, “Use of Proceeds,” will indicate in reasonable detail all the intended uses of the net proceeds from the Offering. The Company will apply the net proceeds from the Offering received by it in a manner consistent with the application described under the caption “Use Of Proceeds” in the Prospectus. No portion of the net proceeds from the Offering may be used to repay any accrued salaries or expenses to any current or former executive of the Company, unless agreed to by the Underwriters and set forth in the “Use of Proceeds.”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Delivery of Earnings Statements to Security Holders</w:t>
      </w:r>
      <w:r>
        <w:rPr>
          <w:rFonts w:ascii="Arial" w:cs="Arial" w:eastAsia="Arial" w:hAnsi="Arial"/>
          <w:sz w:val="17"/>
          <w:szCs w:val="17"/>
          <w:color w:val="auto"/>
        </w:rPr>
        <w:t>. The Company will make generally available to its security holders as soon as practicable, but not later than the first day of the fifteenth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consecutive months beginning after the Effective Date.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Stabilization</w:t>
      </w:r>
      <w:r>
        <w:rPr>
          <w:rFonts w:ascii="Arial" w:cs="Arial" w:eastAsia="Arial" w:hAnsi="Arial"/>
          <w:sz w:val="18"/>
          <w:szCs w:val="18"/>
          <w:color w:val="auto"/>
        </w:rPr>
        <w:t>. Neither the Company, nor, to its knowledge, any of its employees, directors or stockholders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Shares.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Accountants</w:t>
      </w:r>
      <w:r>
        <w:rPr>
          <w:rFonts w:ascii="Arial" w:cs="Arial" w:eastAsia="Arial" w:hAnsi="Arial"/>
          <w:sz w:val="18"/>
          <w:szCs w:val="18"/>
          <w:color w:val="auto"/>
        </w:rPr>
        <w:t>. The Company shall retain a nationally recognized independent certified public accounting firm for a period of at least three (3) years after the Effective Date. The Representative acknowledges that KMJ is acceptable to the Underwriters.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Director and Officer Insurance</w:t>
      </w:r>
      <w:r>
        <w:rPr>
          <w:rFonts w:ascii="Arial" w:cs="Arial" w:eastAsia="Arial" w:hAnsi="Arial"/>
          <w:sz w:val="18"/>
          <w:szCs w:val="18"/>
          <w:color w:val="auto"/>
        </w:rPr>
        <w:t>. As of the Closing Date, the Company will have obtained director and officer insurance in an aggregate coverage amount of not less than $5,000,000, to be effective as of the Closing Date, under a form of insurance policy that is reasonably acceptable to the Representative.</w:t>
      </w:r>
    </w:p>
    <w:p>
      <w:pPr>
        <w:spacing w:after="0" w:line="181"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FINRA</w:t>
      </w:r>
      <w:r>
        <w:rPr>
          <w:rFonts w:ascii="Arial" w:cs="Arial" w:eastAsia="Arial" w:hAnsi="Arial"/>
          <w:sz w:val="16"/>
          <w:szCs w:val="16"/>
          <w:color w:val="auto"/>
        </w:rPr>
        <w:t>. The Company shall advise the Representative (who shall make an appropriate filing with FINRA) if it has knowledge that any 5% or greater stockholder of the Company becomes an affiliate or associated person of any FINRA member participating in the distribution of the Securities.</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No Fiduciary Duties</w:t>
      </w:r>
      <w:r>
        <w:rPr>
          <w:rFonts w:ascii="Arial" w:cs="Arial" w:eastAsia="Arial" w:hAnsi="Arial"/>
          <w:sz w:val="16"/>
          <w:szCs w:val="16"/>
          <w:color w:val="auto"/>
        </w:rPr>
        <w:t>. The Company acknowledges and agrees that the responsibility of the Underwriters to the Company is solely contractual in nature and that neither the Underwriters nor their affiliates or any selling agent shall be deemed to be acting in a fiduciary capacity, or otherwise owes any fiduciary duty to the Company or any of its affiliates in connection with the Offering and the other transactions contemplated by this Agreement.</w:t>
      </w:r>
    </w:p>
    <w:p>
      <w:pPr>
        <w:spacing w:after="0" w:line="14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Electronic Prospectus</w:t>
      </w:r>
      <w:r>
        <w:rPr>
          <w:rFonts w:ascii="Arial" w:cs="Arial" w:eastAsia="Arial" w:hAnsi="Arial"/>
          <w:sz w:val="16"/>
          <w:szCs w:val="16"/>
          <w:color w:val="auto"/>
        </w:rPr>
        <w:t>. The Company shall cause to be prepared and delivered to the Underwriters, at its expense, promptly, but in no event later than two (2) Business Days from the effective date of this Agreement, an Electronic Prospectus to be used by the Underwriters in connection with the Offering. As used herein, the term “Electronic Prospectus” means a form of prospectus, and any amendment or supplement thereto, that meets each of the following conditions: (i) it shall be encoded in an electronic format, satisfactory to the Underwriters, that may be transmitted electronically by the Underwriters to offerees and purchasers of the Securities for at least the period during which a prospectus relating to the Securities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Underwriters, that will allow recipients thereof to store and have continuously ready access to the prospectus at any future time, without charge to such recipients (other than any fee charged for subscription to the Internet as a whole and for on-line time).</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will reserve and keep available that maximum number of its authorized but unissued securities which are issuable upon exercise of the Underwriters’ Warrants outstanding from time to time.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8" w:name="page19"/>
    <w:bookmarkEnd w:id="18"/>
    <w:p>
      <w:pPr>
        <w:ind w:left="180" w:hanging="172"/>
        <w:spacing w:after="0"/>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Conditions of Underwriters’ Obligations.</w:t>
      </w:r>
      <w:r>
        <w:rPr>
          <w:rFonts w:ascii="Arial" w:cs="Arial" w:eastAsia="Arial" w:hAnsi="Arial"/>
          <w:sz w:val="16"/>
          <w:szCs w:val="16"/>
          <w:color w:val="auto"/>
        </w:rPr>
        <w:t xml:space="preserve"> The obligations of the Underwriters to purchase and pay for the Securities, as provided herein, shall be subject to</w:t>
      </w:r>
    </w:p>
    <w:p>
      <w:pPr>
        <w:spacing w:after="0" w:line="46"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color w:val="auto"/>
        </w:rPr>
        <w:t>(i) the continuing accuracy of the representations and warranties of the Company as of the date hereof and, as of each of the Closing Date and the Option Closing Date, if any; (ii) the accuracy of the statements of officers of the Company made pursuant to the provisions hereof; (iii) the performance by the Company of its obligations hereunder, and (iv) the following conditions: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4.1 Regulatory Matters.</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Effectiveness of Registration Statement</w:t>
      </w:r>
      <w:r>
        <w:rPr>
          <w:rFonts w:ascii="Arial" w:cs="Arial" w:eastAsia="Arial" w:hAnsi="Arial"/>
          <w:sz w:val="18"/>
          <w:szCs w:val="18"/>
          <w:color w:val="auto"/>
        </w:rPr>
        <w:t>. The Registration Statement shall have become effective not later than 5:00 P.M., Eastern time, on February 7, 2012 or such later date and time as shall be consented to in writing by you, and, at each of the Closing Date and the Option Closing Date, no stop order suspending the effectiveness of the Registration Statement shall have been issued and no proceedings for that purpose shall have been instituted or shall be pending or contemplated by the Commission and any request on the part of the Commission for additional information shall have been complied with to the reasonable satisfaction of Morrison &amp; Foerster LLP.</w:t>
      </w:r>
    </w:p>
    <w:p>
      <w:pPr>
        <w:spacing w:after="0" w:line="18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FINRA Clearance</w:t>
      </w:r>
      <w:r>
        <w:rPr>
          <w:rFonts w:ascii="Arial" w:cs="Arial" w:eastAsia="Arial" w:hAnsi="Arial"/>
          <w:sz w:val="18"/>
          <w:szCs w:val="18"/>
          <w:color w:val="auto"/>
        </w:rPr>
        <w:t>. By the Effective Date, the Representative shall have received clearance from FINRA as to the amount of compensation allowable or payable to the Underwriters as described in the Registration Statement.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Exchange Stock Market Clearance</w:t>
      </w:r>
      <w:r>
        <w:rPr>
          <w:rFonts w:ascii="Arial" w:cs="Arial" w:eastAsia="Arial" w:hAnsi="Arial"/>
          <w:sz w:val="18"/>
          <w:szCs w:val="18"/>
          <w:color w:val="auto"/>
        </w:rPr>
        <w:t>. On the Closing Date, the Common Stock, including the Firm Shares, shall have been approved for listing on NASDAQ.</w:t>
      </w:r>
    </w:p>
    <w:p>
      <w:pPr>
        <w:spacing w:after="0" w:line="197"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Blue Sky</w:t>
      </w:r>
      <w:r>
        <w:rPr>
          <w:rFonts w:ascii="Arial" w:cs="Arial" w:eastAsia="Arial" w:hAnsi="Arial"/>
          <w:sz w:val="17"/>
          <w:szCs w:val="17"/>
          <w:color w:val="auto"/>
        </w:rPr>
        <w:t>. The Underwriters will have received from the counsel to the Company, such forms of Preliminary Blue Sky Memorandums as reasonably requested, and at the Closing Date, dated as of the Effective Date, the Underwriters will have received from the counsel to the Company, a Final Blue Sky Memorandum, in each case indicating those jurisdictions in the United States and its territories in which the Securities may be offered and sold in the Offering. The Underwriters will be provided a reasonable number of original copies of the Preliminary Blue Sky Memorandums and Final Blue Sky Memorandum, and the Underwriters are hereby granted the right to provide copies thereof to members of the selling group, including Selected Dealers, indicating that such members may rely on the Preliminary Blue Sky Memorandum and Final Blue Sky Memorandum.</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4.2 Company Counsel Matters.</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Closing Date Opinion of Counsel</w:t>
      </w:r>
      <w:r>
        <w:rPr>
          <w:rFonts w:ascii="Arial" w:cs="Arial" w:eastAsia="Arial" w:hAnsi="Arial"/>
          <w:sz w:val="18"/>
          <w:szCs w:val="18"/>
          <w:color w:val="auto"/>
        </w:rPr>
        <w:t>. On the Closing Date, the Representative shall have received the opinion of Morrison &amp; Foerster LLP, counsel to the Company, in substantially the form agreed to with counsel to the Representative prior to the date hereof and a statement of negative assurance in substantially the form agreed to with counsel to the Representative prior to the date hereof, in each case dated the Closing Date and in form and substance reasonably satisfactory to the Underwriters.</w:t>
      </w:r>
    </w:p>
    <w:p>
      <w:pPr>
        <w:spacing w:after="0" w:line="187"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Option Closing Date Opinion of Counsel</w:t>
      </w:r>
      <w:r>
        <w:rPr>
          <w:rFonts w:ascii="Arial" w:cs="Arial" w:eastAsia="Arial" w:hAnsi="Arial"/>
          <w:sz w:val="16"/>
          <w:szCs w:val="16"/>
          <w:color w:val="auto"/>
        </w:rPr>
        <w:t>. On the Option Closing Date, if any, the Underwriters shall have received the opinion of Morrison &amp; Foerster LLP and a statement of negative assurance listed in Section 4.2.1, in each case dated the Option Closing Date addressed to the Representative, as representative of the Underwriters, and in form and substance reasonably satisfactory to the Underwriters, confirming as of the Option Closing Date, the statements made by such counsel in its respective opinion and statement of negative assurance delivered on the Closing Date.</w:t>
      </w:r>
    </w:p>
    <w:p>
      <w:pPr>
        <w:spacing w:after="0" w:line="154"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u w:val="single" w:color="auto"/>
          <w:color w:val="auto"/>
        </w:rPr>
        <w:t>Reliance</w:t>
      </w:r>
      <w:r>
        <w:rPr>
          <w:rFonts w:ascii="Arial" w:cs="Arial" w:eastAsia="Arial" w:hAnsi="Arial"/>
          <w:sz w:val="17"/>
          <w:szCs w:val="17"/>
          <w:color w:val="auto"/>
        </w:rPr>
        <w:t>. In rendering such opinions,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Underwriters) of other counsel reasonably acceptable to the Underwriters, familiar with the applicable laws; (ii) as to matters of fact, to the extent they deem proper, on certificates or other written statements of officers of the Company and officers of departments of various jurisdiction having custody of documents respecting the corporate existence or good standing of the Company, provided that copies of any such statements or certificates shall be delivered to R&amp;P if requested; and (iii) such other matters as are customary. The opinion of Morrison &amp; Foerster LLP, and any opinions relied upon by Morrison &amp; Foerster LLP, shall include a statement to the effect that it may be relied upon by counsel for the Representative in its opinion delivered to the Representative.</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9" w:name="page20"/>
    <w:bookmarkEnd w:id="19"/>
    <w:p>
      <w:pPr>
        <w:jc w:val="both"/>
        <w:ind w:firstLine="648"/>
        <w:spacing w:after="0" w:line="264"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Cold Comfort Letter</w:t>
      </w:r>
      <w:r>
        <w:rPr>
          <w:rFonts w:ascii="Arial" w:cs="Arial" w:eastAsia="Arial" w:hAnsi="Arial"/>
          <w:sz w:val="18"/>
          <w:szCs w:val="18"/>
          <w:color w:val="auto"/>
        </w:rPr>
        <w:t>. At the time this Agreement is executed, and at each of the Closing Date and the Option Closing Date, if any, you shall have received a cold comfort letter, addressed to the Representative and in form and substance satisfactory in all respects to you and to R&amp;P from KMJ dated, respectively, as of the date of this Agreement and as of the Closing Date and the Option Closing Date, if any.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4.4 Officers’ Certificates.</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4.4.1 </w:t>
      </w:r>
      <w:r>
        <w:rPr>
          <w:rFonts w:ascii="Arial" w:cs="Arial" w:eastAsia="Arial" w:hAnsi="Arial"/>
          <w:sz w:val="17"/>
          <w:szCs w:val="17"/>
          <w:u w:val="single" w:color="auto"/>
          <w:color w:val="auto"/>
        </w:rPr>
        <w:t>Officers’ Certificate</w:t>
      </w:r>
      <w:r>
        <w:rPr>
          <w:rFonts w:ascii="Arial" w:cs="Arial" w:eastAsia="Arial" w:hAnsi="Arial"/>
          <w:sz w:val="17"/>
          <w:szCs w:val="17"/>
          <w:color w:val="auto"/>
        </w:rPr>
        <w:t>. At each of the Closing Date and the Option Closing Date, if any, the Underwriters shall have received a certificate of the Company signed by the Chief Executive Officer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Section 4.5 hereof have been satisfied as of such date and that, as of the Closing Date and the Option Closing Date, as the case may be, the representations and warranties of the Company set forth in Section 2 hereof are true and correct. In addition, the Underwriters will have received such other and further certificates of officers of the Company as the Underwriters may reasonably request.</w:t>
      </w:r>
    </w:p>
    <w:p>
      <w:pPr>
        <w:spacing w:after="0" w:line="178"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Secretary’s Certificate</w:t>
      </w:r>
      <w:r>
        <w:rPr>
          <w:rFonts w:ascii="Arial" w:cs="Arial" w:eastAsia="Arial" w:hAnsi="Arial"/>
          <w:sz w:val="17"/>
          <w:szCs w:val="17"/>
          <w:color w:val="auto"/>
        </w:rPr>
        <w:t>. At each of the Closing Date and the Option Closing Date, if any, the Underwriters shall have received a certificate of the Company signed by the Secretary or Assistant Secretary of the Company, dated the Closing Date or the Option Date, as the case may be, respectively, certifying: (i) that the Certificate of Incorporation is true and complete, has not been modified and is in full force and effect; (ii) that the resolutions of the Company’s Board of Directors relating to the public offering contemplated by this Agreement are in full force and effect and have not been modified; (iii) as to the accuracy and completeness of all written correspondence between the Company or its counsel and the Commission; and (iv) as to the incumbency of the officers of the Company. The documents referred to in such certificate shall be attached to such certificate.</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 Material Changes</w:t>
      </w:r>
      <w:r>
        <w:rPr>
          <w:rFonts w:ascii="Arial" w:cs="Arial" w:eastAsia="Arial" w:hAnsi="Arial"/>
          <w:sz w:val="17"/>
          <w:szCs w:val="17"/>
          <w:color w:val="auto"/>
        </w:rPr>
        <w:t>. Prior to and on each of the Closing Date and the Option Closing Date, if any: (i) there shall have been no material adverse change or development creating a prospective Material Adverse Effect from the latest dates as of which such condition is set forth in the Registration Statement, the Statutory Prospectus and the Prospectus; (ii) no action, suit or proceeding, at law or in equity, shall have been pending or, to the knowledge of the Company, threatened against the Company or any Insider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Statutory Prospectus and Prospectus; (iii) no stop order shall have been issued under the Act and no proceedings therefore shall have been initiated or threatened by the Commission; and (iv) the Registration Statement, any Preliminary Prospectus, the Statutory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none of the Registration Statement, Preliminary Prospectus, Statutory Prospectus or the Prospectus and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4.6 Delivery of Agreements.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u w:val="single" w:color="auto"/>
          <w:color w:val="auto"/>
        </w:rPr>
        <w:t>Effective Date Deliveries</w:t>
      </w:r>
      <w:r>
        <w:rPr>
          <w:rFonts w:ascii="Arial" w:cs="Arial" w:eastAsia="Arial" w:hAnsi="Arial"/>
          <w:sz w:val="18"/>
          <w:szCs w:val="18"/>
          <w:color w:val="auto"/>
        </w:rPr>
        <w:t>. On or prior to the Effective Date, the Company shall have delivered to the Underwriters executed copies of this Agreement and the Lock-Up Agreements.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4.6.2 </w:t>
      </w:r>
      <w:r>
        <w:rPr>
          <w:rFonts w:ascii="Arial" w:cs="Arial" w:eastAsia="Arial" w:hAnsi="Arial"/>
          <w:sz w:val="18"/>
          <w:szCs w:val="18"/>
          <w:u w:val="single" w:color="auto"/>
          <w:color w:val="auto"/>
        </w:rPr>
        <w:t>Closing Date Deliveries</w:t>
      </w:r>
      <w:r>
        <w:rPr>
          <w:rFonts w:ascii="Arial" w:cs="Arial" w:eastAsia="Arial" w:hAnsi="Arial"/>
          <w:sz w:val="18"/>
          <w:szCs w:val="18"/>
          <w:color w:val="auto"/>
        </w:rPr>
        <w:t>. On the Closing Date, the Company shall have delivered to the Representative an executed copy of the Underwriters’ Warrant.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 Indemnification of the Underwriters.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jc w:val="both"/>
        <w:ind w:firstLine="1297"/>
        <w:spacing w:after="0" w:line="283"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conditions set forth below, the Company agrees to indemnify and hold harmless each Underwriter and each dealer selected by each Underwriter that participates in the offer and sale of the Securities (each a “</w:t>
      </w:r>
      <w:r>
        <w:rPr>
          <w:rFonts w:ascii="Arial" w:cs="Arial" w:eastAsia="Arial" w:hAnsi="Arial"/>
          <w:sz w:val="16"/>
          <w:szCs w:val="16"/>
          <w:b w:val="1"/>
          <w:bCs w:val="1"/>
          <w:color w:val="auto"/>
        </w:rPr>
        <w:t>Selected Dealer</w:t>
      </w:r>
      <w:r>
        <w:rPr>
          <w:rFonts w:ascii="Arial" w:cs="Arial" w:eastAsia="Arial" w:hAnsi="Arial"/>
          <w:sz w:val="16"/>
          <w:szCs w:val="16"/>
          <w:color w:val="auto"/>
        </w:rPr>
        <w:t>”) and each of their respective directors, officers and employees and each person, if any, who controls any such Underwriter and dealer (“</w:t>
      </w:r>
      <w:r>
        <w:rPr>
          <w:rFonts w:ascii="Arial" w:cs="Arial" w:eastAsia="Arial" w:hAnsi="Arial"/>
          <w:sz w:val="16"/>
          <w:szCs w:val="16"/>
          <w:b w:val="1"/>
          <w:bCs w:val="1"/>
          <w:color w:val="auto"/>
        </w:rPr>
        <w:t>Controlling Person</w:t>
      </w:r>
      <w:r>
        <w:rPr>
          <w:rFonts w:ascii="Arial" w:cs="Arial" w:eastAsia="Arial" w:hAnsi="Arial"/>
          <w:sz w:val="16"/>
          <w:szCs w:val="16"/>
          <w:color w:val="auto"/>
        </w:rPr>
        <w:t>”) within the meaning of Section 15 of the Act or Section 20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Underwriter and the Company or between any Underwriter and any third party or otherwise) to which they or any of them may become subject under the Act, the Exchange Act or any other statute or at common law or otherwise or under the laws of foreign countries, arising out of or based upon any untrue statement or alleged untrue statement of a material fact contained in (i) the Registration Statement, any Preliminary Prospectus, the Statutory Prospectus or the Prospectus (as from time to time each may be amended and supplemented); (ii) any materials or information provided to investors by, or with the approval of, the Company in connection with the marketing of the offering of the Securities, including any “road show” or investor presentations made to investors by the Company (whether in person or electronically); (iii) any application or other document or written communication (in this Section 5, collectively called “application”) executed by the Company or based upon written information furnished by the Company in any jurisdiction in order to qualify the Shares under the securities laws thereof or filed with the Commission, any state securities commission or agency, NASDAQ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strict conformity with “Underwriter Information” (as described in Section 2.3.1) furnished to the Company by the Underwriters; or</w:t>
      </w:r>
    </w:p>
    <w:p>
      <w:pPr>
        <w:jc w:val="both"/>
        <w:ind w:firstLine="8"/>
        <w:spacing w:after="0" w:line="252" w:lineRule="auto"/>
        <w:tabs>
          <w:tab w:leader="none" w:pos="30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representation or warranty of the Company in Section 2.17.1 hereof. The Company agrees promptly to notify the Underwriters of the commencement of any litigation or proceedings against the Company or any of its officers, directors or Controlling Persons in connection with the issue and sale of the Securities or in connection with the Registration Statement, any Preliminary Prospectus, the Statutory Prospectus or the Prospectus. Notwithstanding anything to the contrary, in no event shall the Company be obligated to indemnify pursuant to this Section 5.1.1 for any loss, liability, claim, damage or expense arising out or related to a breach of the representations contained in Section 2 hereof if such breach was caused by the wrongful action or wrongful inaction of any Underwriter or its related persons.</w:t>
      </w:r>
    </w:p>
    <w:p>
      <w:pPr>
        <w:spacing w:after="0" w:line="194"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Procedure</w:t>
      </w:r>
      <w:r>
        <w:rPr>
          <w:rFonts w:ascii="Arial" w:cs="Arial" w:eastAsia="Arial" w:hAnsi="Arial"/>
          <w:sz w:val="16"/>
          <w:szCs w:val="16"/>
          <w:color w:val="auto"/>
        </w:rPr>
        <w:t>. If any action is brought against any Underwriter, a Selected Dealer or a Controlling Person in respect of which indemnity may be sought against the Company pursuant to Section 5.1.1, the Underwriter, such Selected Dealer or Controlling Person, as the case may be, shall promptly notify the Company in writing of the institution of such action and the Company shall assume the defense of such action, including the employment and fees of counsel (subject to the reasonable approval of the Underwriter or such Selected Dealer or Controlling Person, as the case may be) and payment of actual expenses. Any delay in notice will not relieve the Company of any liability to an indemnified party, except to the extent that the delay prejudiced the defense of the action. Any indemnified person shall have the right to employ its or their own counsel in any such case, but the fees and expenses of such counsel which are incurred after the Company assumes the defense of the action shall be at the expense of the Underwriter, such Selected Dealer or Controlling Person unless (i) the employment of such counsel at the expense of the Company shall have been authorized in writing by the Company in connection with the defense of such action, or (ii) the Company fails to assume the defense or to employ counsel to have charge of the defense of such action within a reasonable time after notice of the action, or (iii)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(in addition to local counsel) selected by the Underwriter, Selected Dealer and/or Controlling Person in their sole discretion shall be borne by the Company and paid as incurred or, at the option of the indemnified party, advanced pursuant to Section 5.1.4.</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jc w:val="both"/>
        <w:ind w:firstLine="1297"/>
        <w:spacing w:after="0" w:line="269"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Settlement</w:t>
      </w:r>
      <w:r>
        <w:rPr>
          <w:rFonts w:ascii="Arial" w:cs="Arial" w:eastAsia="Arial" w:hAnsi="Arial"/>
          <w:sz w:val="17"/>
          <w:szCs w:val="17"/>
          <w:color w:val="auto"/>
        </w:rPr>
        <w:t>. The Company will not effect any settlement of a proceeding in respect of which indemnification may be sought hereunder (whether or not any indemnified person is a party therein) unless the Company has given the Underwriter, Selected Dealer or Controlling Person, as the case may be, reasonable prior written notice thereof and such settlement, compromise, consent or termination includes an unconditional release of each indemnified party from any liabilities arising out of such proceeding. The Company will not permit any such settlement, compromise, consent or termination to include a statement as to, or an admission of, fault, culpability or a failure to act by or on behalf of any indemnified party, without that party's prior written consent. Notwithstanding anything to the contrary contained herein, if any Underwriter, Selected Dealer or Controlling Person shall conduct the defense of an action as provided in Section 5.1.2., the Company shall have the right to approve the terms of any settlement of such action, which approval shall not be unreasonably withheld, except that if the Company is required by the terms of this Agreement to and nonetheless fails to reimburse or advance the expenses of such defense, then the Company shall be bound by any determination made in the action or by any compromise or settlement made by the indemnified party without the Company’s written consent, provided the indemnified party provides the Company 30 days prior notice of its intention to settle or compromise such action.</w:t>
      </w:r>
    </w:p>
    <w:p>
      <w:pPr>
        <w:spacing w:after="0" w:line="210"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Advances</w:t>
      </w:r>
      <w:r>
        <w:rPr>
          <w:rFonts w:ascii="Arial" w:cs="Arial" w:eastAsia="Arial" w:hAnsi="Arial"/>
          <w:sz w:val="18"/>
          <w:szCs w:val="18"/>
          <w:color w:val="auto"/>
        </w:rPr>
        <w:t>. Notwithstanding any other provision hereof, the Company shall advance, to the extent not prohibited by law, all expenses reasonably anticipated to be incurred by or on behalf of the Underwriter, a Selected Dealer or Controlling Person in connection with any proceeding, whether pending or threatened, within thirty (30) days of receipt of a statement or statements from such indemnified parties, or any of them, requesting such advances from time to time. This advancement obligation shall include any reasonable and required retainers of counsel engaged by indemnified parties. Any statement requesting advances shall evidence the expenses anticipated or incurred by the indemnified party with reasonable particularity and may include only those expenses reasonably expected to be incurred within the 180-day period following each statement. In the event some portion of the amounts advanced are unused, or in the event a court of ultimate jurisdiction determines that the indemnified parties are not entitled to be indemnified against certain expenses, the recipient shall return the unused or disallowed portion of any advances within thirty (30) days of the final disposition of any proceeding to which such advances pertain.</w:t>
      </w:r>
    </w:p>
    <w:p>
      <w:pPr>
        <w:spacing w:after="0" w:line="19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Indemnification of the Company</w:t>
      </w:r>
      <w:r>
        <w:rPr>
          <w:rFonts w:ascii="Arial" w:cs="Arial" w:eastAsia="Arial" w:hAnsi="Arial"/>
          <w:sz w:val="16"/>
          <w:szCs w:val="16"/>
          <w:color w:val="auto"/>
        </w:rPr>
        <w:t>. Each Underwriter severally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Underwriters, as incurred, but only with respect to untrue statements or omissions, or alleged untrue statements or omissions made in any Preliminary Prospectus, the Registration Statement or Prospectus or any amendment or supplement thereto or in any application, made in reliance upon and in strict conformity with the “Underwriter’s Information” furnished by the Underwriters to the Company expressly for use in such Preliminary Prospectus, the Registration Statement or Prospectus or any amendment or supplement thereto or in any such application. In case any action shall be brought against the Company or any other person so indemnified based on any Preliminary Prospectus, the Registration Statement or Prospectus or any amendment or supplement thereto or any application, and in respect of which indemnity may be sought against the Underwriter, the Underwriter shall have the rights and duties given to the Company, and the Company and each other person so indemnified shall have the rights and duties given to the Underwriter by the provisions of Sections 5.1.2, 5.1.3 and 5.1.4.</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5.3 Contribution.</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u w:val="single" w:color="auto"/>
          <w:color w:val="auto"/>
        </w:rPr>
        <w:t>Contribution Rights</w:t>
      </w:r>
      <w:r>
        <w:rPr>
          <w:rFonts w:ascii="Arial" w:cs="Arial" w:eastAsia="Arial" w:hAnsi="Arial"/>
          <w:sz w:val="16"/>
          <w:szCs w:val="16"/>
          <w:color w:val="auto"/>
        </w:rPr>
        <w:t>. In order to provide for just and equitable contribution under the Act in any case in which (i) any person entitled to indemnification under this Section 5 makes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5 provides for indemnification in such case, or (ii) contribution under the Act, the Exchange Act or otherwise may be required on the part of any such person in circumstances for which indemnification is provided under this Section 5, then, and in each such case, the Company and the Underwriter shall contribute to the aggregate losses, liabilities, claims, damages and expenses of the nature contemplated by said indemnity agreement incurred by the Company and the Underwriter, as incurred, in such proportions that the Underwriter is responsible for that portion represented by the percentage that the underwriting discount appearing on the cover page of the Prospectus bears to the initial offering price appearing thereon and the Company is responsible for the balance; provided, that, no person guilty of a fraudulent misrepresentation (within the meaning of Section 11(f) of the Act) shall be entitled to contribution from any person who was not guilty of such fraudulent misrepresentation. Notwithstanding the provisions of this Section 5.3.1, no Underwriter shall be required to contribute any amount in excess of the amount by which the total price at which the Securities underwritten by it and distributed to the public were offered to the public exceeds the amount of any damages that the Underwriter has otherwise been required to pay in respect of such losses, liabilities, claims, damages and expenses. For purposes of this Section, each director, officer and employee of the Underwriter or the Company, as applicable, and each person, if any, who controls the Underwriter or the Company, as applicable, within the meaning of Section 15 of the Act shall have the same rights to contribution as the Underwriter or the Company, as applicable.</w:t>
      </w:r>
    </w:p>
    <w:p>
      <w:pPr>
        <w:spacing w:after="0" w:line="16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auto"/>
        </w:rPr>
        <w:t xml:space="preserve">5.3.2 </w:t>
      </w:r>
      <w:r>
        <w:rPr>
          <w:rFonts w:ascii="Arial" w:cs="Arial" w:eastAsia="Arial" w:hAnsi="Arial"/>
          <w:sz w:val="17"/>
          <w:szCs w:val="17"/>
          <w:u w:val="single" w:color="auto"/>
          <w:color w:val="auto"/>
        </w:rPr>
        <w:t>Contribution Procedure</w:t>
      </w:r>
      <w:r>
        <w:rPr>
          <w:rFonts w:ascii="Arial" w:cs="Arial" w:eastAsia="Arial" w:hAnsi="Arial"/>
          <w:sz w:val="17"/>
          <w:szCs w:val="17"/>
          <w:color w:val="auto"/>
        </w:rPr>
        <w:t>. Within thirty (30) days after receipt by any party to this Agreement (or its representative) of notice of the commencement of any action, suit or proceeding, such party will, if a claim for contribution in respect thereof is to be made against another party (“</w:t>
      </w:r>
      <w:r>
        <w:rPr>
          <w:rFonts w:ascii="Arial" w:cs="Arial" w:eastAsia="Arial" w:hAnsi="Arial"/>
          <w:sz w:val="17"/>
          <w:szCs w:val="17"/>
          <w:b w:val="1"/>
          <w:bCs w:val="1"/>
          <w:color w:val="auto"/>
        </w:rPr>
        <w:t>contributing party</w:t>
      </w:r>
      <w:r>
        <w:rPr>
          <w:rFonts w:ascii="Arial" w:cs="Arial" w:eastAsia="Arial" w:hAnsi="Arial"/>
          <w:sz w:val="17"/>
          <w:szCs w:val="17"/>
          <w:color w:val="auto"/>
        </w:rPr>
        <w:t>”), notify the contributing party of the commencement thereof, but the failure to so notify the contributing party will not relieve the contributing party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thirty (30)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without the written consent of such contributing party. The contribution provisions contained in this Section 5.3.2 are intended to supersede, to the extent permitted by law, any right to contribution under the Act, the Exchange Act or otherwise available.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Additional Covenants.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Board Composition and Board Designations</w:t>
      </w:r>
      <w:r>
        <w:rPr>
          <w:rFonts w:ascii="Arial" w:cs="Arial" w:eastAsia="Arial" w:hAnsi="Arial"/>
          <w:sz w:val="16"/>
          <w:szCs w:val="16"/>
          <w:color w:val="auto"/>
        </w:rPr>
        <w:t>. The Company shall ensure that: (i) the qualifications of the persons serving as board members and the overall composition of the board comply with the Sarbanes-Oxley Act of 2002 and the rules promulgated thereunder and with the listing requirements of NASDAQ or any other national securities exchange or national securities association, as the case may be, in the event the Company seeks to have its Securities listed on another exchange or quoted on an automated quotation system, and (ii) if applicable, at least one member of the board of directors qualifies as a “financial expert” as such term is defined under the Sarbanes-Oxley Act of 2002 and the rules promulgated thereunder.</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Prohibition on Press Releases and Public Announcements</w:t>
      </w:r>
      <w:r>
        <w:rPr>
          <w:rFonts w:ascii="Arial" w:cs="Arial" w:eastAsia="Arial" w:hAnsi="Arial"/>
          <w:sz w:val="16"/>
          <w:szCs w:val="16"/>
          <w:color w:val="auto"/>
        </w:rPr>
        <w:t>. The Company will not issue press releases or engage in any other publicity, without the Representative’s prior written consent, for a period commencing on the Effective Date and ending at 5:00 p.m. Eastern time on the first business day following the 40th day following the Closing Date, other than normal and customary releases issued in the ordinary course of the Company’s business.</w:t>
      </w:r>
    </w:p>
    <w:p>
      <w:pPr>
        <w:spacing w:after="0" w:line="147"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Effective Date of this Agreement and Termination Thereof.</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Effective Date</w:t>
      </w:r>
      <w:r>
        <w:rPr>
          <w:rFonts w:ascii="Arial" w:cs="Arial" w:eastAsia="Arial" w:hAnsi="Arial"/>
          <w:sz w:val="18"/>
          <w:szCs w:val="18"/>
          <w:color w:val="auto"/>
        </w:rPr>
        <w:t>. This Agreement shall become effective when both the Company and the Representative have executed the same and delivered counterparts of such signatures to the other party.</w:t>
      </w:r>
    </w:p>
    <w:p>
      <w:pPr>
        <w:spacing w:after="0" w:line="17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Termination</w:t>
      </w:r>
      <w:r>
        <w:rPr>
          <w:rFonts w:ascii="Arial" w:cs="Arial" w:eastAsia="Arial" w:hAnsi="Arial"/>
          <w:sz w:val="16"/>
          <w:szCs w:val="16"/>
          <w:color w:val="auto"/>
        </w:rPr>
        <w:t>. The Representative may terminate this Agreement by notice to the Company at any time prior to the Closing Date or the Option Closing Date, if any, (i) if any domestic or international event or act or occurrence has materially disrupted, or in its reasonable opinion will in the immediate future materially disrupt, general securities markets in the United States, or (ii) if trading on the New York Stock Exchange, the NASDAQ, the NASDAQ Global Market or the NASDAQ Capital Market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 substantial increase in major hostilities, or (iv) if a banking moratorium has been declared by a New York State or Federal authority or foreign authority which has a substantial disruptive effect on or adversely impacts the United States securities markets,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its reasonable opinion, make it inadvisable to proceed with the delivery of the Firm Shares or Option Shares, or (vii) if the Company is in material breach of any of its representations, warranties or covenants hereunder, or</w:t>
      </w:r>
    </w:p>
    <w:p>
      <w:pPr>
        <w:spacing w:after="0" w:line="5" w:lineRule="exact"/>
        <w:rPr>
          <w:sz w:val="20"/>
          <w:szCs w:val="20"/>
          <w:color w:val="auto"/>
        </w:rPr>
      </w:pPr>
    </w:p>
    <w:p>
      <w:pPr>
        <w:jc w:val="both"/>
        <w:ind w:firstLine="8"/>
        <w:spacing w:after="0" w:line="254" w:lineRule="auto"/>
        <w:tabs>
          <w:tab w:leader="none" w:pos="413"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Underwriters shall have become aware after the date hereof of such a material adverse change in the conditions or prospects of the Company, or such adverse material change in general market conditions as in the Representative’s good faith judgment would make it impracticable to proceed with the offering, sale and/or delivery of the Firm Shares or Option Shares or to enforce contracts made by the Underwriters for the sale of the Firm Shares or Option Shares.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ind w:firstLine="648"/>
        <w:spacing w:after="0" w:line="255"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In the event that this Agreement shall not be carried out for any reason whatsoever, within the time specified herein or any extensions thereof pursuant to the terms herein, the Company shall be obligated to pay to the Underwriters their actual and accountable out of pocket expenses related to the transactions contemplated herein then due and payable, if not already paid, (including the actual and accountable out of pocket expenses (but not to exceed the amount of actual and accountable out of pocket expenses approved by FINRA) related to its legal counsel, R&amp;P, up to $30,000, which has already been paid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expense cap in no way limits or impairs the indemnification and contribution provisions of this Agreement).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Indemnification</w:t>
      </w:r>
      <w:r>
        <w:rPr>
          <w:rFonts w:ascii="Arial" w:cs="Arial" w:eastAsia="Arial" w:hAnsi="Arial"/>
          <w:sz w:val="18"/>
          <w:szCs w:val="18"/>
          <w:color w:val="auto"/>
        </w:rPr>
        <w:t>. Notwithstanding any contrary provision contained in this Agreement, any election hereunder or any termination of this Agreement, and whether or not this Agreement is otherwise carried out, the provisions of Section 5 shall not be in any way effected by, such election or termination or failure to carry out the terms of this Agreement or any part hereof.</w:t>
      </w:r>
    </w:p>
    <w:p>
      <w:pPr>
        <w:spacing w:after="0" w:line="200" w:lineRule="exact"/>
        <w:rPr>
          <w:sz w:val="20"/>
          <w:szCs w:val="20"/>
          <w:color w:val="auto"/>
        </w:rPr>
      </w:pPr>
    </w:p>
    <w:p>
      <w:pPr>
        <w:spacing w:after="0" w:line="2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Default by One or More of the Underwriters</w:t>
      </w:r>
      <w:r>
        <w:rPr>
          <w:rFonts w:ascii="Arial" w:cs="Arial" w:eastAsia="Arial" w:hAnsi="Arial"/>
          <w:sz w:val="18"/>
          <w:szCs w:val="18"/>
          <w:color w:val="auto"/>
        </w:rPr>
        <w:t>. If one or more of the Underwriters shall fail at the Closing Date or the Option Closing Date, if any, to purchase the Securities which it or they are obligated to purchase under this Agreement (the “</w:t>
      </w:r>
      <w:r>
        <w:rPr>
          <w:rFonts w:ascii="Arial" w:cs="Arial" w:eastAsia="Arial" w:hAnsi="Arial"/>
          <w:sz w:val="18"/>
          <w:szCs w:val="18"/>
          <w:b w:val="1"/>
          <w:bCs w:val="1"/>
          <w:color w:val="auto"/>
        </w:rPr>
        <w:t>Defaulted Securities</w:t>
      </w:r>
      <w:r>
        <w:rPr>
          <w:rFonts w:ascii="Arial" w:cs="Arial" w:eastAsia="Arial" w:hAnsi="Arial"/>
          <w:sz w:val="18"/>
          <w:szCs w:val="18"/>
          <w:color w:val="auto"/>
        </w:rPr>
        <w:t>”), the Representative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 shall not have completed such arrangements within such 24-hour period, then:</w:t>
      </w:r>
    </w:p>
    <w:p>
      <w:pPr>
        <w:spacing w:after="0" w:line="215" w:lineRule="exact"/>
        <w:rPr>
          <w:sz w:val="20"/>
          <w:szCs w:val="20"/>
          <w:color w:val="auto"/>
        </w:rPr>
      </w:pPr>
    </w:p>
    <w:p>
      <w:pPr>
        <w:jc w:val="both"/>
        <w:ind w:left="820" w:firstLine="809"/>
        <w:spacing w:after="0" w:line="286" w:lineRule="auto"/>
        <w:tabs>
          <w:tab w:leader="none" w:pos="1913"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92" w:lineRule="exact"/>
        <w:rPr>
          <w:rFonts w:ascii="Arial" w:cs="Arial" w:eastAsia="Arial" w:hAnsi="Arial"/>
          <w:sz w:val="17"/>
          <w:szCs w:val="17"/>
          <w:color w:val="auto"/>
        </w:rPr>
      </w:pPr>
    </w:p>
    <w:p>
      <w:pPr>
        <w:jc w:val="both"/>
        <w:ind w:left="820" w:firstLine="809"/>
        <w:spacing w:after="0" w:line="257" w:lineRule="auto"/>
        <w:tabs>
          <w:tab w:leader="none" w:pos="1909"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number of Securities to be purchased on such date, this Agreement or, with respect to the Option Closing Date, if any, which occurs after the Closing Date, the obligation of the Underwriters to purchase, and the Company to sell, the Option Shares to be purchased and sold on such Option Closing Date shall terminate without liability on the part of any non-defaulting Underwriter. Any termination of this Agreement pursuant to this Section 7.5 shall be without liability on the part of the Company, other than the payment of expenses as set forth in Section 3.9.</w:t>
      </w:r>
    </w:p>
    <w:p>
      <w:pPr>
        <w:spacing w:after="0" w:line="2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 action taken pursuant to this Section 7.5 shall relieve any defaulting Underwriter from liability in respect of its default.</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event of any such default which does not result in a termination of this Agreement or, in the case of an Option Closing Date, if any, which is after the Closing Date, which does not result in a termination of the obligation of the Underwriters to purchase and the Company to sell the relevant Option Shares, as the case may be, either the (i) Representative or (ii) the Company shall have the right to postpone Closing Date or the relevant Option Closing Date, as the case may be, for a period not exceeding seven days in order to effect any required changes in the Registration Statement, the Prospectus or in any other documents or arrangements. As used herein, the term “Underwriter” includes any person substituted for an Underwriter under this Section 7.5.</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except as herein otherwise specifically provided, shall be in writing and shall be mailed (registered or certified mail, return receipt requested), personally delivered or sent by facsimile transmission and confirmed and shall be deemed given when so delivered or faxed and confirmed or if mailed, two days after such mailing.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MDB Capital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401 Wilshire Boulevard, Suite 1020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 90401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310-526-5020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Richardson &amp; Patel,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1100 Glendon Avenue, Suite 850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 90024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Marc Jones,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No.:310-208-1154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Imprimis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437 South Highway 101, Suite 209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Solana Beach, CA 92075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858-345-1745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Morrison &amp; Foerster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12531 High Bluff Drive,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Steven Rowles,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858-720-5125</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 meaning or interpretation of any of the terms or provisions of this Agreement.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Amendmen</w:t>
      </w:r>
      <w:r>
        <w:rPr>
          <w:rFonts w:ascii="Arial" w:cs="Arial" w:eastAsia="Arial" w:hAnsi="Arial"/>
          <w:sz w:val="18"/>
          <w:szCs w:val="18"/>
          <w:color w:val="auto"/>
        </w:rPr>
        <w:t>t. This Agreement may only be amended by a written instrument executed by each of the parties hereto.</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other agreements and documents being delivered pursuant to or in connection with this Agreement) constitutes the entire agreement of the parties hereto with respect to the subject matter hereof and thereof, and supersedes all prior agreements and understandings of the parties, oral and written, with respect to the subject matter hereof.</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inure solely to the benefit of and shall be binding upon the Underwriters, the Company and the Controlling Persons, directors and officers referred to in Section 5 hereof, and their respective successors, legal representatives and assigns, and no other person shall have or be construed to have any legal or equitable right, remedy or claim under or in respect of or by virtue of this Agreement or any provisions herein contained, except solely and to the extent that Selected Dealers and Controlling Persons may have rights pursuant to Section 5 hereof. The term “successors and assigns” shall not include a purchaser, in its capacity as such, of securities from any Underwriter.</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New York, without giving effect to conflict of laws principles thereof. Any process or summons to be served upon the Company may be served by transmitting a copy thereof by registered or certified mail, return receipt requested, postage prepaid, addressed to it at the address set forth in Section 8.1 hereof. Such mailing shall be deemed personal service and shall be legal and binding upon the Company in any action, proceeding or claim. The Company agrees that the prevailing party(ies) in any such action shall be entitled to recover from the other party(ies) all of its reasonable attorneys’ fees and expenses relating to such action or proceeding and/or incurred in connection with the preparation therefore.</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facsimile or email/pdf transmission shall constitute valid and sufficient delivery thereof.</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u w:val="single" w:color="auto"/>
          <w:color w:val="auto"/>
        </w:rPr>
        <w:t>No Fiduciary Relationship</w:t>
      </w:r>
      <w:r>
        <w:rPr>
          <w:rFonts w:ascii="Arial" w:cs="Arial" w:eastAsia="Arial" w:hAnsi="Arial"/>
          <w:sz w:val="16"/>
          <w:szCs w:val="16"/>
          <w:color w:val="auto"/>
        </w:rPr>
        <w:t>. The Company hereby acknowledges that the Underwriters are acting solely as underwriters in connection with the offering of the Company’s securities. The Company further acknowledges that the Underwriters are acting pursuant to a contractual relationship created solely by this Agreement entered into on an arm's length basis and in no event do the parties intend that the Underwriters act or be responsible as a fiduciary to the Company, its management, shareholders, creditors or any other person in connection with any activity that the Underwriters may undertake or have undertaken in furtherance of the offering of the Company's securities, either before or after the date hereof. The Underwriters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and the Underwriters agree that they are each responsible for making their own independent judgments with respect to any such transactions, and that any opinions or views expressed by the Underwriters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with respect to any breach or alleged breach of any fiduciary or similar duty to the Company in connection with the transactions contemplated by this Agreement or any matters leading up to such transactions.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7" w:name="page28"/>
    <w:bookmarkEnd w:id="27"/>
    <w:p>
      <w:pPr>
        <w:ind w:firstLine="648"/>
        <w:spacing w:after="0" w:line="277" w:lineRule="auto"/>
        <w:rPr>
          <w:sz w:val="20"/>
          <w:szCs w:val="20"/>
          <w:color w:val="auto"/>
        </w:rPr>
      </w:pPr>
      <w:r>
        <w:rPr>
          <w:rFonts w:ascii="Arial" w:cs="Arial" w:eastAsia="Arial" w:hAnsi="Arial"/>
          <w:sz w:val="18"/>
          <w:szCs w:val="18"/>
          <w:color w:val="auto"/>
        </w:rPr>
        <w:t>If the foregoing correctly sets forth the understanding among the Underwriters and the Company, please so indicate in the space provided below for that purpose, whereupon this letter shall constitute a binding agreement between us.</w:t>
      </w:r>
    </w:p>
    <w:p>
      <w:pPr>
        <w:spacing w:after="0" w:line="200" w:lineRule="exact"/>
        <w:rPr>
          <w:sz w:val="20"/>
          <w:szCs w:val="20"/>
          <w:color w:val="auto"/>
        </w:rPr>
      </w:pPr>
    </w:p>
    <w:p>
      <w:pPr>
        <w:spacing w:after="0" w:line="21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  /s/ 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14605</wp:posOffset>
            </wp:positionV>
            <wp:extent cx="26244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24455" cy="1714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Andrew Boll</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 Vice President, Accounting and Public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Accepted on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itself and the other Underwriters named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I 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MDB CAPITAL GROUP,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Anthony DiGiandomenico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155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Anthony DiGiandomenico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Principal</w:t>
      </w:r>
    </w:p>
    <w:p>
      <w:pPr>
        <w:spacing w:after="0" w:line="3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SCHEDULE I</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504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Firm Shares To Be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Additional Shares</w:t>
            </w:r>
          </w:p>
        </w:tc>
        <w:tc>
          <w:tcPr>
            <w:tcW w:w="0" w:type="dxa"/>
            <w:vAlign w:val="bottom"/>
          </w:tcPr>
          <w:p>
            <w:pPr>
              <w:spacing w:after="0"/>
              <w:rPr>
                <w:sz w:val="1"/>
                <w:szCs w:val="1"/>
                <w:color w:val="auto"/>
              </w:rPr>
            </w:pPr>
          </w:p>
        </w:tc>
      </w:tr>
      <w:tr>
        <w:trPr>
          <w:trHeight w:val="178"/>
        </w:trPr>
        <w:tc>
          <w:tcPr>
            <w:tcW w:w="3780" w:type="dxa"/>
            <w:vAlign w:val="bottom"/>
            <w:gridSpan w:val="2"/>
            <w:vMerge w:val="continue"/>
          </w:tcPr>
          <w:p>
            <w:pPr>
              <w:spacing w:after="0"/>
              <w:rPr>
                <w:sz w:val="15"/>
                <w:szCs w:val="15"/>
                <w:color w:val="auto"/>
              </w:rPr>
            </w:pPr>
          </w:p>
        </w:tc>
        <w:tc>
          <w:tcPr>
            <w:tcW w:w="504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Purchased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To Be Purchased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MDB Capital Group, LLC</w:t>
            </w:r>
          </w:p>
        </w:tc>
        <w:tc>
          <w:tcPr>
            <w:tcW w:w="64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1,232,673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Aegis Capital Corp.</w:t>
            </w:r>
          </w:p>
        </w:tc>
        <w:tc>
          <w:tcPr>
            <w:tcW w:w="50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607,327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4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276,000</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760" w:type="dxa"/>
            <w:vAlign w:val="bottom"/>
            <w:tcBorders>
              <w:top w:val="single" w:sz="8" w:color="CCEEFF"/>
            </w:tcBorders>
          </w:tcPr>
          <w:p>
            <w:pPr>
              <w:spacing w:after="0"/>
              <w:rPr>
                <w:sz w:val="24"/>
                <w:szCs w:val="24"/>
                <w:color w:val="auto"/>
              </w:rPr>
            </w:pPr>
          </w:p>
        </w:tc>
        <w:tc>
          <w:tcPr>
            <w:tcW w:w="5040" w:type="dxa"/>
            <w:vAlign w:val="bottom"/>
            <w:tcBorders>
              <w:top w:val="single" w:sz="8" w:color="CCEEFF"/>
            </w:tcBorders>
          </w:tcPr>
          <w:p>
            <w:pPr>
              <w:jc w:val="right"/>
              <w:ind w:right="2930"/>
              <w:spacing w:after="0"/>
              <w:rPr>
                <w:sz w:val="20"/>
                <w:szCs w:val="20"/>
                <w:color w:val="auto"/>
              </w:rPr>
            </w:pPr>
            <w:r>
              <w:rPr>
                <w:rFonts w:ascii="Arial" w:cs="Arial" w:eastAsia="Arial" w:hAnsi="Arial"/>
                <w:sz w:val="18"/>
                <w:szCs w:val="18"/>
                <w:color w:val="auto"/>
              </w:rPr>
              <w:t>25</w:t>
            </w: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760" w:type="dxa"/>
            <w:vAlign w:val="bottom"/>
            <w:tcBorders>
              <w:bottom w:val="single" w:sz="8" w:color="808080"/>
            </w:tcBorders>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Underwriters’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color w:val="auto"/>
        </w:rPr>
        <w:t>Exhibit 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Lock Up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200"/>
        <w:spacing w:after="0"/>
        <w:rPr>
          <w:sz w:val="20"/>
          <w:szCs w:val="20"/>
          <w:color w:val="auto"/>
        </w:rPr>
      </w:pPr>
      <w:r>
        <w:rPr>
          <w:rFonts w:ascii="Arial" w:cs="Arial" w:eastAsia="Arial" w:hAnsi="Arial"/>
          <w:sz w:val="16"/>
          <w:szCs w:val="16"/>
          <w:color w:val="auto"/>
        </w:rPr>
        <w:t>Dated as of __________, 2012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MDB Capital Group,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401 Wilshire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Monica, California 90401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is being delivered to you in connection with the proposed Underwriting Agreement (the “</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between Imprimis Pharmaceuticals,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MDB Capital Group, LLC (“</w:t>
      </w:r>
      <w:r>
        <w:rPr>
          <w:rFonts w:ascii="Arial" w:cs="Arial" w:eastAsia="Arial" w:hAnsi="Arial"/>
          <w:sz w:val="18"/>
          <w:szCs w:val="18"/>
          <w:u w:val="single" w:color="auto"/>
          <w:color w:val="auto"/>
        </w:rPr>
        <w:t>MDB</w:t>
      </w:r>
      <w:r>
        <w:rPr>
          <w:rFonts w:ascii="Arial" w:cs="Arial" w:eastAsia="Arial" w:hAnsi="Arial"/>
          <w:sz w:val="18"/>
          <w:szCs w:val="18"/>
          <w:color w:val="auto"/>
        </w:rPr>
        <w:t>”) relating to a proposed underwritten public offering of shares (the “</w:t>
      </w:r>
      <w:r>
        <w:rPr>
          <w:rFonts w:ascii="Arial" w:cs="Arial" w:eastAsia="Arial" w:hAnsi="Arial"/>
          <w:sz w:val="18"/>
          <w:szCs w:val="18"/>
          <w:u w:val="single" w:color="auto"/>
          <w:color w:val="auto"/>
        </w:rPr>
        <w:t>Shares</w:t>
      </w:r>
      <w:r>
        <w:rPr>
          <w:rFonts w:ascii="Arial" w:cs="Arial" w:eastAsia="Arial" w:hAnsi="Arial"/>
          <w:sz w:val="18"/>
          <w:szCs w:val="18"/>
          <w:color w:val="auto"/>
        </w:rPr>
        <w:t>”) of the Company’s Common Stock (the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to induce MDB to enter into the Underwriting Agreement, and for other good and valuable consideration, the receipt and sufficiency of which are hereby acknowledged, the undersigned agrees that, during the period beginning on and including the date of the Underwriting Agreement through and including the date that is the 180th day after the date of the Underwriting Agreement (the “</w:t>
      </w:r>
      <w:r>
        <w:rPr>
          <w:rFonts w:ascii="Arial" w:cs="Arial" w:eastAsia="Arial" w:hAnsi="Arial"/>
          <w:sz w:val="18"/>
          <w:szCs w:val="18"/>
          <w:u w:val="single" w:color="auto"/>
          <w:color w:val="auto"/>
        </w:rPr>
        <w:t>Lock-Up Period</w:t>
      </w:r>
      <w:r>
        <w:rPr>
          <w:rFonts w:ascii="Arial" w:cs="Arial" w:eastAsia="Arial" w:hAnsi="Arial"/>
          <w:sz w:val="18"/>
          <w:szCs w:val="18"/>
          <w:color w:val="auto"/>
        </w:rPr>
        <w:t>”), the undersigned, or any affiliated party of the undersigned, will not, without the prior written consent of MDB, directly or indirectly:</w:t>
      </w:r>
    </w:p>
    <w:p>
      <w:pPr>
        <w:spacing w:after="0" w:line="187" w:lineRule="exact"/>
        <w:rPr>
          <w:sz w:val="20"/>
          <w:szCs w:val="20"/>
          <w:color w:val="auto"/>
        </w:rPr>
      </w:pPr>
    </w:p>
    <w:p>
      <w:pPr>
        <w:jc w:val="both"/>
        <w:ind w:left="1300" w:hanging="255"/>
        <w:spacing w:after="0" w:line="25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any shares of Common Stock or any securities convertible into or exercisable or exchangeable for Common Stock (other than the exercise of warrants or the conversion of convertible securities, or the exercise of stock options or other awards granted pursuant to the Company’s stock option/equity incentive plans or otherwise outstanding on the date hereof), whether now owned or hereafter acquired by the undersigned or with respect to which the undersigned has or hereafter acquires the power of disposition, or</w:t>
      </w:r>
    </w:p>
    <w:p>
      <w:pPr>
        <w:spacing w:after="0" w:line="193" w:lineRule="exact"/>
        <w:rPr>
          <w:rFonts w:ascii="Arial" w:cs="Arial" w:eastAsia="Arial" w:hAnsi="Arial"/>
          <w:sz w:val="18"/>
          <w:szCs w:val="18"/>
          <w:color w:val="auto"/>
        </w:rPr>
      </w:pPr>
    </w:p>
    <w:p>
      <w:pPr>
        <w:jc w:val="both"/>
        <w:ind w:left="1300" w:hanging="305"/>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any swap or other agreement, arrangement or transaction that transfers to another, in whole or in part, directly or indirectly, any of the economic consequence of ownership of any Common Stock or any securities convertible into or exercisable or exchangeable for any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whether any transaction described in clause (i) or (ii) above is to be settled by delivery of Common Stock, other securities, in cash or otherwise. Moreover, if:</w:t>
      </w:r>
    </w:p>
    <w:p>
      <w:pPr>
        <w:spacing w:after="0" w:line="248" w:lineRule="exact"/>
        <w:rPr>
          <w:sz w:val="20"/>
          <w:szCs w:val="20"/>
          <w:color w:val="auto"/>
        </w:rPr>
      </w:pPr>
    </w:p>
    <w:p>
      <w:pPr>
        <w:ind w:left="1300" w:hanging="295"/>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during the last 17 days of the Lock-Up Period, the Company issues an earnings release or material news or a material event relating to the Company occurs, or</w:t>
      </w:r>
    </w:p>
    <w:p>
      <w:pPr>
        <w:spacing w:after="0" w:line="170" w:lineRule="exact"/>
        <w:rPr>
          <w:rFonts w:ascii="Arial" w:cs="Arial" w:eastAsia="Arial" w:hAnsi="Arial"/>
          <w:sz w:val="18"/>
          <w:szCs w:val="18"/>
          <w:color w:val="auto"/>
        </w:rPr>
      </w:pPr>
    </w:p>
    <w:p>
      <w:pPr>
        <w:ind w:left="1300" w:hanging="295"/>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prior to the expiration of the Lock-Up Period, the Company announces that it will release earnings results during the 16-day period beginning on the last day of the Lock-Up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Lock-Up Period shall be extended and the restrictions imposed by this agreement shall continue to apply until the expiration of the 18-day period beginning on the date of issuance of the earnings release or the occurrence of the material news or material event, as the case may be, unless MDB waives, in writing, such extension.</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the provisions set forth in the immediately preceding paragraph, the undersigned may, without the prior written consent of MDB, transfer any Common Stock or any securities convertible into or exchangeable or exercisable for Common Stock as a bona fide gift or gifts, or by will or intestacy, to any member of the immediate family (as defined below) of the undersigned, to affiliates, partners, member or stockholders of the undersigned or to a trust the beneficiaries of which are exclusively the undersigned or members of the undersigned’s immediate family or to a charity or educational institution; provided, however, that it shall be a condition to the transfer that (A) the transferee executes and delivers to MDB not later than one business day prior to such transfer, a written agreement, in substantially the form of this agreement and otherwise satisfactory in form and substance to MDB, and (B) if the undersigned is required to file a report under Section 16(a) of the Securities Exchange Act of 1934, as amended, reporting a reduction in beneficial ownership of Common Stock or any securities convertible into or exercisable or exchangeable for Common Stock by the undersigned during the Lock-Up Period (as the same may be extended as described above), the undersigned shall include a statement in such report to the effect that such transfer or distribution is not a transfer for value and that such transfer is being made as a gift or by will or intestacy, as the case may be. For purposes of this paragraph, “immediate family” shall mean a spouse, child, grandchild or other lineal descendant (including by adoption), father, mother, brother or sister of the undersigned.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ind w:firstLine="648"/>
        <w:spacing w:after="0" w:line="255" w:lineRule="auto"/>
        <w:rPr>
          <w:sz w:val="20"/>
          <w:szCs w:val="20"/>
          <w:color w:val="auto"/>
        </w:rPr>
      </w:pPr>
      <w:r>
        <w:rPr>
          <w:rFonts w:ascii="Arial" w:cs="Arial" w:eastAsia="Arial" w:hAnsi="Arial"/>
          <w:sz w:val="18"/>
          <w:szCs w:val="18"/>
          <w:color w:val="auto"/>
        </w:rPr>
        <w:t>The undersigned further agrees that (i) it will not, during the Lock-Up Period (as the same may be extended as described above), make any demand for or exercise any right with respect to the registration under the Securities Act of 1933, as amended (the “</w:t>
      </w:r>
      <w:r>
        <w:rPr>
          <w:rFonts w:ascii="Arial" w:cs="Arial" w:eastAsia="Arial" w:hAnsi="Arial"/>
          <w:sz w:val="18"/>
          <w:szCs w:val="18"/>
          <w:u w:val="single" w:color="auto"/>
          <w:color w:val="auto"/>
        </w:rPr>
        <w:t>1933 Act</w:t>
      </w:r>
      <w:r>
        <w:rPr>
          <w:rFonts w:ascii="Arial" w:cs="Arial" w:eastAsia="Arial" w:hAnsi="Arial"/>
          <w:sz w:val="18"/>
          <w:szCs w:val="18"/>
          <w:color w:val="auto"/>
        </w:rPr>
        <w:t>”), of any Common Stock or any securities convertible into or exercisable or exchangeable for Common Stock, and (ii) the Company may, with respect to any Common Stock or any securities convertible into or exercisable or exchangeable for Common Stock owned or held (of record or beneficially) by the undersigned, cause the transfer agent or other registrar to enter stop transfer instructions and implement stop transfer procedures with respect to such securities during the Lock-Up Period (as the same may be extended as described above).</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the undersigned hereby waives any and all notice requirements and rights with respect to the registration of any securities pursuant to any agreement, instrument, understanding or otherwise, including any registration rights agreement or similar agreement, to which the undersigned is a party or under which the undersigned is entitled to any right or benefit and any tag-along rights or other similar rights to have any securities (debt or equity) included in the offering contemplated by the Underwriting Agreement or sold in connection with the sale of Common Stock pursuant to the Underwriting Agreement, provided that such waiver shall apply only to the public offering of Common Stock pursuant to the Underwriting Agreement and each registration statement filed under the 1933 Act in connection therewith.</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agreement and that this agreement has been duly executed and delivered by the undersigned and is a valid and binding agreement of the undersigned. This agreement and all authority herein conferred are irrevocable and shall survive the death or incapacity of the undersigned and shall be binding upon the heirs, personal representatives, successors and assigns of the undersigned.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Immediately Follows]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IN WITNESS WHEREOF, the undersigned has executed and delivered this agreement as of the date first set forth above.</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Yours very truly,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306705</wp:posOffset>
            </wp:positionV>
            <wp:extent cx="275272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3796665</wp:posOffset>
            </wp:positionH>
            <wp:positionV relativeFrom="paragraph">
              <wp:posOffset>5715</wp:posOffset>
            </wp:positionV>
            <wp:extent cx="216979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9559"/>
          </w:cols>
          <w:pgMar w:left="900" w:top="368" w:right="1440"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CERTIFICATE OF AMENDMENT OF AMENDED AND RESTATED CERTIFICATE OF INCORPORATION OF IMPRIMIS PHARMACEUTICALS, INC.</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Mark L. Baum, Esq., hereby certifies that:</w:t>
      </w:r>
    </w:p>
    <w:p>
      <w:pPr>
        <w:spacing w:after="0" w:line="279" w:lineRule="exact"/>
        <w:rPr>
          <w:sz w:val="20"/>
          <w:szCs w:val="20"/>
          <w:color w:val="auto"/>
        </w:rPr>
      </w:pPr>
    </w:p>
    <w:p>
      <w:pPr>
        <w:ind w:left="1000" w:hanging="344"/>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He is the Chief Executive Officer and Secretary of IMPRIMIS PHARMACEUTICALS, INC., a Delaware corporation (the “Corporation”).</w:t>
      </w:r>
    </w:p>
    <w:p>
      <w:pPr>
        <w:spacing w:after="0" w:line="290" w:lineRule="exact"/>
        <w:rPr>
          <w:rFonts w:ascii="Arial" w:cs="Arial" w:eastAsia="Arial" w:hAnsi="Arial"/>
          <w:sz w:val="17"/>
          <w:szCs w:val="17"/>
          <w:color w:val="auto"/>
        </w:rPr>
      </w:pPr>
    </w:p>
    <w:p>
      <w:pPr>
        <w:jc w:val="both"/>
        <w:ind w:firstLine="656"/>
        <w:spacing w:after="0" w:line="255" w:lineRule="auto"/>
        <w:tabs>
          <w:tab w:leader="none" w:pos="102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Corporation was originally incorporated under the name Bywater Resources Inc. and the original Certificate of Incorporation of the Corporation was filed with the Secretary of State of Delaware on January 11, 2006. The Corporation changed its name to Imprimis Pharmaceuticals, Inc. pursuant to a Certificate of Amendment to Certificate of Incorporation filed with the Secretary of State of Delaware on February 13, 2012 and effective on February 28, 2012. The Corporation filed with the Delaware Secretary of State an Amended and Restated Certificate of Incorporation on September 11, 2007, a Certificate of Ownership on June 20, 2011, a Certificate of Designation on December 9, 2011 and a Certificate of Amendment on February 13, 2012 (which became effective on February 28, 2012).</w:t>
      </w:r>
    </w:p>
    <w:p>
      <w:pPr>
        <w:spacing w:after="0" w:line="247" w:lineRule="exact"/>
        <w:rPr>
          <w:rFonts w:ascii="Arial" w:cs="Arial" w:eastAsia="Arial" w:hAnsi="Arial"/>
          <w:sz w:val="18"/>
          <w:szCs w:val="18"/>
          <w:color w:val="auto"/>
        </w:rPr>
      </w:pPr>
    </w:p>
    <w:p>
      <w:pPr>
        <w:ind w:right="20" w:firstLine="656"/>
        <w:spacing w:after="0" w:line="277" w:lineRule="auto"/>
        <w:tabs>
          <w:tab w:leader="none" w:pos="99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Article Fourth, Paragraph C of the Amended and Restated Certificate of Incorporation of the Corporation is amended and restated to read in its entirety as follows: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“Upon the effectiveness of this Certificate of Amendment of the Amended and Restated Certificate of Incorporation, each outstanding five</w:t>
      </w:r>
    </w:p>
    <w:p>
      <w:pPr>
        <w:spacing w:after="0" w:line="46" w:lineRule="exact"/>
        <w:rPr>
          <w:sz w:val="20"/>
          <w:szCs w:val="20"/>
          <w:color w:val="auto"/>
        </w:rPr>
      </w:pPr>
    </w:p>
    <w:p>
      <w:pPr>
        <w:jc w:val="both"/>
        <w:ind w:left="660" w:hanging="4"/>
        <w:spacing w:after="0" w:line="253" w:lineRule="auto"/>
        <w:tabs>
          <w:tab w:leader="none" w:pos="917"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shares of Common Stock of the Corporation shall be combined and converted into one (1) share of Common Stock. No fractional shares shall be recorded in the stock ledger of the Corporation as a result of the stock split provided for above. No fractional shares shall be issued and, in lieu thereof, any holder of less than one share of Common Stock shall be entitled to receive cash for such holder’s fractional share based upon the fair market value of the Common Stock as of the date this Certificate of Amendment becomes effective as determined by this Corporation’s Board of Directors.”</w:t>
      </w:r>
    </w:p>
    <w:p>
      <w:pPr>
        <w:spacing w:after="0" w:line="245" w:lineRule="exact"/>
        <w:rPr>
          <w:sz w:val="20"/>
          <w:szCs w:val="20"/>
          <w:color w:val="auto"/>
        </w:rPr>
      </w:pPr>
    </w:p>
    <w:p>
      <w:pPr>
        <w:ind w:firstLine="656"/>
        <w:spacing w:after="0" w:line="277" w:lineRule="auto"/>
        <w:tabs>
          <w:tab w:leader="none" w:pos="10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This Certificate of Amendment has been duly adopted by the Board of Directors and stockholders of this Corporation in accordance with Sections 242 and 228 of the General Corporation Law of the State of Delaware.</w:t>
      </w:r>
    </w:p>
    <w:p>
      <w:pPr>
        <w:spacing w:after="0" w:line="224" w:lineRule="exact"/>
        <w:rPr>
          <w:rFonts w:ascii="Arial" w:cs="Arial" w:eastAsia="Arial" w:hAnsi="Arial"/>
          <w:sz w:val="18"/>
          <w:szCs w:val="18"/>
          <w:color w:val="auto"/>
        </w:rPr>
      </w:pPr>
    </w:p>
    <w:p>
      <w:pPr>
        <w:ind w:firstLine="656"/>
        <w:spacing w:after="0" w:line="282" w:lineRule="auto"/>
        <w:tabs>
          <w:tab w:leader="none" w:pos="101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effective time of this Certificate of Amendment of the Amended and Restated Certificate of Incorporation of the Corporation and the amendment effected hereby shall be 5:02 PM EST on February 7</w:t>
      </w:r>
      <w:r>
        <w:rPr>
          <w:rFonts w:ascii="Arial" w:cs="Arial" w:eastAsia="Arial" w:hAnsi="Arial"/>
          <w:sz w:val="25"/>
          <w:szCs w:val="25"/>
          <w:color w:val="auto"/>
          <w:vertAlign w:val="superscript"/>
        </w:rPr>
        <w:t>th</w:t>
      </w:r>
      <w:r>
        <w:rPr>
          <w:rFonts w:ascii="Arial" w:cs="Arial" w:eastAsia="Arial" w:hAnsi="Arial"/>
          <w:sz w:val="18"/>
          <w:szCs w:val="18"/>
          <w:color w:val="auto"/>
        </w:rPr>
        <w:t>, 2013.</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undersigned has executed this Certificate of Amendment of Certificate of Incorporation on this 7</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of February,</w:t>
      </w:r>
    </w:p>
    <w:p>
      <w:pPr>
        <w:spacing w:after="0"/>
        <w:rPr>
          <w:sz w:val="20"/>
          <w:szCs w:val="20"/>
          <w:color w:val="auto"/>
        </w:rPr>
      </w:pPr>
      <w:r>
        <w:rPr>
          <w:rFonts w:ascii="Arial" w:cs="Arial" w:eastAsia="Arial" w:hAnsi="Arial"/>
          <w:sz w:val="18"/>
          <w:szCs w:val="18"/>
          <w:color w:val="auto"/>
        </w:rPr>
        <w:t>2013.</w:t>
      </w:r>
    </w:p>
    <w:p>
      <w:pPr>
        <w:spacing w:after="0" w:line="2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L. Baum, Esq.</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 Secretary</w:t>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Contact: Mark L. Baum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Imprimis Pharmaceuticals,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(858) 433-2800</w:t>
      </w:r>
    </w:p>
    <w:p>
      <w:pPr>
        <w:spacing w:after="0" w:line="238" w:lineRule="exact"/>
        <w:rPr>
          <w:sz w:val="20"/>
          <w:szCs w:val="20"/>
          <w:color w:val="auto"/>
        </w:rPr>
      </w:pPr>
    </w:p>
    <w:p>
      <w:pPr>
        <w:ind w:left="9180"/>
        <w:spacing w:after="0"/>
        <w:rPr>
          <w:sz w:val="20"/>
          <w:szCs w:val="20"/>
          <w:color w:val="auto"/>
        </w:rPr>
      </w:pPr>
      <w:r>
        <w:rPr>
          <w:rFonts w:ascii="Arial" w:cs="Arial" w:eastAsia="Arial" w:hAnsi="Arial"/>
          <w:sz w:val="17"/>
          <w:szCs w:val="17"/>
          <w:color w:val="auto"/>
        </w:rPr>
        <w:t>FOR IMMEDIATE RELEASE</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Imprimis Pharmaceuticals Announces Pricing of Public Offering of 1,840,000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Shares of Common Stock</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Closing of Offering Expected February 13, 2013</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SOLANA BEACH, Calif., February 7, 2013/PRNewswire/ -- Imprimis Pharmaceuticals, Inc. (NASDAQ:IMMY), today announced the pricing of an underwritten public offering of 1,840,000 shares of its common stock at a price to the public of $5.25 per share, for gross proceeds of approximately $9.66 million. The net proceeds from the offering, after deducting underwriting discounts and commissions and estimated offering expenses, are expected to be approximately $8.13 million. Subject to customary conditions, Imprimis expects to close the sale of its common stock on or about February 13, 2013.</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the offering Imprimis completed a 1-for-5 reverse stock split on February 7, 2013. Beginning on February 8, 2013, Imprimis Pharmaceuticals, Inc. common shares will trade on The NASDAQ Capital Market under the ticker symbol IMMY.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MDB Capital Group, LLC is the sole book-running manager of the offering and Aegis Capital Corp. is acting as co-manager.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Imprimis has granted the underwriters a 45-day option to purchase up to an additional 276,000 shares of Imprimis’ common stock to cover over-allotments, if any.</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This announcement shall not constitute an offer to sell or a solicitation of an offer to buy these securities nor shall there be any offer or sale of these securities in any state or jurisdiction in which such an offer, solicitation or sale would be unlawful. The securities described above are being offered by Imprimis pursuant to a registration statement previously filed and declared effective by the Securities and Exchange Commission. The offering will be made only by means of a prospectus, copies of which may be obtained from MDB Capital Group LLC, 401 Wilshire Boulevard, Suite 1020, Santa Monica, CA 90401, (310) 526-5000.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594360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auto"/>
        </w:rPr>
        <w:t>About Imprimis Pharmaceuticals, Inc</w:t>
      </w:r>
      <w:r>
        <w:rPr>
          <w:rFonts w:ascii="Arial" w:cs="Arial" w:eastAsia="Arial" w:hAnsi="Arial"/>
          <w:sz w:val="18"/>
          <w:szCs w:val="18"/>
          <w:color w:val="auto"/>
        </w:rPr>
        <w:t>.</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Imprimis Pharmaceuticals is a specialty pharmaceutical company focused on the commercial development of compounded drug formulations. Through an exclusive strategic relationship with the largest compounding pharmacy organization in North America, Imprimis expects to use its proprietary Accudel drug delivery technology, coupled with licensed technologies, and proprietary formulations and market data, to identify pharmaceutical development opportunities where there is a significant unmet need for a new drug product. Imprimis is also internally developing non-invasive, topically delivered products. Our innovative patented Accudel cream formulation technology is designed to enable highly targeted site-specific treatment. Impracor, our lead Phase 3 pain product candidate, utilizes the Accudel platform technology to deliver the active drug, ketoprofen, a non-steroidal anti-inflammatory drug, through the skin directly into the underlying tissues where the drug exerts its localized anti-inflammatory and analgesic effects. We intend to leverage the Accudel platform technology to expand and create a portfolio of topical products for a variety of indications. For more information, visit </w:t>
      </w:r>
      <w:r>
        <w:rPr>
          <w:rFonts w:ascii="Arial" w:cs="Arial" w:eastAsia="Arial" w:hAnsi="Arial"/>
          <w:sz w:val="16"/>
          <w:szCs w:val="16"/>
          <w:u w:val="single" w:color="auto"/>
          <w:color w:val="auto"/>
        </w:rPr>
        <w:t>http://imprimispharma.com/</w:t>
      </w:r>
      <w:r>
        <w:rPr>
          <w:rFonts w:ascii="Arial" w:cs="Arial" w:eastAsia="Arial" w:hAnsi="Arial"/>
          <w:sz w:val="16"/>
          <w:szCs w:val="16"/>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MDB Capital Group</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MDB Capital Group LLC is an investment banking and institutional research firm focused exclusively on companies possessing or seeking to develop market changing, disruptive technologies and intellectual property. For more information on MDB Capital Group, visit </w:t>
      </w:r>
      <w:r>
        <w:rPr>
          <w:rFonts w:ascii="Arial" w:cs="Arial" w:eastAsia="Arial" w:hAnsi="Arial"/>
          <w:sz w:val="17"/>
          <w:szCs w:val="17"/>
          <w:u w:val="single" w:color="auto"/>
          <w:color w:val="auto"/>
        </w:rPr>
        <w:t>http://www.mdb.com.</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This press release contains forward looking statements within the meaning of the U.S. Private Securities Litigation Reform Act of 1995. Any statements in this release that are not historical facts may be considered such "forward looking statements." Forward looking statements are based on management's current preliminary expectations and are subject to risks and uncertainties which may cause our results to differ materially and adversely from the statements contained herein. Some of the potential risks and uncertainties that could cause actual results to differ from those predicted include our ability to satisfy the closing conditions related to the offering, or close the offering on the expected closing date or at all, our ability to raise additional funding, our ability to acquire, develop or commercialize new products and to enter into strategic alliances and transactions, uncertainties inherent in pre-clinical studies and clinical trials, unexpected new data, safety and technical issues, competition and market conditions. These and additional risks and uncertainties are more fully described in Imprimis’ filings with the Securities and Exchange Commission. Undue reliance should not be placed on forward looking statements, which speak only as of the date they are made. Except as required by law, Imprimis undertakes no obligation to update any forward looking statements to reflect new information, events or circumstances after the date they are made, or to reflect the occurrence of unanticipated events.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o"/>
      <w:numFmt w:val="bullet"/>
      <w:start w:val="1"/>
    </w:lvl>
  </w:abstractNum>
  <w:abstractNum w:abstractNumId="1">
    <w:nsid w:val="4DB127F8"/>
    <w:multiLevelType w:val="hybridMultilevel"/>
    <w:lvl w:ilvl="0">
      <w:lvlJc w:val="left"/>
      <w:lvlText w:val="(%1)"/>
      <w:numFmt w:val="lowerLetter"/>
      <w:start w:val="4"/>
    </w:lvl>
  </w:abstractNum>
  <w:abstractNum w:abstractNumId="2">
    <w:nsid w:val="216231B"/>
    <w:multiLevelType w:val="hybridMultilevel"/>
    <w:lvl w:ilvl="0">
      <w:lvlJc w:val="left"/>
      <w:lvlText w:val="%1."/>
      <w:numFmt w:val="decimal"/>
      <w:start w:val="1"/>
    </w:lvl>
    <w:lvl w:ilvl="1">
      <w:lvlJc w:val="left"/>
      <w:lvlText w:val="(%2)"/>
      <w:numFmt w:val="lowerRoman"/>
      <w:start w:val="1"/>
    </w:lvl>
  </w:abstractNum>
  <w:abstractNum w:abstractNumId="3">
    <w:nsid w:val="1F16E9E8"/>
    <w:multiLevelType w:val="hybridMultilevel"/>
    <w:lvl w:ilvl="0">
      <w:lvlJc w:val="left"/>
      <w:lvlText w:val="(%1)"/>
      <w:numFmt w:val="lowerRoman"/>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lowerLetter"/>
      <w:start w:val="6"/>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1)"/>
      <w:numFmt w:val="lowerRoman"/>
      <w:start w:val="4"/>
    </w:lvl>
  </w:abstractNum>
  <w:abstractNum w:abstractNumId="8">
    <w:nsid w:val="109CF92E"/>
    <w:multiLevelType w:val="hybridMultilevel"/>
    <w:lvl w:ilvl="0">
      <w:lvlJc w:val="left"/>
      <w:lvlText w:val="%1."/>
      <w:numFmt w:val="decimal"/>
      <w:start w:val="6"/>
    </w:lvl>
  </w:abstractNum>
  <w:abstractNum w:abstractNumId="9">
    <w:nsid w:val="DED7263"/>
    <w:multiLevelType w:val="hybridMultilevel"/>
    <w:lvl w:ilvl="0">
      <w:lvlJc w:val="left"/>
      <w:lvlText w:val="%1."/>
      <w:numFmt w:val="decimal"/>
      <w:start w:val="7"/>
    </w:lvl>
  </w:abstractNum>
  <w:abstractNum w:abstractNumId="10">
    <w:nsid w:val="7FDCC233"/>
    <w:multiLevelType w:val="hybridMultilevel"/>
    <w:lvl w:ilvl="0">
      <w:lvlJc w:val="left"/>
      <w:lvlText w:val="(%1)"/>
      <w:numFmt w:val="lowerRoman"/>
      <w:start w:val="8"/>
    </w:lvl>
  </w:abstractNum>
  <w:abstractNum w:abstractNumId="11">
    <w:nsid w:val="1BEFD79F"/>
    <w:multiLevelType w:val="hybridMultilevel"/>
    <w:lvl w:ilvl="0">
      <w:lvlJc w:val="left"/>
      <w:lvlText w:val="(%1)"/>
      <w:numFmt w:val="lowerRoman"/>
      <w:start w:val="1"/>
    </w:lvl>
  </w:abstractNum>
  <w:abstractNum w:abstractNumId="12">
    <w:nsid w:val="41A7C4C9"/>
    <w:multiLevelType w:val="hybridMultilevel"/>
    <w:lvl w:ilvl="0">
      <w:lvlJc w:val="left"/>
      <w:lvlText w:val="%1."/>
      <w:numFmt w:val="decimal"/>
      <w:start w:val="8"/>
    </w:lvl>
  </w:abstractNum>
  <w:abstractNum w:abstractNumId="13">
    <w:nsid w:val="6B68079A"/>
    <w:multiLevelType w:val="hybridMultilevel"/>
    <w:lvl w:ilvl="0">
      <w:lvlJc w:val="left"/>
      <w:lvlText w:val="(%1)"/>
      <w:numFmt w:val="lowerRoman"/>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5"/>
    </w:lvl>
  </w:abstractNum>
  <w:abstractNum w:abstractNumId="17">
    <w:nsid w:val="431BD7B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2020-01-29T14:29:15Z</dcterms:created>
  <dcterms:modified xsi:type="dcterms:W3CDTF">2020-01-29T14:29:15Z</dcterms:modified>
</cp:coreProperties>
</file>