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29,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17145</wp:posOffset>
            </wp:positionV>
            <wp:extent cx="3978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34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29, 2019, Stowe Pharmaceuticals, Inc. (“Stowe”), a subsidiary of Harrow Health, Inc. (the “Company”) entered into a License Agreement (the “TGV License”) with TGV-Health, LLC and TGV-Ophthalnix, LLC (collectively, “TGV”), to acquire intellectual property rights for use in the ophthalmic and otic fields, related to Stowe’s proprietary drug candidate STE-006. The TGV License provides that TGV will cooperate with Stowe in transferring all embodiments of the intellectual property (including know-how) related to the TGV License, assist in obtaining and protecting its patent rights for the acquired intellectual property and that Stowe will use commercially reasonable efforts to research, develop and commercialize products based on the acquired intellectual property. In connection with the TGV License, Stowe is obligated to make royalty payments to TGV equal to a low single digit percentage of net sales received by Stowe in connection with the sale or licensing of any product based on the licensed intellectual property. In addition, Stowe issued 1,750,000 shares of its common stock to TGV and is required to make certain milestone payments to TGV over the development of STE-006 and any related products based on the licensed intellectual property.</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is only a brief description of the material terms of the TGV License and does not purport to be a complete description of the rights and obligations of the parties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August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2019-11-30T11:43:04Z</dcterms:created>
  <dcterms:modified xsi:type="dcterms:W3CDTF">2019-11-30T11:43:04Z</dcterms:modified>
</cp:coreProperties>
</file>