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333-198675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 September 29,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2818130</wp:posOffset>
            </wp:positionH>
            <wp:positionV relativeFrom="paragraph">
              <wp:posOffset>142875</wp:posOffset>
            </wp:positionV>
            <wp:extent cx="1586230"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$2,100,000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33" w:lineRule="exact"/>
        <w:rPr>
          <w:sz w:val="24"/>
          <w:szCs w:val="24"/>
          <w:color w:val="auto"/>
        </w:rPr>
      </w:pPr>
    </w:p>
    <w:p>
      <w:pPr>
        <w:jc w:val="both"/>
        <w:ind w:right="20" w:firstLine="648"/>
        <w:spacing w:after="0" w:line="221" w:lineRule="auto"/>
        <w:rPr>
          <w:sz w:val="20"/>
          <w:szCs w:val="20"/>
          <w:color w:val="auto"/>
        </w:rPr>
      </w:pPr>
      <w:r>
        <w:rPr>
          <w:rFonts w:ascii="Arial" w:cs="Arial" w:eastAsia="Arial" w:hAnsi="Arial"/>
          <w:sz w:val="18"/>
          <w:szCs w:val="18"/>
          <w:color w:val="auto"/>
        </w:rPr>
        <w:t>In November 2015, we entered into a Controlled Equity Offering</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sales agreement (the “Sales Agreement”) with Cantor Fitzgerald &amp; Co. (“Cantor Fitzgerald”) relating to the shares of our common stock offered by this prospectus supplement. This prospectus supplement updates and replaces in its entirety our prospectus supplement dated November 27, 2015, which also related to the Sales Agreement.</w:t>
      </w:r>
    </w:p>
    <w:p>
      <w:pPr>
        <w:spacing w:after="0" w:line="202" w:lineRule="exact"/>
        <w:rPr>
          <w:sz w:val="24"/>
          <w:szCs w:val="24"/>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the terms of the Sales Agreement and this prospectus supplement, we may offer and sell shares of our common stock having an aggregate offering price of up to $2,100,000 from time to time through Cantor Fitzgerald, acting as sales agent (which amount excludes shares we have already sold pursuant to the Sales Agreement). As of the date of this prospectus supplement, we have sold an aggregate of 72,421 shares of our common stock pursuant to the Sales Agreement for gross proceeds of approximately $0.5 million and net proceeds, after deducting commission fees and other offering expenses payable by us, of approximately $0.4 million.</w:t>
      </w:r>
    </w:p>
    <w:p>
      <w:pPr>
        <w:spacing w:after="0" w:line="188" w:lineRule="exact"/>
        <w:rPr>
          <w:sz w:val="24"/>
          <w:szCs w:val="24"/>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common stock is listed on the NASDAQ Capital Market under the symbol “IMMY.” On March 10, 2016, the last reported sales price of our common stock on the NASDAQ Capital Market was $4.09 per share. Based on 9,770,678 shares of outstanding common stock as of January 28, 2016, of which 7,381,235 were held by non-affiliates as of such date, and a per share price of $5.96 as of January 28, 2016, the last reported sales price of our common stock on the NASDAQ Capital Market on such date, the aggregate market value of our outstanding common stock held by non-affiliates is approximately $43,992,161. The aggregate amount of all securities we have offered and sold and continue to offer for sale pursuant to General Instruction I.B.6 of Form S-3 during the twelve calendar month period that ends on, and includes, the date of this prospectus supplement is $2,625,959, inclusive of the shares offered hereby.</w:t>
      </w:r>
    </w:p>
    <w:p>
      <w:pPr>
        <w:spacing w:after="0" w:line="189" w:lineRule="exact"/>
        <w:rPr>
          <w:sz w:val="24"/>
          <w:szCs w:val="24"/>
          <w:color w:val="auto"/>
        </w:rPr>
      </w:pPr>
    </w:p>
    <w:p>
      <w:pPr>
        <w:jc w:val="both"/>
        <w:ind w:firstLine="648"/>
        <w:spacing w:after="0" w:line="271" w:lineRule="auto"/>
        <w:rPr>
          <w:sz w:val="20"/>
          <w:szCs w:val="20"/>
          <w:color w:val="auto"/>
        </w:rPr>
      </w:pPr>
      <w:r>
        <w:rPr>
          <w:rFonts w:ascii="Arial" w:cs="Arial" w:eastAsia="Arial" w:hAnsi="Arial"/>
          <w:sz w:val="17"/>
          <w:szCs w:val="17"/>
          <w:color w:val="auto"/>
        </w:rPr>
        <w:t>Sales of our common stock, if any, under this prospectus supplement and the accompanying prospectus may be made in sales deemed to be “at-the-market” equity offerings as defined in Rule 415 promulgated under the Securities Act of 1933, as amended (the “Securities Act”), including sales made directly on or through the NASDAQ Capital Market, the existing trading market for our common stock, sales made to or through a market maker other than on an exchange or otherwise, in negotiated transactions at market prices prevailing at the time of sale or at prices related to such prevailing market prices, and/or any other method permitted by law. Cantor Fitzgerald is not required to sell any specific number or dollar amount of securities, but will act as a sales agent using commercially reasonable efforts to sell on our behalf all of the shares of common stock requested to be sold by us, consistent with its normal trading and sales practices, on mutually agreed terms between Cantor Fitzgerald and us as set forth in the Sales Agreement. There is no arrangement for funds to be received in any escrow, trust or similar arrangement.</w:t>
      </w:r>
    </w:p>
    <w:p>
      <w:pPr>
        <w:spacing w:after="0" w:line="179" w:lineRule="exact"/>
        <w:rPr>
          <w:sz w:val="24"/>
          <w:szCs w:val="24"/>
          <w:color w:val="auto"/>
        </w:rPr>
      </w:pPr>
    </w:p>
    <w:p>
      <w:pPr>
        <w:jc w:val="both"/>
        <w:ind w:firstLine="648"/>
        <w:spacing w:after="0" w:line="286" w:lineRule="auto"/>
        <w:rPr>
          <w:sz w:val="20"/>
          <w:szCs w:val="20"/>
          <w:color w:val="auto"/>
        </w:rPr>
      </w:pPr>
      <w:r>
        <w:rPr>
          <w:rFonts w:ascii="Arial" w:cs="Arial" w:eastAsia="Arial" w:hAnsi="Arial"/>
          <w:sz w:val="17"/>
          <w:szCs w:val="17"/>
          <w:color w:val="auto"/>
        </w:rPr>
        <w:t>Cantor Fitzgerald will be entitled to compensation under the terms of the Sales Agreement at a fixed commission rate of 3.0% of the aggregate gross sales price per share sold. In connection with the sale of our common stock on our behalf, Cantor Fitzgerald will be deemed to be an “underwriter” within the meaning of the Securities Act and the compensation of Cantor Fitzgerald will be deemed to be underwriting commissions or discounts.</w:t>
      </w:r>
    </w:p>
    <w:p>
      <w:pPr>
        <w:spacing w:after="0" w:line="162" w:lineRule="exact"/>
        <w:rPr>
          <w:sz w:val="24"/>
          <w:szCs w:val="24"/>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Investing in our securities involves a high degree of risk. Before making an investment decision, you should carefully review and consider all of the information set forth in this prospectus supplement, the accompanying prospectus and the documents incorporated by reference herein and therein, including the risks and uncertainties described under “Risk Factors” beginning on page S-3 of this prospectus supplement and the risk factors incorporated by reference into this prospectus supplement and the accompanying prospectus.</w:t>
      </w:r>
    </w:p>
    <w:p>
      <w:pPr>
        <w:spacing w:after="0" w:line="165" w:lineRule="exact"/>
        <w:rPr>
          <w:sz w:val="24"/>
          <w:szCs w:val="24"/>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2800985</wp:posOffset>
            </wp:positionH>
            <wp:positionV relativeFrom="paragraph">
              <wp:posOffset>123190</wp:posOffset>
            </wp:positionV>
            <wp:extent cx="1629410" cy="600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941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March 11,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60" w:type="dxa"/>
            <w:vAlign w:val="bottom"/>
            <w:gridSpan w:val="2"/>
          </w:tcPr>
          <w:p>
            <w:pPr>
              <w:ind w:left="94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780" w:type="dxa"/>
            <w:vAlign w:val="bottom"/>
            <w:gridSpan w:val="17"/>
          </w:tcPr>
          <w:p>
            <w:pPr>
              <w:spacing w:after="0"/>
              <w:rPr>
                <w:sz w:val="20"/>
                <w:szCs w:val="20"/>
                <w:color w:val="auto"/>
              </w:rPr>
            </w:pPr>
            <w:r>
              <w:rPr>
                <w:rFonts w:ascii="Arial" w:cs="Arial" w:eastAsia="Arial" w:hAnsi="Arial"/>
                <w:sz w:val="18"/>
                <w:szCs w:val="18"/>
                <w:b w:val="1"/>
                <w:bCs w:val="1"/>
                <w:color w:val="auto"/>
              </w:rPr>
              <w:t>Prospectus Supplement</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760" w:type="dxa"/>
            <w:vAlign w:val="bottom"/>
            <w:tcBorders>
              <w:top w:val="single" w:sz="8" w:color="CCEEFF"/>
            </w:tcBorders>
            <w:gridSpan w:val="16"/>
            <w:shd w:val="clear" w:color="auto" w:fill="CCEEFF"/>
          </w:tcPr>
          <w:p>
            <w:pPr>
              <w:spacing w:after="0" w:line="136" w:lineRule="exact"/>
              <w:rPr>
                <w:rFonts w:ascii="Arial" w:cs="Arial" w:eastAsia="Arial" w:hAnsi="Arial"/>
                <w:sz w:val="15"/>
                <w:szCs w:val="15"/>
                <w:color w:val="0000EE"/>
              </w:rPr>
            </w:pPr>
            <w:hyperlink w:anchor="page3">
              <w:r>
                <w:rPr>
                  <w:rFonts w:ascii="Arial" w:cs="Arial" w:eastAsia="Arial" w:hAnsi="Arial"/>
                  <w:sz w:val="15"/>
                  <w:szCs w:val="15"/>
                  <w:color w:val="0000EE"/>
                </w:rPr>
                <w:t>ABOUT THIS PROSPECTUS SUPPLEMENT</w:t>
              </w:r>
            </w:hyperlink>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S-ii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tcBorders>
              <w:top w:val="single" w:sz="8" w:color="0000EE"/>
            </w:tcBorders>
            <w:gridSpan w:val="12"/>
          </w:tcPr>
          <w:p>
            <w:pPr>
              <w:spacing w:after="0" w:line="17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PROSPECTUS SUPPLEMENT SUMMARY</w:t>
              </w:r>
            </w:hyperlink>
          </w:p>
        </w:tc>
        <w:tc>
          <w:tcPr>
            <w:tcW w:w="734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S-1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RISK FACTORS</w:t>
              </w:r>
            </w:hyperlink>
          </w:p>
        </w:tc>
        <w:tc>
          <w:tcPr>
            <w:tcW w:w="952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6"/>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FORWARD-LOOKING STATEMENTS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6"/>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DILUTION</w:t>
              </w:r>
            </w:hyperlink>
          </w:p>
        </w:tc>
        <w:tc>
          <w:tcPr>
            <w:tcW w:w="920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S-9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PLAN OF DISTRIBUTION</w:t>
              </w:r>
            </w:hyperlink>
          </w:p>
        </w:tc>
        <w:tc>
          <w:tcPr>
            <w:tcW w:w="872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6"/>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LEGAL MATTERS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EXPERTS</w:t>
              </w:r>
            </w:hyperlink>
          </w:p>
        </w:tc>
        <w:tc>
          <w:tcPr>
            <w:tcW w:w="1000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6"/>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INCORPORATION OF CERTAIN DOCUMENTS BY REFERENCE</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6"/>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WHERE YOU CAN FIND MORE INFORMATION</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0780" w:type="dxa"/>
            <w:vAlign w:val="bottom"/>
            <w:gridSpan w:val="17"/>
          </w:tcPr>
          <w:p>
            <w:pPr>
              <w:spacing w:after="0"/>
              <w:rPr>
                <w:sz w:val="20"/>
                <w:szCs w:val="20"/>
                <w:color w:val="auto"/>
              </w:rPr>
            </w:pPr>
            <w:r>
              <w:rPr>
                <w:rFonts w:ascii="Arial" w:cs="Arial" w:eastAsia="Arial" w:hAnsi="Arial"/>
                <w:sz w:val="18"/>
                <w:szCs w:val="18"/>
                <w:b w:val="1"/>
                <w:bCs w:val="1"/>
                <w:color w:val="auto"/>
              </w:rPr>
              <w:t>Prospectus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80" w:type="dxa"/>
            <w:vAlign w:val="bottom"/>
            <w:tcBorders>
              <w:top w:val="single" w:sz="8" w:color="CCEEFF"/>
              <w:bottom w:val="single" w:sz="8" w:color="0000EE"/>
            </w:tcBorders>
            <w:gridSpan w:val="7"/>
            <w:shd w:val="clear" w:color="auto" w:fill="CCEEFF"/>
          </w:tcPr>
          <w:p>
            <w:pPr>
              <w:spacing w:after="0" w:line="136" w:lineRule="exact"/>
              <w:rPr>
                <w:rFonts w:ascii="Arial" w:cs="Arial" w:eastAsia="Arial" w:hAnsi="Arial"/>
                <w:sz w:val="15"/>
                <w:szCs w:val="15"/>
                <w:color w:val="0000EE"/>
              </w:rPr>
            </w:pPr>
            <w:hyperlink w:anchor="page18">
              <w:r>
                <w:rPr>
                  <w:rFonts w:ascii="Arial" w:cs="Arial" w:eastAsia="Arial" w:hAnsi="Arial"/>
                  <w:sz w:val="15"/>
                  <w:szCs w:val="15"/>
                  <w:color w:val="0000EE"/>
                </w:rPr>
                <w:t>PROSPECTUS SUMMARY</w:t>
              </w:r>
            </w:hyperlink>
          </w:p>
        </w:tc>
        <w:tc>
          <w:tcPr>
            <w:tcW w:w="8680" w:type="dxa"/>
            <w:vAlign w:val="bottom"/>
            <w:tcBorders>
              <w:top w:val="single" w:sz="8" w:color="CCEEFF"/>
              <w:bottom w:val="single" w:sz="8" w:color="CCEEFF"/>
            </w:tcBorders>
            <w:gridSpan w:val="9"/>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6"/>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FORWARD-LOOKING STATEMENTS</w:t>
              </w:r>
            </w:hyperlink>
          </w:p>
        </w:tc>
        <w:tc>
          <w:tcPr>
            <w:tcW w:w="784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6"/>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DILUTION</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6"/>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USE OF PROCEEDS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6"/>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DIVIDEND POLICY</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DESCRIPTION OF CAPITAL STOCK</w:t>
              </w:r>
            </w:hyperlink>
          </w:p>
        </w:tc>
        <w:tc>
          <w:tcPr>
            <w:tcW w:w="790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6"/>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THE DEPOSITARY SHARES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6"/>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THE WARRANTS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6"/>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THE DEBT SECURITIES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PLAN OF DISTRIBUTION</w:t>
              </w:r>
            </w:hyperlink>
          </w:p>
        </w:tc>
        <w:tc>
          <w:tcPr>
            <w:tcW w:w="872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6"/>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EXPERTS</w:t>
              </w:r>
            </w:hyperlink>
          </w:p>
        </w:tc>
        <w:tc>
          <w:tcPr>
            <w:tcW w:w="1000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6"/>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INCORPORATION OF CERTAIN DOCUMENTS BY REFERENCE</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6"/>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This prospectus supplement and the accompanying base prospectus is part of a registration statement that we filed with the Securities and Exchange Commission (“SEC”) utilizing a “shelf” registration process. Each time we conduct an offering to sell securities under the accompanying base prospectus we will provide a prospectus supplement that will contain specific information about the terms of that offering, including the price, the amount of securities being offered and the plan of distribution. The shelf registration statement was initially filed with the SEC on September 10, 2014, and was declared effective by the SEC on September 29, 2014. This prospectus supplement, which updates and replaces in its entirety our prospectus supplement dated November 27, 2015 that also related to the Sales Agreement, describes the specific details regarding this offering and may add, update or change information contained in the accompanying base prospectus. The accompanying base prospectus provides general information about us and our securities, some of which, such as the section entitled “Plan of Distribution,” may not apply to this offering. This prospectus supplement and the accompanying base prospectus are an offer to sell only the securities offered hereby, but only under circumstances and in jurisdictions where it is lawful to do so. We are not making offers to sell or solicitations to buy our common stock in any jurisdiction in which an offer or solicitation is not authorized or in which the person making that offer or solicitation is not qualified to do so or to anyone to whom it is unlawful to make an offer or solicitation.</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If information in this prospectus supplement is inconsistent with the accompanying base prospectus or the information incorporated by reference with an earlier date, you should rely on this prospectus supplement. This prospectus supplement, together with the base prospectus, the documents incorporated by reference into this prospectus supplement and the accompanying base prospectus and any free writing prospectus we have authorized for use in connection with this offering include all material information relating to this offering. We have not, and Cantor Fitzgerald has not, authorized anyone to provide you with different or additional information and you must not rely on any unauthorized information or representations. You should assume that the information appearing in this prospectus supplement, the accompanying base prospectus, the documents incorporated by reference in this prospectus supplement and the accompanying base prospectus and any free writing prospectus we have authorized for use in connection with this offering is accurate only as of the respective dates of those documents, regardless of the time of delivery of this prospectus supplement, the accompanying base prospectus or any free writing prospectus or the time of any sale of a security. Our business, financial condition, results of operations and prospects may have changed since those dates. </w:t>
      </w:r>
      <w:r>
        <w:rPr>
          <w:rFonts w:ascii="Arial" w:cs="Arial" w:eastAsia="Arial" w:hAnsi="Arial"/>
          <w:sz w:val="16"/>
          <w:szCs w:val="16"/>
          <w:b w:val="1"/>
          <w:bCs w:val="1"/>
          <w:color w:val="auto"/>
        </w:rPr>
        <w:t>You should carefully read this prospectus supplement, the accompanying base prospectus and the information and documents</w:t>
      </w:r>
      <w:r>
        <w:rPr>
          <w:rFonts w:ascii="Arial" w:cs="Arial" w:eastAsia="Arial" w:hAnsi="Arial"/>
          <w:sz w:val="16"/>
          <w:szCs w:val="16"/>
          <w:color w:val="auto"/>
        </w:rPr>
        <w:t xml:space="preserve"> </w:t>
      </w:r>
      <w:r>
        <w:rPr>
          <w:rFonts w:ascii="Arial" w:cs="Arial" w:eastAsia="Arial" w:hAnsi="Arial"/>
          <w:sz w:val="16"/>
          <w:szCs w:val="16"/>
          <w:b w:val="1"/>
          <w:bCs w:val="1"/>
          <w:color w:val="auto"/>
        </w:rPr>
        <w:t>incorporated herein by reference herein and therein, as well as any free writing prospectus we have authorized for use in connection with this offering, before making an investment decision. See “Incorporation of Certain Documents by Reference” and “Where You Can Find More Information” in this prospectus supplement and in the accompanying base prospectus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This prospectus supplement and the accompanying base prospectus contain summaries of certain provisions contained in some of the documents described herein, but reference is made to the actual documents for complete information. All of the summaries are qualified in their entirety by the full text of the actual documents, some of which have been filed or will be filed and incorporated by reference herein. See “Where You Can Find More Information” in this prospectus supplement. We further note that the representations, warranties and covenants made by us in any agreement that is filed as an exhibit to any document that is incorporated by reference into this prospectus supplement or the accompanying base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prospectus supplement and the accompanying base prospectus contain and incorporate by reference certain market data and industry statistics and forecasts that are based on Company-sponsored studies, independent industry publications and other publicly available information. Although we believe these sources are reliable, we do not guarantee the accuracy or completeness of this information and we have not verified any of this data. Further, many of these statements involve risks and uncertainties and are subject to change based on various factors, including those discussed under “Risk Factors” in this prospectus supplement and the accompanying base prospectus and under similar headings in the documents incorporated by reference herein and therein. Accordingly, investors should not place undue reliance on this information.</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Unless otherwise stated or the context requires otherwise, all references in this prospectus supplement to the “Company,” “we,” “us,” “our” and “Imprimis” refer to Imprimis Pharmaceuticals, Inc., a Delaware corporation, and its consolidated subsidiaries. We own the registered trademarks or trademark applications for Imprimis</w:t>
      </w:r>
      <w:r>
        <w:rPr>
          <w:rFonts w:ascii="Arial" w:cs="Arial" w:eastAsia="Arial" w:hAnsi="Arial"/>
          <w:sz w:val="26"/>
          <w:szCs w:val="26"/>
          <w:color w:val="auto"/>
          <w:vertAlign w:val="superscript"/>
        </w:rPr>
        <w:t>®</w:t>
      </w:r>
      <w:r>
        <w:rPr>
          <w:rFonts w:ascii="Arial" w:cs="Arial" w:eastAsia="Arial" w:hAnsi="Arial"/>
          <w:sz w:val="16"/>
          <w:szCs w:val="16"/>
          <w:color w:val="auto"/>
        </w:rPr>
        <w:t>, ImprimisRx</w:t>
      </w:r>
      <w:r>
        <w:rPr>
          <w:rFonts w:ascii="Arial" w:cs="Arial" w:eastAsia="Arial" w:hAnsi="Arial"/>
          <w:sz w:val="26"/>
          <w:szCs w:val="26"/>
          <w:color w:val="auto"/>
          <w:vertAlign w:val="superscript"/>
        </w:rPr>
        <w:t>®</w:t>
      </w:r>
      <w:r>
        <w:rPr>
          <w:rFonts w:ascii="Arial" w:cs="Arial" w:eastAsia="Arial" w:hAnsi="Arial"/>
          <w:sz w:val="16"/>
          <w:szCs w:val="16"/>
          <w:color w:val="auto"/>
        </w:rPr>
        <w:t>, Imprimis Pharmaceuticals™, Imprimis Cares!™, SSP Technology™, Go Dropless™, LessDrops</w:t>
      </w:r>
      <w:r>
        <w:rPr>
          <w:rFonts w:ascii="Arial" w:cs="Arial" w:eastAsia="Arial" w:hAnsi="Arial"/>
          <w:sz w:val="26"/>
          <w:szCs w:val="26"/>
          <w:color w:val="auto"/>
          <w:vertAlign w:val="superscript"/>
        </w:rPr>
        <w:t>®</w:t>
      </w:r>
      <w:r>
        <w:rPr>
          <w:rFonts w:ascii="Arial" w:cs="Arial" w:eastAsia="Arial" w:hAnsi="Arial"/>
          <w:sz w:val="16"/>
          <w:szCs w:val="16"/>
          <w:color w:val="auto"/>
        </w:rPr>
        <w:t>, Dropless™,</w:t>
      </w:r>
    </w:p>
    <w:p>
      <w:pPr>
        <w:spacing w:after="0" w:line="1"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Dropless Cataract Surgery™, Dropless Cataract Therapy™, Dropless Therapy</w:t>
      </w:r>
      <w:r>
        <w:rPr>
          <w:rFonts w:ascii="Arial" w:cs="Arial" w:eastAsia="Arial" w:hAnsi="Arial"/>
          <w:sz w:val="28"/>
          <w:szCs w:val="28"/>
          <w:color w:val="auto"/>
          <w:vertAlign w:val="superscript"/>
        </w:rPr>
        <w:t>®</w:t>
      </w:r>
      <w:r>
        <w:rPr>
          <w:rFonts w:ascii="Arial" w:cs="Arial" w:eastAsia="Arial" w:hAnsi="Arial"/>
          <w:sz w:val="17"/>
          <w:szCs w:val="17"/>
          <w:color w:val="auto"/>
        </w:rPr>
        <w:t>, Defeat IC™, HLA Therapy™, Triple Drop™, PPS-DR™, Trimix-LP™, Stericheck™, Trimoxi™, Pred-Moxi™, Pred-Moxi-Ketor™, Pred-Moxi-Brom™, Pred-Ketor™, Dex-Moxi ™, Combination Drop Therapy™, Compounded Alternative™, Compounded Choice™ and ED Free™. All other trademarks, trade names and service marks included or incorporated by reference into this prospectus supplement, the accompanying base prospectus and any applicable free writing prospectus are the property of their respective owners.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79279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2175" cy="7927975"/>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This prospectus summary highlights information contained elsewhere in this prospectus supplement, the accompanying base prospectus and the documents incorporated by reference herein and therein. This summary does not contain all of the information that you should consider before deciding to invest in our securities. You should read this entire prospectus supplement and the accompanying base prospectus carefully, including the section entitled “Risk Factors” beginning on page S-4 and our consolidated financial statements and the related notes and the other information incorporated by reference into this prospectus supplement and the accompanying base prospectus, before making an investment decision.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color w:val="auto"/>
        </w:rPr>
        <w:t xml:space="preserve">We are a national leader in the development, production and dispensing of innovative proprietary compounded pharmaceuticals that we aim to make available to physicians and patients at affordable prices. Under our </w:t>
      </w:r>
      <w:r>
        <w:rPr>
          <w:rFonts w:ascii="Arial" w:cs="Arial" w:eastAsia="Arial" w:hAnsi="Arial"/>
          <w:sz w:val="16"/>
          <w:szCs w:val="16"/>
          <w:i w:val="1"/>
          <w:iCs w:val="1"/>
          <w:color w:val="auto"/>
        </w:rPr>
        <w:t>Imprimis Cares™</w:t>
      </w:r>
      <w:r>
        <w:rPr>
          <w:rFonts w:ascii="Arial" w:cs="Arial" w:eastAsia="Arial" w:hAnsi="Arial"/>
          <w:sz w:val="16"/>
          <w:szCs w:val="16"/>
          <w:color w:val="auto"/>
        </w:rPr>
        <w:t xml:space="preserve"> program, we own, market and dispense a portfolio of lower-cost compounded therapeutic alternatives to higher-priced U.S. Food and Drug Administration (the “FDA”)-approved drugs in several therapeutic areas, including ophthalmology, urology, otolaryngology and infectious diseases. We believe our proprietary formulations may offer competitive advantages and serve unmet needs in the marketplace. Our proprietary ophthalmic compounded formulations, led by our Dropless Therapy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injectable and</w:t>
      </w:r>
    </w:p>
    <w:p>
      <w:pPr>
        <w:spacing w:after="0" w:line="3"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LessDrops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combination topical eye drops, compete in the multi-billion dollar market for ophthalmic antibiotic and anti-inflammatory drugs. These formulations, which are comprised of FDA-approved active pharmaceutical ingredients, are uniquely designed to address patient compliance issues and</w:t>
      </w:r>
    </w:p>
    <w:p>
      <w:pPr>
        <w:jc w:val="both"/>
        <w:spacing w:after="0" w:line="252" w:lineRule="auto"/>
        <w:rPr>
          <w:sz w:val="20"/>
          <w:szCs w:val="20"/>
          <w:color w:val="auto"/>
        </w:rPr>
      </w:pPr>
      <w:r>
        <w:rPr>
          <w:rFonts w:ascii="Arial" w:cs="Arial" w:eastAsia="Arial" w:hAnsi="Arial"/>
          <w:sz w:val="17"/>
          <w:szCs w:val="17"/>
          <w:color w:val="auto"/>
        </w:rPr>
        <w:t>provide other medical and economic benefits to physicians and patients. Our urology business, led by our Defeat IC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campaign, includes a patented compounded formulation for patients suffering from interstitial cystitis and customizable compounded formulations of pentosan polysulfate sodium delayed release (PPS-DR™) as a lower-cost therapeutic alternative to an off-patent oral drug, Elmiron®. Our otolaryngology business includes topical compounded sinus formulations, delivery systems and patented packaging. We have also introduced lower-cost compounded therapeutic alternatives for Daraprim® and Thiola®, which are FDA-approved drugs that have recently experienced price increases. We plan to expand our </w:t>
      </w:r>
      <w:r>
        <w:rPr>
          <w:rFonts w:ascii="Arial" w:cs="Arial" w:eastAsia="Arial" w:hAnsi="Arial"/>
          <w:sz w:val="17"/>
          <w:szCs w:val="17"/>
          <w:i w:val="1"/>
          <w:iCs w:val="1"/>
          <w:color w:val="auto"/>
        </w:rPr>
        <w:t>Imprimis Cares</w:t>
      </w:r>
      <w:r>
        <w:rPr>
          <w:rFonts w:ascii="Arial" w:cs="Arial" w:eastAsia="Arial" w:hAnsi="Arial"/>
          <w:sz w:val="17"/>
          <w:szCs w:val="17"/>
          <w:color w:val="auto"/>
        </w:rPr>
        <w:t xml:space="preserve"> program by introducing additional customizable compounded drug formulations for patient populations that may not have available alternatives to increasingly expensive FDA-approved medications. Our </w:t>
      </w:r>
      <w:r>
        <w:rPr>
          <w:rFonts w:ascii="Arial" w:cs="Arial" w:eastAsia="Arial" w:hAnsi="Arial"/>
          <w:sz w:val="17"/>
          <w:szCs w:val="17"/>
          <w:i w:val="1"/>
          <w:iCs w:val="1"/>
          <w:color w:val="auto"/>
        </w:rPr>
        <w:t>Imprimis Cares</w:t>
      </w:r>
      <w:r>
        <w:rPr>
          <w:rFonts w:ascii="Arial" w:cs="Arial" w:eastAsia="Arial" w:hAnsi="Arial"/>
          <w:sz w:val="17"/>
          <w:szCs w:val="17"/>
          <w:color w:val="auto"/>
        </w:rPr>
        <w:t xml:space="preserve"> program aligns with our corporate mission, vision and values of providing physicians and their patients high-quality individualized compounded medications at accessible prices.</w:t>
      </w:r>
    </w:p>
    <w:p>
      <w:pPr>
        <w:spacing w:after="0" w:line="196"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 xml:space="preserve">We are also developing our </w:t>
      </w:r>
      <w:r>
        <w:rPr>
          <w:rFonts w:ascii="Arial" w:cs="Arial" w:eastAsia="Arial" w:hAnsi="Arial"/>
          <w:sz w:val="17"/>
          <w:szCs w:val="17"/>
          <w:i w:val="1"/>
          <w:iCs w:val="1"/>
          <w:color w:val="auto"/>
        </w:rPr>
        <w:t>Custom Compounding Choice™</w:t>
      </w:r>
      <w:r>
        <w:rPr>
          <w:rFonts w:ascii="Arial" w:cs="Arial" w:eastAsia="Arial" w:hAnsi="Arial"/>
          <w:sz w:val="17"/>
          <w:szCs w:val="17"/>
          <w:color w:val="auto"/>
        </w:rPr>
        <w:t xml:space="preserve"> business, which is focused on developing and dispensing a portfolio of non-proprietary compounded drugs for humans and animals in therapeutic areas that may be overlooked by commercial pharmaceutical companies. We also offer customizable compounding products that consist of sterile injectable and non-sterile integrative medicine therapies that are used in various therapeutic areas, including oncology, autoimmunity, chronic infectious diseases and endocrine and metabolic diseases.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own four compounding pharmacies, based in New Jersey, California, Texas and Pennsylvania, through which we make, dispense and sell our proprietary compounded formulations and other non-proprietary products. In this prospectus supplement, we refer to each of our compounding pharmacies as an “ImprimisRx compounding pharmacy.”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of our proprietary compounded formulations are born from the clinical experience of a network of inventors, including physician prescribers, clinical researchers and pharmacist formulators, who develop and prescribe customized medicines for individual patient needs. We pursue a development pathway for potential formulation candidates that involves working collaboratively with these inventors to identify and evaluate intellectual property related to the formulation, assess relevant markets for the formulation, and seek to validate the clinical experience relating to the formulation with the objective of investing in commercialization activities. Although our business is focused on a compounding commercialization strategy, we may also consider other commercialization pathways, including pursuing FDA approval to market and sell a drug formulation or technology.</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incurred recurring operating losses and have had negative operating cash flows since our inception on July 24, 1998. In addition, we have an accumulated deficit of approximately $53 million at September 30, 2015. Beginning on April 1, 2014, when we acquired our first ImprimisRx compounding pharmacy, we began generating revenue from sales by our pharmacies of certain of our proprietary drug formulations and other non-proprietary formulations; however, we expect to incur further losses as we integrate and develop our pharmacy operations, evaluate other programs and continue the development of our formulations.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principal executive offices are located at 12264 El Camino Real, Suite 350, San Diego, California 92130 and our telephone number at such offices is (858) 704-4040. Our website address is www.imprimispharma.com. Information contained on our website is not part of this prospectus supplement.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00"/>
          </w:cols>
          <w:pgMar w:left="460" w:top="904" w:right="4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8262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2175" cy="8262620"/>
                    </a:xfrm>
                    <a:prstGeom prst="rect">
                      <a:avLst/>
                    </a:prstGeom>
                    <a:noFill/>
                  </pic:spPr>
                </pic:pic>
              </a:graphicData>
            </a:graphic>
          </wp:anchor>
        </w:drawing>
        <w:t>The Offering</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The following is a brief summary of some of the terms of the offering and is qualified in its entirety by reference to the more detailed information appearing elsewhere in this prospectus supplement and the accompanying base prospectus. For a more complete description of the terms of our common stock, see “Description of Our Capital Stock” in the accompanying base prospectus.</w:t>
      </w:r>
    </w:p>
    <w:p>
      <w:pPr>
        <w:sectPr>
          <w:pgSz w:w="11900" w:h="16838" w:orient="portrait"/>
          <w:cols w:equalWidth="0" w:num="1">
            <w:col w:w="11000"/>
          </w:cols>
          <w:pgMar w:left="460" w:top="904" w:right="439" w:bottom="1440" w:gutter="0" w:footer="0" w:header="0"/>
        </w:sectPr>
      </w:pP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having an aggregate offering price of up to $3,200,000.</w:t>
      </w:r>
    </w:p>
    <w:p>
      <w:pPr>
        <w:spacing w:after="0" w:line="200" w:lineRule="exact"/>
        <w:rPr>
          <w:sz w:val="20"/>
          <w:szCs w:val="20"/>
          <w:color w:val="auto"/>
        </w:rPr>
      </w:pPr>
    </w:p>
    <w:p>
      <w:pPr>
        <w:sectPr>
          <w:pgSz w:w="11900" w:h="16838" w:orient="portrait"/>
          <w:cols w:equalWidth="0" w:num="2">
            <w:col w:w="2380" w:space="720"/>
            <w:col w:w="7900"/>
          </w:cols>
          <w:pgMar w:left="460" w:top="904" w:right="439" w:bottom="1440" w:gutter="0" w:footer="0" w:header="0"/>
          <w:type w:val="continuous"/>
        </w:sectPr>
      </w:pPr>
    </w:p>
    <w:p>
      <w:pPr>
        <w:spacing w:after="0" w:line="48"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color w:val="auto"/>
        </w:rPr>
        <w:t>Up to 10,284,125 shares (as more fully described in the notes following this table), including 72,421 shares of common stock that we have sold under the Sales Agreement as of the date of this prospectus supplement for gross proceeds of $528,959 and assuming the sale of an additional 513,447 shares of our common stock in this offering at an offering price of $4.09 per share, which was the last reported sales price of our common stock on the NASDAQ Capital Market on March 10, 2016. The actual number of shares issued will vary depending on the sales prices under this offering.</w:t>
      </w:r>
    </w:p>
    <w:p>
      <w:pPr>
        <w:spacing w:after="0" w:line="178" w:lineRule="exact"/>
        <w:rPr>
          <w:sz w:val="20"/>
          <w:szCs w:val="20"/>
          <w:color w:val="auto"/>
        </w:rPr>
      </w:pPr>
    </w:p>
    <w:p>
      <w:pPr>
        <w:sectPr>
          <w:pgSz w:w="11900" w:h="16838" w:orient="portrait"/>
          <w:cols w:equalWidth="0" w:num="2">
            <w:col w:w="2880" w:space="220"/>
            <w:col w:w="7900"/>
          </w:cols>
          <w:pgMar w:left="460" w:top="904" w:right="4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Manner of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“At-the-market” offering that may be made from time to time through our sales agent, Cantor Fitzgerald.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See “Plan of Distribution” on page S-11.</w:t>
      </w:r>
    </w:p>
    <w:p>
      <w:pPr>
        <w:spacing w:after="0" w:line="200" w:lineRule="exact"/>
        <w:rPr>
          <w:sz w:val="20"/>
          <w:szCs w:val="20"/>
          <w:color w:val="auto"/>
        </w:rPr>
      </w:pPr>
    </w:p>
    <w:p>
      <w:pPr>
        <w:sectPr>
          <w:pgSz w:w="11900" w:h="16838" w:orient="portrait"/>
          <w:cols w:equalWidth="0" w:num="2">
            <w:col w:w="2380" w:space="720"/>
            <w:col w:w="7900"/>
          </w:cols>
          <w:pgMar w:left="460" w:top="904" w:right="439" w:bottom="1440" w:gutter="0" w:footer="0" w:header="0"/>
          <w:type w:val="continuous"/>
        </w:sectPr>
      </w:pPr>
    </w:p>
    <w:p>
      <w:pPr>
        <w:spacing w:after="0" w:line="11" w:lineRule="exact"/>
        <w:rPr>
          <w:sz w:val="20"/>
          <w:szCs w:val="20"/>
          <w:color w:val="auto"/>
        </w:rPr>
      </w:pPr>
    </w:p>
    <w:p>
      <w:pPr>
        <w:ind w:left="4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We expect to use the net proceeds from this offering for working capital and general corporate purposes. See “Use of Proceeds” on page S-9.</w:t>
      </w:r>
    </w:p>
    <w:p>
      <w:pPr>
        <w:spacing w:after="0" w:line="170" w:lineRule="exact"/>
        <w:rPr>
          <w:sz w:val="20"/>
          <w:szCs w:val="20"/>
          <w:color w:val="auto"/>
        </w:rPr>
      </w:pPr>
    </w:p>
    <w:p>
      <w:pPr>
        <w:sectPr>
          <w:pgSz w:w="11900" w:h="16838" w:orient="portrait"/>
          <w:cols w:equalWidth="0" w:num="2">
            <w:col w:w="2380" w:space="720"/>
            <w:col w:w="7900"/>
          </w:cols>
          <w:pgMar w:left="460" w:top="904" w:right="4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jc w:val="both"/>
        <w:ind w:right="60"/>
        <w:spacing w:after="0" w:line="259" w:lineRule="auto"/>
        <w:rPr>
          <w:sz w:val="20"/>
          <w:szCs w:val="20"/>
          <w:color w:val="auto"/>
        </w:rPr>
      </w:pPr>
      <w:r>
        <w:rPr>
          <w:rFonts w:ascii="Arial" w:cs="Arial" w:eastAsia="Arial" w:hAnsi="Arial"/>
          <w:sz w:val="18"/>
          <w:szCs w:val="18"/>
          <w:color w:val="auto"/>
        </w:rPr>
        <w:t>Investing in our common stock involves significant risks. See “Risk Factors” beginning on page S-4 and the other information included or incorporated by reference in this prospectus supplement and the accompanying base prospectus for a discussion of factors you should carefully consider before deciding to invest in our common stock.</w:t>
      </w:r>
    </w:p>
    <w:p>
      <w:pPr>
        <w:spacing w:after="0" w:line="187" w:lineRule="exact"/>
        <w:rPr>
          <w:sz w:val="20"/>
          <w:szCs w:val="20"/>
          <w:color w:val="auto"/>
        </w:rPr>
      </w:pPr>
    </w:p>
    <w:p>
      <w:pPr>
        <w:sectPr>
          <w:pgSz w:w="11900" w:h="16838" w:orient="portrait"/>
          <w:cols w:equalWidth="0" w:num="2">
            <w:col w:w="2380" w:space="720"/>
            <w:col w:w="7900"/>
          </w:cols>
          <w:pgMar w:left="460" w:top="904" w:right="4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“IMMY”</w:t>
      </w:r>
    </w:p>
    <w:p>
      <w:pPr>
        <w:spacing w:after="0" w:line="200" w:lineRule="exact"/>
        <w:rPr>
          <w:sz w:val="20"/>
          <w:szCs w:val="20"/>
          <w:color w:val="auto"/>
        </w:rPr>
      </w:pPr>
    </w:p>
    <w:p>
      <w:pPr>
        <w:sectPr>
          <w:pgSz w:w="11900" w:h="16838" w:orient="portrait"/>
          <w:cols w:equalWidth="0" w:num="2">
            <w:col w:w="2500" w:space="600"/>
            <w:col w:w="7900"/>
          </w:cols>
          <w:pgMar w:left="460" w:top="904" w:right="439" w:bottom="1440" w:gutter="0" w:footer="0" w:header="0"/>
          <w:type w:val="continuous"/>
        </w:sectPr>
      </w:pPr>
    </w:p>
    <w:p>
      <w:pPr>
        <w:spacing w:after="0" w:line="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number of shares of our common stock expected to be outstanding after this offering is based on 9,770,678 shares of common stock outstanding as of February 29, 2016 and excludes the following:</w:t>
      </w:r>
    </w:p>
    <w:p>
      <w:pPr>
        <w:spacing w:after="0" w:line="170" w:lineRule="exact"/>
        <w:rPr>
          <w:sz w:val="20"/>
          <w:szCs w:val="20"/>
          <w:color w:val="auto"/>
        </w:rPr>
      </w:pPr>
    </w:p>
    <w:p>
      <w:pPr>
        <w:ind w:left="1340" w:right="60" w:hanging="323"/>
        <w:spacing w:after="0" w:line="308" w:lineRule="auto"/>
        <w:tabs>
          <w:tab w:leader="none" w:pos="1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1,542,376 shares of common stock issuable upon exercise of options outstanding as of February 29, 2016, which have a weighted average exercise price of $7.05 per share and of which 700,265 shares were exercisable as of February 29, 2016</w:t>
      </w:r>
    </w:p>
    <w:p>
      <w:pPr>
        <w:spacing w:after="0" w:line="146" w:lineRule="exact"/>
        <w:rPr>
          <w:rFonts w:ascii="Arial" w:cs="Arial" w:eastAsia="Arial" w:hAnsi="Arial"/>
          <w:sz w:val="17"/>
          <w:szCs w:val="17"/>
          <w:color w:val="auto"/>
        </w:rPr>
      </w:pPr>
    </w:p>
    <w:p>
      <w:pPr>
        <w:ind w:left="1340" w:hanging="323"/>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1,483,492 shares of common stock issuable upon the vesting of restricted stock units as of February 29, 2016;</w:t>
      </w:r>
    </w:p>
    <w:p>
      <w:pPr>
        <w:spacing w:after="0" w:line="225" w:lineRule="exact"/>
        <w:rPr>
          <w:rFonts w:ascii="Arial" w:cs="Arial" w:eastAsia="Arial" w:hAnsi="Arial"/>
          <w:sz w:val="18"/>
          <w:szCs w:val="18"/>
          <w:color w:val="auto"/>
        </w:rPr>
      </w:pPr>
    </w:p>
    <w:p>
      <w:pPr>
        <w:ind w:left="1340" w:right="60" w:hanging="323"/>
        <w:spacing w:after="0" w:line="277" w:lineRule="auto"/>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1,340,029 shares of common stock reserved for issuance and available for future grant under our equity incentive plans as of February 29, 2016;</w:t>
      </w:r>
    </w:p>
    <w:p>
      <w:pPr>
        <w:spacing w:after="0" w:line="170" w:lineRule="exact"/>
        <w:rPr>
          <w:rFonts w:ascii="Arial" w:cs="Arial" w:eastAsia="Arial" w:hAnsi="Arial"/>
          <w:sz w:val="18"/>
          <w:szCs w:val="18"/>
          <w:color w:val="auto"/>
        </w:rPr>
      </w:pPr>
    </w:p>
    <w:p>
      <w:pPr>
        <w:jc w:val="both"/>
        <w:ind w:left="1340" w:right="60" w:hanging="323"/>
        <w:spacing w:after="0" w:line="257" w:lineRule="auto"/>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240,688 shares of common stock issuable upon exercise of warrants outstanding as of February 29, 2016, which have a weighted average exercise price of $6.40 per share and all of which were exercisable as of February 29, 2016. Pursuant to certain anti-dilution provisions in an outstanding warrant to purchase up to 125,000 of these shares of common stock, upon the closing of our public offering of common stock in a separate transaction, which is expected to occur on or about March 16, 2016, the exercise price of such warrant will adjust to $3.60 per share; and</w:t>
      </w:r>
    </w:p>
    <w:p>
      <w:pPr>
        <w:spacing w:after="0" w:line="188" w:lineRule="exact"/>
        <w:rPr>
          <w:rFonts w:ascii="Arial" w:cs="Arial" w:eastAsia="Arial" w:hAnsi="Arial"/>
          <w:sz w:val="18"/>
          <w:szCs w:val="18"/>
          <w:color w:val="auto"/>
        </w:rPr>
      </w:pPr>
    </w:p>
    <w:p>
      <w:pPr>
        <w:jc w:val="both"/>
        <w:ind w:left="1340" w:right="60" w:hanging="323"/>
        <w:spacing w:after="0" w:line="276" w:lineRule="auto"/>
        <w:tabs>
          <w:tab w:leader="none" w:pos="1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508,475 shares of common stock issuable upon conversion of a convertible note outstanding as of February 29, 2016, which was convertible into shares of common stock at a conversion price of $5.90 per share as of February 29, 2016. Pursuant to certain anti-dilution provisions in such convertible note, upon the closing of our public offering of common stock in a separate transaction, which is expected to occur on or about March 16, 2016, the conversion price of such convertible note will adjust to $3.60 per share and 769,231 shares of common stock will be issuable upon conversion of the convertible note.</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 transaction separate from and unrelated to the Sales Agreement (the “Separate Transaction”), we have agreed, subject to certain limited exceptions, not to sell or transfer any shares of our common stock, or securities convertible into, exchangeable for, or repayable with shares of our common stock, for 120 days after the date of our prospectus supplement dated March 11, 2016 relating to the offer and sale of our common stock through certain underwriters named therein. As a result, we have suspended offers and sales of our common stock through Cantor Fitzgerald and do not expect to release such suspension and re-commence offers and sales of our common stock pursuant to the Sales Agreement and this prospectus supplement until after the end of such 120-day period. Unless otherwise noted, all share information referenced herein excludes any shares of common stock we propose to offer and sell in the Separate Transaction.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00"/>
          </w:cols>
          <w:pgMar w:left="460" w:top="904" w:right="4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Investing in our common stock involves a high degree of risk. Before purchasing our common stock, you should read and consider carefully the following risk factors as well as all other information contained and incorporated by reference in this prospectus supplement and the accompanying base prospectus, including our consolidated financial statements and the related notes. Each of these risk factors, either alone or taken together, could adversely affect our business, operating results and financial condition, as well as adversely affect the value of an investment in our common stock. There may be additional risks that we do not presently know of or that we currently believe are immaterial, which could also impair our business and financial position. If any of the events described below were to occur, our financial condition, our ability to access capital resources, our results of operations and/or our future growth prospects could be materially and adversely affected and the market price of our common stock could decline. As a result, you could lose some or all of any investment you may make in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dilution in the book value per share of the common stock you purchase.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the price per share of our common stock being offered may be higher than the book value per share of our common stock, you may suffer immediate substantial dilution in the net tangible book value of the common stock you purchase in this offering. See “Dilution” on page S-10 for a more detailed discussion of the dilution you may incur if you purchase shares of our common stock in this offering.</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over the use of the net proceeds from this offering, if any, and we may not use these proceeds effectively or in a manner with which you agree.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currently anticipate using the net proceeds we have received from this offering to date and any additional net proceeds we may receive from this offering in the future for working capital and general corporate purposes. This represents our best estimate of the manner in which we will use any net proceeds we receive from this offering based upon the current status of our business, but we have not reserved or allocated amounts for specific purposes and we cannot specify with certainty how or when we will use any net proceeds. Accordingly, our management has broad discretion in the application of the net proceeds we have received and any additional net proceeds we may receive from this offering. You will not have the opportunity, as part of your investment decision, to assess whether any proceeds are being used effectively or in a manner with which you agree. The net proceeds may be used for corporate purposes that do not increase our operating results or market value. Until any net proceeds are used, they may be placed in investments that do not produce income or that lose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trading in our common stock has been sporadic and volatile and our common stock has in the past been “thinly-traded.” There have been, and may in the future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market price of our common stock has in the past been, and may in the future be, highly volatile and subject to wide fluctuations in response to various factors, many of which are beyond our control, including the following:</w:t>
      </w:r>
    </w:p>
    <w:p>
      <w:pPr>
        <w:spacing w:after="0" w:line="170"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pharmacy and pharmaceutical industry and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working capital financing when needed;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competitors in our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persons whose sales or lack of sales could result in positive or negative pricing pressure on the market price for 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of our common stock by us or by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results that fall below expectations;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any material strategic relationships;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or regulatory developments;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other external factors;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other risks affecting our business discussed in these risk factors and the other risk factors incorporated herein by reference.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investment will be limited to any appreciation in the value of our common stock.</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never paid cash dividends on our common stock and do not anticipate doing so in the foreseeable future. Any payment of dividends on our common stock would depend on any contractual restrictions, such as those contained in our May 2015 loan agreement and related January 2016 note purchase agreement and convertible note with IMMY Funding LLC, an affiliate of Life Sciences Alternative Funding LLC,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sale of substantial amounts of our common stock in the public market, or the perception that such sales could occur, could cause the market price of our common stock to fall. Such sales could occur upon the expiration of any statutory holding period, such as under Rule 144 under the Securities Act, applicable to outstanding shares, upon expiration of any lock-up periods applicable to outstanding shares, upon our issuance of shares upon the exercise of outstanding options or warrants, or upon our issuance of shares pursuant to the Sales Agreement or any other offerings of our equity securities that we may elect to pursue, such as our offering of common stock in a separate transaction pursuant to a prospectus supplement dated March 11, 2016.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of their significant stock ownership, some of our existing stockholders are able to exert control over us and our significant corporate decisions.</w:t>
      </w:r>
    </w:p>
    <w:p>
      <w:pPr>
        <w:spacing w:after="0" w:line="2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executive officers and directors collectively own, or have the right to acquire within 60 days after March 11, 2016, approximately 18% of our common stock that would be outstanding following such issuances. In addition, four individual stockholders collectively own, or have the right to acquire within 60 days after March 11, 2016, an additional approximately 35% of our common stock that would be outstanding following such issuances. These persons, acting together, have the ability to exercise significant influence over or control the outcome of all matters submitted to our stockholders for approval, including the election and removal of directors and any significant transaction involving us, and to control our management and affairs. Additionally, since our Amended and Restated Certificate of Incorporation and Amended and Restated Bylaws permit our stockholders to act by written consent, a limited number of stockholders may approve stockholder actions without holding a meeting of stockholders. This concentration of ownership may harm the market price of our common stock by, among other things: delaying, deferring, or preventing a change in control of our Company or changes to our board of directors; impeding a merger, consolidation, takeover, or other business combination involving our Company; causing us to enter into transactions or agreements that are not in the best interests of all stockholders; or discouraging a potential acquiror from making a tender offer or otherwise attempting to obtain control of our Company.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without obtaining stockholder approval. If we issue preferred stock, it may have rights, preferences and privileges superior to those of our common stock.</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authorized to issue 5,000,000 shares of “blank check” preferred stock, with such rights, preferences and privileges as may be determined from time to time by our board of directors. Although we have no shares of preferred stock issued and outstanding and we have no immediate plans to issue shares of preferred stock,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numerous risks.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is subject to numerous risks, all of which you should consider carefully before making a decision to invest in our common stock. These risks include, among others, those listed below, which are more fully described in the reports we periodically file with the SEC and which are incorporated herein by reference. See “Incorporation of Certain Documents by Reference” and “Where You Can Find More Information” in this prospectus supplement for further information.</w:t>
      </w:r>
    </w:p>
    <w:p>
      <w:pPr>
        <w:spacing w:after="0" w:line="18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losses in every year of our operations, and we may never become profitable.</w:t>
      </w:r>
    </w:p>
    <w:p>
      <w:pPr>
        <w:spacing w:after="0" w:line="225" w:lineRule="exact"/>
        <w:rPr>
          <w:rFonts w:ascii="Arial" w:cs="Arial" w:eastAsia="Arial" w:hAnsi="Arial"/>
          <w:sz w:val="18"/>
          <w:szCs w:val="18"/>
          <w:color w:val="auto"/>
        </w:rPr>
      </w:pPr>
    </w:p>
    <w:p>
      <w:pPr>
        <w:jc w:val="both"/>
        <w:ind w:left="980" w:hanging="324"/>
        <w:spacing w:after="0" w:line="293"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aim to sell certain of our proprietary formulations primarily through a unified network of compounding pharmacies. To pursue this goal, we have acquired our four ImprimisRx compounding pharmacies and we have commenced construction efforts on two of these pharmacies, our Texas- and New Jersey-based facilities, in order for these locations to satisfy the requirements to register with the FDA as outsourcing facilities, although we have experienced delays and increased costs in these construction efforts. In spite of our efforts, we may not be successful in developing these facilities into outsourcing facilities, integrating our compounding pharmacies into our operations or otherwise establishing a unified network of compounding pharmacies, which could materially harm our business plans and our prospects.</w:t>
      </w:r>
    </w:p>
    <w:p>
      <w:pPr>
        <w:spacing w:after="0" w:line="164" w:lineRule="exact"/>
        <w:rPr>
          <w:rFonts w:ascii="Arial" w:cs="Arial" w:eastAsia="Arial" w:hAnsi="Arial"/>
          <w:sz w:val="16"/>
          <w:szCs w:val="16"/>
          <w:color w:val="auto"/>
        </w:rPr>
      </w:pPr>
    </w:p>
    <w:p>
      <w:pPr>
        <w:jc w:val="both"/>
        <w:ind w:left="9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limited experience commercializing our formulations or acquiring, building or operating compounding pharmacies or other prescription dispensing facilities. We have only been pursuing our business as a pharmaceutical company since December 2011, and we have only been pursuing our focus on compounded formulations and compounding pharmacies since November 2013.</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dependent on market acceptance of compounding pharmacies and compounded formulations, which contain FDA-approved ingredients but are not themselves approved by the FDA. As a result, physicians may be unwilling to prescribe, and patients may be unwilling to use, our proprietary customizable compounded formulations.</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receive sufficient revenue through our ImprimisRx compounding pharmacies or other compounding pharmacies with which we may partner to fund our operations and recover our development costs.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compounding pharmacy business is significantly impacted by state and federal pharmacy, healthcare and other statutes and regulations, which may be costly to comply with and which are subject to change.</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ImprimisRx compounding pharmacies or any other pharmacy or outsourcing facility with which we partner fails to comply with the Controlled Substances Act, the Food Drug and Cosmetic Act, or state statutes and regulations, the pharmacy could be required to cease operations or become subject to restrictions that could adversely affect our business.</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pharmaceutical and pharmacy industries are highly competitive, and as a result there are many competitive risks related to marketing and selling our proprietary formulations and operating our compounding pharmacy business.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 compounded drug formulation provided through our compounding services leads to patient injury or death or results in a product recall, we may be exposed to significant liabilities or reputational harm.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ind w:left="324"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generate revenues will be diminished if we fail to obtain acceptable prices or an adequate level of reimbursement from third-party payors.</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do not successfully identify and acquire rights to potential formulations and successfully integrate them into our operations, our growth opportunities may be limited.</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successfully develop and commercialize our proprietary formulations or any other assets we may acquire.</w:t>
      </w:r>
    </w:p>
    <w:p>
      <w:pPr>
        <w:spacing w:after="0" w:line="225"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establish, train and maintain an effective sales and marketing infrastructure, we will not be able to commercialize our proprietary formulations successfully.</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 the past and may in the future participate in strategic transactions that could impact our liquidity, increase our expenses and distract our management.</w:t>
      </w:r>
    </w:p>
    <w:p>
      <w:pPr>
        <w:spacing w:after="0" w:line="170" w:lineRule="exact"/>
        <w:rPr>
          <w:rFonts w:ascii="Arial" w:cs="Arial" w:eastAsia="Arial" w:hAnsi="Arial"/>
          <w:sz w:val="18"/>
          <w:szCs w:val="18"/>
          <w:color w:val="auto"/>
        </w:rPr>
      </w:pPr>
    </w:p>
    <w:p>
      <w:pPr>
        <w:ind w:left="324" w:hanging="324"/>
        <w:spacing w:after="0" w:line="342" w:lineRule="auto"/>
        <w:tabs>
          <w:tab w:leader="none" w:pos="324"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incurred significant indebtedness, including our $10 million loan agreement with and $3 million convertible note issued to IMMY Funding LLC, which will require substantial cash to service and which subjects us to certain financial requirements and business restrictions.</w:t>
      </w:r>
    </w:p>
    <w:p>
      <w:pPr>
        <w:spacing w:after="0" w:line="123" w:lineRule="exact"/>
        <w:rPr>
          <w:rFonts w:ascii="Arial" w:cs="Arial" w:eastAsia="Arial" w:hAnsi="Arial"/>
          <w:sz w:val="16"/>
          <w:szCs w:val="16"/>
          <w:color w:val="auto"/>
        </w:rPr>
      </w:pPr>
    </w:p>
    <w:p>
      <w:pPr>
        <w:jc w:val="both"/>
        <w:ind w:left="324" w:hanging="324"/>
        <w:spacing w:after="0" w:line="312" w:lineRule="auto"/>
        <w:tabs>
          <w:tab w:leader="none" w:pos="324"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not be able to correctly estimate our future operating expenses or capital expenditures. For example, we have incurred and expect to continue to incur greater than anticipated expenses developing our Texas- and New Jersey-based pharmacy facilities into outsourcing facilities and registering them as such with the FDA. Our inability to correctly estimate our expenses could lead to cash shortfalls.</w:t>
      </w:r>
    </w:p>
    <w:p>
      <w:pPr>
        <w:spacing w:after="0" w:line="146" w:lineRule="exact"/>
        <w:rPr>
          <w:rFonts w:ascii="Arial" w:cs="Arial" w:eastAsia="Arial" w:hAnsi="Arial"/>
          <w:sz w:val="16"/>
          <w:szCs w:val="16"/>
          <w:color w:val="auto"/>
        </w:rPr>
      </w:pPr>
    </w:p>
    <w:p>
      <w:pPr>
        <w:ind w:left="324"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need additional capital in order to continue operating our business, and such additional funds may not be available when needed, on acceptable terms, or at all.</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and operations would suffer in the event of cybersecurity or other systems failures.</w:t>
      </w:r>
    </w:p>
    <w:p>
      <w:pPr>
        <w:spacing w:after="0" w:line="225"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seek FDA approval to market and sell any of our proprietary formulations, we may be unable to demonstrate the necessary safety and efficacy to obtain such FDA approval.</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the completion of, or the termination of, any clinical or non-clinical trials for any product candidates for which we may seek FDA approval could adversely affect our business.</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we successfully develop any product candidate into an FDA-approved drug, failure to comply with continuing federal and state regulations could result in the loss of approvals to market the drug.</w:t>
      </w:r>
    </w:p>
    <w:p>
      <w:pPr>
        <w:spacing w:after="0" w:line="170"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protect our proprietary rights in the U.S. or abroad, we may not be able to prevent others from using our intellectual property, which may reduce the competitiveness and value of the related assets.</w:t>
      </w:r>
    </w:p>
    <w:p>
      <w:pPr>
        <w:spacing w:after="0" w:line="170" w:lineRule="exact"/>
        <w:rPr>
          <w:rFonts w:ascii="Arial" w:cs="Arial" w:eastAsia="Arial" w:hAnsi="Arial"/>
          <w:sz w:val="18"/>
          <w:szCs w:val="18"/>
          <w:color w:val="auto"/>
        </w:rPr>
      </w:pPr>
    </w:p>
    <w:p>
      <w:pPr>
        <w:jc w:val="both"/>
        <w:ind w:left="324" w:hanging="324"/>
        <w:spacing w:after="0" w:line="264"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proprietary formulations and technologies could potentially conflict with the rights of others, which may result in legal actions or force us to alter our products, cease or limit our operations relating to the affected products, or seek to obtain a license in order to continue manufacturing the affected products, which may not be available on acceptable terms or at all.</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maintain an effective system of internal controls, we may not be able to accurately report our financial results.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dependent on our Chief Executive Officer, Mark L. Baum, for the continued growth and development of our Company.</w:t>
      </w:r>
    </w:p>
    <w:p>
      <w:pPr>
        <w:spacing w:after="0" w:line="225" w:lineRule="exact"/>
        <w:rPr>
          <w:rFonts w:ascii="Arial" w:cs="Arial" w:eastAsia="Arial" w:hAnsi="Arial"/>
          <w:sz w:val="18"/>
          <w:szCs w:val="18"/>
          <w:color w:val="auto"/>
        </w:rPr>
      </w:pPr>
    </w:p>
    <w:p>
      <w:pPr>
        <w:ind w:left="324" w:hanging="324"/>
        <w:spacing w:after="0" w:line="342" w:lineRule="auto"/>
        <w:tabs>
          <w:tab w:leader="none" w:pos="324"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unable to attract and retain key personnel and outside consultants, we may be unable to maintain or expand our business. We depend upon consultants and other third party service providers for key aspects of our business, which we may be unable to sufficiently manage.</w:t>
      </w:r>
    </w:p>
    <w:p>
      <w:pPr>
        <w:spacing w:after="0" w:line="15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prospectus supplement, the accompanying base prospectus and the documents we have filed with the SEC that are incorporated by reference herein and therein contain forward-looking statements within the meaning of Section 27A of the Securities Act and Section 21E of the Securities Exchange Act of 1934, as amended (the “Exchange Act”). In addition, from time to time we or our representatives have made or will make forward-looking statements in various other filings that we make with the SEC or in other documents, including press releases or other similar announcements. Forward-looking statements concern our current plans, intentions, beliefs, expectations and statements of future economic performance. Statements containing terms such as “will,” “may,” “believe,” “do not believe,” “plan,” “expect,” “intend,” “estimate,” “anticipate” and other phrases of similar meaning are considered to be forward-looking statements.</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Forward-looking statements are based on our assumptions and are subject to known and unknown risks and uncertainties that could cause actual results to differ materially from those reflected in or implied by these forward-looking statements. Factors that might cause actual results to differ include, among others, those set forth under “Risk Factors” in this prospectus supplement and those discussed in “Management’s Discussion and Analysis of Financial Condition and Results of Operation” in our most recent Annual Report on Form 10-K and subsequent Quarterly Reports on Form 10-Q and in our future periodic reports filed with the SEC, all of which are incorporated by reference herein. Readers are cautioned not to place undue reliance on any forward-looking statements contained in this prospectus supplement, the accompanying base prospectus or the documents we have filed with the SEC that are incorporated by reference herein and therein, which reflect management’s views and opinions only as of their respective dates. We assume no obligation to update forward-looking statements to reflect actual results, changes in assumptions or changes in other factors affecting such forward-looking statements, except to the extent required by applicable securities laws. You are advised, however, to consult any additional disclosures we have made or will make in the filings we make with the SEC, including reports on Forms 10-K, 10-Q and 8-K. All subsequent forward-looking statements attributable to us or persons acting on our behalf are expressly qualified in their entirety by the cautionary statements contained in this prospectus supplement, the accompanying base prospectus or any related issuer free writing prospectus.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amount of net proceeds we receive from this offering will depend upon the number of shares of our common stock sold and the market price at which they are sold. As of the date of this prospectus supplement, we have sold an aggregate of 72,421 shares of our common stock pursuant to the Sales Agreement for gross proceeds of approximately $0.5 million and net proceeds, after deducting commission fees and other offering expenses payable by us, of approximately $0.4 million. However, we may not be able to sell any additional shares under or fully utilize the Sales Agreement with Cantor Fitzgerald as a source of additional financing. Further, in a transaction separate from and unrelated to the Sales Agreement, we have agreed, subject to certain limited exceptions, not to sell or transfer any shares of our common stock, or securities convertible into, exchangeable for, or repayable with shares of our common stock, for 120 days after the date of our prospectus supplement dated March 11, 2016 relating to our offer and sale of common stock through certain underwriters named therein. As a result, we are generally prohibited from selling shares of our common stock pursuant to the Sales Agreement and this prospectus supplement for such 120-day period and, as a result, we do not expect to receive proceeds from this offering during such time.</w:t>
      </w:r>
    </w:p>
    <w:p>
      <w:pPr>
        <w:spacing w:after="0" w:line="1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expect to use the net proceeds we have received from this offering to date and any additional net proceeds we may receive from this offering in the future for working capital and general corporate purposes. We may also decide to use a portion of any net proceeds for other purposes, including the potential acquisition of, or investment in, product candidates, technologies, formulations or companies that complement our business, although we have no current understandings, commitments, or agreements to do so. This represents our best estimate of the manner in which we will use any net proceeds we receive from this offering based upon the current status of our business, but we have not reserved or allocated amounts for specific purposes and we cannot specify with certainty how or when we will use any net proceeds. Amounts and timing of our actual expenditures will depend on numerous factors, including our pharmacy development and formulation commercialization efforts, as well as the amount of cash we use in our operations. Our management has significant flexibility in applying the net proceeds we have received and any additional net proceeds we may receive from this offering.</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Until the funds are used, we have invested the net proceeds we have received and intend to invest any net proceeds we may receive from this offering in interest-bearing money market accounts.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invest in our common stock, you will experience immediate dilution to the extent of the difference between the price per share you pay in this offering and the net tangible book value per share of our common stock after this offering.</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net tangible book value (deficit) as of September 30, 2015 was approximately $(2,345,000), or approximately $(0.24) per share. Net tangible book value (deficit) is determined by subtracting our total liabilities from our total tangible assets, and net tangible book value (deficit) per share is determined by dividing our net tangible book value (deficit) by the number of outstanding shares of our common stock. After giving effect to the proposed sale of $2,100,000 of our common stock in this offering at an assumed offering price of $4.09 per share, which was the last reported sales price of our common stock on the NASDAQ Capital Market on March 10, 2016, and after deducting offering commissions and estimated expenses payable by us, our adjusted net tangible book value (deficit) as of September 30, 2015 would have been approximately $(645,000), or approximately $(0.06) per share. This represents an immediate increase in net tangible book value (deficit) of approximately $0.18 per share to our existing stockholders and an immediate dilution in net tangible book value (deficit) of approximately $4.15 per share to investors participating in this offering. The following table illustrates this calculation on a per share basis: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Assumed offering price per share of common stock</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r>
      <w:tr>
        <w:trPr>
          <w:trHeight w:val="216"/>
        </w:trPr>
        <w:tc>
          <w:tcPr>
            <w:tcW w:w="7260" w:type="dxa"/>
            <w:vAlign w:val="bottom"/>
          </w:tcPr>
          <w:p>
            <w:pPr>
              <w:ind w:left="180"/>
              <w:spacing w:after="0"/>
              <w:rPr>
                <w:sz w:val="20"/>
                <w:szCs w:val="20"/>
                <w:color w:val="auto"/>
              </w:rPr>
            </w:pPr>
            <w:r>
              <w:rPr>
                <w:rFonts w:ascii="Arial" w:cs="Arial" w:eastAsia="Arial" w:hAnsi="Arial"/>
                <w:sz w:val="18"/>
                <w:szCs w:val="18"/>
                <w:color w:val="auto"/>
              </w:rPr>
              <w:t>Net tangible book value (deficit) per share as of September 30, 2015</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(0.24)</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per share attributable to investors participating in this offering</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0.18</w:t>
            </w:r>
          </w:p>
        </w:tc>
        <w:tc>
          <w:tcPr>
            <w:tcW w:w="5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3"/>
        </w:trPr>
        <w:tc>
          <w:tcPr>
            <w:tcW w:w="72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Adjusted net tangible book value (deficit) per share after giving effect to this offering</w:t>
            </w:r>
          </w:p>
        </w:tc>
        <w:tc>
          <w:tcPr>
            <w:tcW w:w="110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760" w:type="dxa"/>
            <w:vAlign w:val="bottom"/>
            <w:tcBorders>
              <w:top w:val="single" w:sz="8" w:color="CCEEFF"/>
            </w:tcBorders>
            <w:gridSpan w:val="2"/>
          </w:tcPr>
          <w:p>
            <w:pPr>
              <w:jc w:val="right"/>
              <w:ind w:right="440"/>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tcPr>
          <w:p>
            <w:pPr>
              <w:jc w:val="right"/>
              <w:ind w:right="40"/>
              <w:spacing w:after="0" w:line="203" w:lineRule="exact"/>
              <w:rPr>
                <w:sz w:val="20"/>
                <w:szCs w:val="20"/>
                <w:color w:val="auto"/>
              </w:rPr>
            </w:pPr>
            <w:r>
              <w:rPr>
                <w:rFonts w:ascii="Arial" w:cs="Arial" w:eastAsia="Arial" w:hAnsi="Arial"/>
                <w:sz w:val="18"/>
                <w:szCs w:val="18"/>
                <w:color w:val="auto"/>
              </w:rPr>
              <w:t>(0.06)</w:t>
            </w:r>
          </w:p>
        </w:tc>
      </w:tr>
      <w:tr>
        <w:trPr>
          <w:trHeight w:val="243"/>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participating in this offering</w:t>
            </w:r>
          </w:p>
        </w:tc>
        <w:tc>
          <w:tcPr>
            <w:tcW w:w="1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above discussion and table are based on 9,681,646 shares of common stock issued and outstanding as of September 30, 2015 and exclude:</w:t>
      </w:r>
    </w:p>
    <w:p>
      <w:pPr>
        <w:spacing w:after="0" w:line="248" w:lineRule="exact"/>
        <w:rPr>
          <w:sz w:val="20"/>
          <w:szCs w:val="20"/>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1,563,213 shares of common stock issuable upon exercise of options outstanding as of September 30, 2015, which have a weighted average exercise price of $7.05 per share and of which 613,121 shares were exercisable as of September 30, 2015;</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1,498,237 shares of common stock issuable upon the vesting of restricted stock units as of September 30, 2015;</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1,334,192 shares of common stock reserved for issuance and available for future grant under our equity incentive plans as of September 30, 2015;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240,688 shares of common stock issuable upon exercise of warrants outstanding as of September 30, 2015, which have a weighted average exercise price of $7.41 per share and of which 240,688 shares were exercisable as of September 30, 2015.</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above illustration of dilution per share to investors participating in this offering assumes no exercise of outstanding options or warrants to purchase our common stock and no vesting of outstanding restricted stock units. The exercise of outstanding options or warrants having an exercise price less than the offering price and the vesting of restricted stock units would increase dilution to investors participating in this offering. In addition, we may choose to raise additional capital depending on market conditions, our capital requirements and strategic considerations, even if we believe we have sufficient funds for our current or future operating plans. To the extent that additional capital is raised through our sale of equity or convertible debt securities, the issuance of these securities could result in further dilution to our stockholders.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entered into the Sales Agreement with Cantor Fitzgerald, under which we may offer and sell shares of our common stock from time to time through Cantor Fitzgerald, acting as agent. Pursuant to this prospectus supplement, we may offer and sell shares of our common stock having an aggregate offering price of up to $2,100,000. As of the date of this prospectus supplement, we have sold an aggregate of 72,421 shares of our common stock pursuant to the Sales Agreement for gross proceeds of approximately $0.5 million and net proceeds, after deducting commission fees and other offering expenses payable by us, of approximately $0.4 million. The Sales Agreement has been filed as an exhibit to our Current Report on Form 8-K filed with the SEC on November 27, 2015, which is incorporated by reference in this prospectus supplement. This prospectus supplement updates and replaces in its entirety our prospectus supplement dated November 27, 2015, which also related to the Sales Agreement.</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Upon delivery of a placement notice and subject to the terms and conditions of the Sales Agreement, Cantor Fitzgerald may sell shares of our common stock by any method permitted by law deemed to be an “at-the-market” offering as defined in Rule 415 promulgated under the Securities Act, including sales made directly on the NASDAQ Capital Market, on any other existing trading market for our common stock or to or through a market maker. Subject to our prior written consent, Cantor Fitzgerald may also sell shares of our common stock by any other method permitted by law, including in privately negotiated transactions. We may instruct Cantor Fitzgerald not to sell shares of our common stock if the sales cannot be effected at or above the price designated by us from time to time. We or Cantor Fitzgerald may suspend the offering of common stock upon notice and subject to other conditions.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will pay Cantor Fitzgerald cash commissions for its services in acting as agent in the sale of our common stock. Cantor Fitzgerald will be entitled to compensation at a commission rate of 3.0% of the aggregate gross sales price per share sold. Because there is no minimum offering amount required as a condition to close this offering, the actual total public offering amount, commissions and proceeds to us, if any, are not determinable at this time. We have also agreed to reimburse Cantor Fitzgerald for certain specified expenses, including the fees and disbursements of its legal counsel, in an amount not to exceed $50,000. We estimate that the total expenses for the offering payable by us, excluding compensation and reimbursements payable to Cantor Fitzgerald under the terms of the Sales Agreement, will be approximately $50,000.</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Settlement for sales of common stock will occur on the third trading day following the date on which any sales are made, or on some other date that is agreed upon by us and Cantor Fitzgerald in connection with a particular transaction, in return for payment of the net proceeds to us. Sales of shares of our common stock as contemplated in this prospectus supplement will be settled through the facilities of The Depository Trust Company or by such other means as we and Cantor Fitzgerald may agree upon. There is no arrangement for funds to be received in an escrow, trust or similar arrangement.</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Cantor Fitzgerald will use its commercially reasonable efforts, consistent with its normal trading and sales practices, to solicit offers to purchase shares of our common stock under the terms and subject to the conditions set forth in the Sales Agreement. In connection with the sale of shares of our common stock on our behalf, Cantor Fitzgerald will be deemed to be an “underwriter” within the meaning of the Securities Act and the compensation of Cantor Fitzgerald will be deemed to be underwriting commissions or discounts. We have agreed to provide indemnification and contribution to Cantor Fitzgerald against certain civil liabilities, including liabilities under the Securities Act.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offering of our common stock pursuant to the Sales Agreement will terminate upon the termination of the Sales Agreement as permitted therein.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and Cantor Fitzgerald may each terminate the Sales Agreement at any time upon ten days’ prior notice.</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Cantor Fitzgerald and its affiliates may in the future provide various investment banking, commercial banking and other financial services for us and our affiliates, for which services they may in the future receive customary fees. To the extent required by Regulation M promulgated under the Exchange Act, Cantor Fitzgerald will not engage in any market making activities involving our common stock while the offering is ongoing under this prospectus supplement.</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This prospectus supplement and the accompanying base prospectus in electronic format may be made available on a website maintained by Cantor Fitzgerald, and Cantor Fitzgerald may distribute this prospectus supplement and the accompanying base prospectus electronically.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validity of the securities offered by this prospectus supplement has been passed upon for us by Morrison &amp; Foerster LLP, San Diego, California.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is being represented in connection with this offering by Cooley LLP, New York, New York.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consolidated financial statements of Imprimis Pharmaceuticals, Inc. and its subsidiary included in the Company’s Annual Report on Form 10-K for the year ended December 31, 2014 have been audited by KMJ Corbin &amp; Company LLP, an independent registered public accounting firm, as stated in their report which is incorporated by reference herein, and has been so incorporated in reliance upon such report and upon the authority of such firm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it. This means that we can disclose important information to you in this prospectus by referring you to another document. The information incorporated by reference herein is considered to be a part of this prospectus supplement. We incorporate by reference the documents listed below that we have previously filed with the SEC (excluding any portions of any document that are not deemed “filed” pursuant to the General Instructions of Form 8-K):</w:t>
      </w:r>
    </w:p>
    <w:p>
      <w:pPr>
        <w:spacing w:after="0" w:line="187" w:lineRule="exact"/>
        <w:rPr>
          <w:sz w:val="20"/>
          <w:szCs w:val="20"/>
          <w:color w:val="auto"/>
        </w:rPr>
      </w:pPr>
    </w:p>
    <w:p>
      <w:pPr>
        <w:jc w:val="both"/>
        <w:ind w:left="980" w:hanging="324"/>
        <w:spacing w:after="0" w:line="34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Annual Report on Form 10-K for the fiscal year ended December 31, 2014 filed with the SEC on March 12, 2015 (and any portions of our Definitive Proxy Statement on Schedule 14A filed on April 10, 2015 that are incorporated by reference into such Annual Report on Form 10-K);</w:t>
      </w:r>
    </w:p>
    <w:p>
      <w:pPr>
        <w:spacing w:after="0" w:line="123"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2015, June 30, 2015 and September 30, 2015 filed with the SEC on May 13, 2015, August 12, 2015, and November 12, 2015, respectively;</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5, 2015, January 6, 2015, February 2, 2015, May 12, 2015, May 15, 2015, July 16, 2015, August 5, 2015, August 12, 2015, September 2, 2015, September 29, 2015, October 20, 2015, November 27, 2015, December 28, 2015, January 25, 2016, and March 11, 2016, and the amendments to our Current Reports on Form 8-K filed with the SEC on March 12, 2015 and August 6, 2015; and</w:t>
      </w:r>
    </w:p>
    <w:p>
      <w:pPr>
        <w:spacing w:after="0" w:line="18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February 7, 2013, including any amendments or reports filed for the purpose of updating such description.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Sections 13(a), 13(c), 14 or 15(d) of the Exchange Act prior to the completion or termination of the offering, but excluding any information deemed furnished and not filed with the SEC. Any statement contained in a previously filed document is deemed to be modified or superseded for purposes of this prospectus supplement to the extent that a statement contained in this prospectus supplement or in a subsequently filed document incorporated by reference herein modifies or supersedes the statement.</w:t>
      </w:r>
    </w:p>
    <w:p>
      <w:pPr>
        <w:spacing w:after="0" w:line="188"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We will provide without charge to each person, including any beneficial owner, to whom a prospectus supplement is delivered, upon written or oral request of that person, a copy of any or all of the documents we are incorporating by reference into this prospectus supplement, other than exhibits to those documents unless such exhibits are specifically incorporated by reference into those documents. Such written requests should be addressed 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(858) 704-4040.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filed with the SEC a registration statement under the Securities Act (SEC File No. 333-198675) that registers the securities offered hereby. The registration statement, including the exhibits and schedules attached thereto and the information incorporated by reference therein, contains additional relevant information about the securities and our Company, which we are allowed to omit from this prospectus supplement pursuant to the rules and regulations of the SEC. In addition, 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website at www.sec.gov. Copies of certain information filed by us with the SEC are also available on our website at www.imprimispharma.com. We have not incorporated by reference into this prospectus supplement the information on our website and it is not a part of this document.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this prospectus, we may offer, from time to time:</w:t>
      </w:r>
    </w:p>
    <w:p>
      <w:pPr>
        <w:spacing w:after="0" w:line="229" w:lineRule="exact"/>
        <w:rPr>
          <w:sz w:val="20"/>
          <w:szCs w:val="20"/>
          <w:color w:val="auto"/>
        </w:rPr>
      </w:pPr>
    </w:p>
    <w:p>
      <w:pPr>
        <w:ind w:left="4720" w:hanging="147"/>
        <w:spacing w:after="0"/>
        <w:tabs>
          <w:tab w:leader="none" w:pos="4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 w:lineRule="exact"/>
        <w:rPr>
          <w:rFonts w:ascii="Arial" w:cs="Arial" w:eastAsia="Arial" w:hAnsi="Arial"/>
          <w:sz w:val="18"/>
          <w:szCs w:val="18"/>
          <w:color w:val="auto"/>
        </w:rPr>
      </w:pPr>
    </w:p>
    <w:p>
      <w:pPr>
        <w:ind w:left="4720" w:hanging="147"/>
        <w:spacing w:after="0"/>
        <w:tabs>
          <w:tab w:leader="none" w:pos="4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4720" w:hanging="147"/>
        <w:spacing w:after="0"/>
        <w:tabs>
          <w:tab w:leader="none" w:pos="4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4720" w:hanging="147"/>
        <w:spacing w:after="0"/>
        <w:tabs>
          <w:tab w:leader="none" w:pos="4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4720" w:hanging="147"/>
        <w:spacing w:after="0"/>
        <w:tabs>
          <w:tab w:leader="none" w:pos="4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securities listed above may be sold separately or as units with other securities.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may not be used to sell securities unless accompanied by a prospectus supplement, which will describe the method and the terms of the offering. We will provide you with specific amount, price and terms of the applicable offered securities in one or more supplements to this prospectus. You should read this prospectus and any supplement carefully before you purchase any of our securities.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common stock is listed on the Nasdaq Capital Market (“NASDAQCM”) under the symbol “IMMY.” On September 18, 2014, the closing price of our common stock on the NASDAQCM was $8.22 per share.</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Investing in our securities involves risk. Please carefully read the information under “Risk Factors” beginning on page 4 for information you should consider before investing in our securities.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In addition, the underwriters may overallot a portion of the securities. For additional information regarding the methods of sale of our securities, you should refer to the section entitled “Plan of Distribution” in this prospectus.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prospectus is dated September 29,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60" w:type="dxa"/>
            <w:vAlign w:val="bottom"/>
            <w:gridSpan w:val="2"/>
          </w:tcPr>
          <w:p>
            <w:pPr>
              <w:ind w:left="12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80" w:type="dxa"/>
            <w:vAlign w:val="bottom"/>
            <w:tcBorders>
              <w:top w:val="single" w:sz="8" w:color="CCEEFF"/>
              <w:bottom w:val="single" w:sz="8" w:color="0000EE"/>
            </w:tcBorders>
            <w:gridSpan w:val="7"/>
            <w:shd w:val="clear" w:color="auto" w:fill="CCEEFF"/>
          </w:tcPr>
          <w:p>
            <w:pPr>
              <w:spacing w:after="0" w:line="136" w:lineRule="exact"/>
              <w:rPr>
                <w:rFonts w:ascii="Arial" w:cs="Arial" w:eastAsia="Arial" w:hAnsi="Arial"/>
                <w:sz w:val="15"/>
                <w:szCs w:val="15"/>
                <w:color w:val="0000EE"/>
              </w:rPr>
            </w:pPr>
            <w:hyperlink w:anchor="page18">
              <w:r>
                <w:rPr>
                  <w:rFonts w:ascii="Arial" w:cs="Arial" w:eastAsia="Arial" w:hAnsi="Arial"/>
                  <w:sz w:val="15"/>
                  <w:szCs w:val="15"/>
                  <w:color w:val="0000EE"/>
                </w:rPr>
                <w:t>PROSPECTUS SUMMARY</w:t>
              </w:r>
            </w:hyperlink>
          </w:p>
        </w:tc>
        <w:tc>
          <w:tcPr>
            <w:tcW w:w="8680" w:type="dxa"/>
            <w:vAlign w:val="bottom"/>
            <w:tcBorders>
              <w:top w:val="single" w:sz="8" w:color="CCEEFF"/>
              <w:bottom w:val="single" w:sz="8" w:color="CCEEFF"/>
            </w:tcBorders>
            <w:gridSpan w:val="7"/>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4"/>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FORWARD-LOOKING STATEMENTS</w:t>
              </w:r>
            </w:hyperlink>
          </w:p>
        </w:tc>
        <w:tc>
          <w:tcPr>
            <w:tcW w:w="784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4"/>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DILUTION</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4"/>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USE OF PROCEEDS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4"/>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DIVIDEND POLICY</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DESCRIPTION OF CAPITAL STOCK</w:t>
              </w:r>
            </w:hyperlink>
          </w:p>
        </w:tc>
        <w:tc>
          <w:tcPr>
            <w:tcW w:w="790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4"/>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THE DEPOSITARY SHARES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THE WARRANTS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4"/>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THE DEBT SECURITIES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PLAN OF DISTRIBUTION</w:t>
              </w:r>
            </w:hyperlink>
          </w:p>
        </w:tc>
        <w:tc>
          <w:tcPr>
            <w:tcW w:w="87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4"/>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EXPERTS</w:t>
              </w:r>
            </w:hyperlink>
          </w:p>
        </w:tc>
        <w:tc>
          <w:tcPr>
            <w:tcW w:w="1000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4"/>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INCORPORATION OF CERTAIN DOCUMENTS BY REFERENCE</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4"/>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dollar amount of $75,000,000.</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 securities.</w:t>
      </w:r>
    </w:p>
    <w:p>
      <w:pPr>
        <w:spacing w:after="0" w:line="1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in connection with this offering other than those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The following summary highlights information contained in this prospectus or incorporated by reference. While we have included what we believe to be the most important information about the company and this offering, the following summary may not contain all the information that may be important to you. You should read this entire prospectus carefully, including the risks of investing discussed under “Risk Factors” beginning on page 4, the information to which we refer you and the information incorporated into this prospectus by reference, for a complete understanding of our business and this offering. References in this prospectus to “our company,” “we,” “our,” “Imprimis” and “us” refer to Imprimis Pharmaceuticals, Inc.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 vertically-integrated specialty pharmaceutical company focused on the development and commercialization of innovative proprietary sterile and topical drug formulations. We own proprietary formulations in ophthalmology, urology and wound management that we believe may offer competitive advantages over commercially available formulations or which serve substantially unmet needs in the marketplace. Although we hope to market and sell each of our proprietary drug formulations, we are currently focused on developing our proprietary ophthalmology formulation business. We also sell non-proprietary sterile and topical drug formulations. We fulfill prescription orders for our drug formulations through Pharmacy Creations, our New Jersey-based pharmacy, which is licensed to distribute our drug formulations in 32 states. We are in the process of expanding our prescription fulfillment and distribution capabilities with the goal of owning or otherwise having access to multiple facilities licensed in each of the 50 states in the United States. All of our proprietary drug formulations are born from the clinical experience of a network of inventors, including physician prescribers and pharmacist formulators, who prescribe and make customized medicines for individual patient needs. Working collaboratively with these inventors, we identify and evaluate intellectual property related to these drug formulations, assess relevant markets, and seek to validate the clinical experience of a development candidate outside of the inventor’s medical or pharmacy practice, with the objective of investing in commercialization activities. We believe our model allows us to meet the realities of the current health care economy by offering quality pharmaceutical innovation at accessible prices.</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Historically, our business focused on developing, obtaining U.S. Food and Drug Administration (the “FDA”) market approval for, and commercializing our topical pain management product candidate, Impracor™. After considering the totality of circumstances surrounding the development of and clinical trial requirements for Impracor, including certain manufacturing and formulation issues that we previously reported, in November 2013, we announced our discontinuation of the planned Phase 3 clinical trial for Impracor. During our 2013 fiscal year, we began re-focusing our business plan away from the development of Impracor and toward our current formulation and technology development and compounding pharmacy business model.</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incurred recurring operating losses, and have had negative operating cash flows since July 24, 1998 (inception). In addition, we have an accumulated deficit of approximately $36.7 million at June 30, 2014. Beginning on April 1, 2014 we began generating revenue from certain of our proprietary drug formulations and other pharmacy formulations; however we expect to incur further losses as we integrate and develop our new pharmacy operations, evaluate other programs and continue the development of our formulations.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were incorporated in Delaware in January 2006 as Bywater Resources, Inc. in order to conduct mineral exploration activities. We changed our name to Transdel Pharmaceuticals, Inc. on September 11, 2007. On September 17, 2007, Transdel Pharmaceuticals, Inc. entered into an Agreement of Merger and Plan of Reorganization (the “merger agreement”) by and among Transdel Pharmaceuticals, Inc., Transdel Pharmaceuticals Holdings, Inc., a privately held Nevada corporation (“Transdel Holdings”), and Trans-Pharma Acquisition Corp., a newly formed, wholly-owned Delaware subsidiary of Transdel Pharmaceuticals, Inc. (“Acquisition Sub”). Upon closing of the merger contemplated under the merger agreement, Acquisition Sub merged with and into Transdel Holdings. Transdel Holdings, as the surviving corporation, became our wholly-owned subsidiary, and the former owners of Transdel Holdings became our controlling stockholders. Upon completion of the merger, we began our operations as a specialty pharmaceutical company.</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our entry into a line of credit agreement and securities purchase agreement with DermaStar International, LLC, we requested that the Bankruptcy Court dismiss the Chapter 11 Case. On December 8, 2011, the Bankruptcy Court entered an order dismissing the Chapter 11 Case.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jc w:val="both"/>
        <w:ind w:firstLine="648"/>
        <w:spacing w:after="0" w:line="277" w:lineRule="auto"/>
        <w:rPr>
          <w:sz w:val="20"/>
          <w:szCs w:val="20"/>
          <w:color w:val="auto"/>
        </w:rPr>
      </w:pPr>
      <w:r>
        <w:rPr>
          <w:rFonts w:ascii="Arial" w:cs="Arial" w:eastAsia="Arial" w:hAnsi="Arial"/>
          <w:sz w:val="18"/>
          <w:szCs w:val="18"/>
          <w:color w:val="auto"/>
        </w:rPr>
        <w:t>On February 28, 2012, we changed our name to Imprimis Pharmaceuticals, Inc. and effected a one-for-eight reverse split of our issued and outstanding common stock, and on February 7, 2013 we effected a one-for-five reverse split of our issued and outstanding common stock.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stock is currently traded on The NASDAQ Capital Market under the symbol IMMY. Our executive offices are located at 12264 El Camino Real, Suite 350, San Diego, CA 92130 and our telephone number at such office is (858) 704-4040. Our website address is www.imprimispharma.com. Information contained on our website is not deemed part of this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offer up to $75.0 million of common stock, preferred stock, depositary shares, warrants and debt securities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dividend. Each holder of common stock is entitled to one vote per share. The holders of common stock have no preemptive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and Depositary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Imprimis Pharmaceuticals, Inc., voting rights and rights to convert into common stock. We may also issue fractional shares of preferred stock that will be represented by depositary shares and depositary receipts. Each particular series of depositary shares will be more fully described in the prospectus supplement that will accompany this prospectus.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senior debt securities will have the same rank as all of our other unsubordinated debt.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senior and subordinated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Each of the referenced risks and uncertainties could adversely affect our business, operating results and financial condition, as well as adversely affect the value of an investment in our securities.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This prospectus and the registration statement of which it forms a part, any prospectus supplement, any related issuer free writing prospectus and the documents incorporated by reference into these documents contain forward-looking statements within the meaning of Section 27A of the Securities Act of 1933 and Section 21E of the Securities Exchange Act of 1934. Forward-looking statements deal with our current plans, intentions, beliefs and expectations and statements of future economic performance. Statements containing terms such as “believe,” “do not believe,” “plan,” “expect,” “intend,” “estimate,” “anticipate” and other phrases of similar meaning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under Item 1A, “Risk Factors,” and Item 7, “Management’s Discussion and Analysis of Financial Condition and Results of Operations,” in our most recent Annual Report on Form 10-K and in our future filings made with the SEC. Readers are cautioned not to place undue reliance on any forward-looking statements contained in this prospectus, any prospectus supplement or any related issuer free writing prospectus, which reflect management’s opinions only as of their respective dates. Except as required by law, we undertake no obligation to revise or publicly release the results of any revisions to any forward-looking statements. You are advised, however, to consult any additional disclosures we have made or will make in our reports to the SEC on Forms 10-K, 10-Q and 8-K. All subsequent written and oral forward-looking statements attributable to us or persons acting on our behalf are expressly qualified in their entirety by the cautionary statements contained in this prospectus, any prospectus supplement or any related issuer free writing prospectus.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set forth in a prospectus supplement the following information regarding any material dilution of the equity interests of investors purchasing securities in an offering under this prospectus:</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net tangible book value per share of our equity securities before and after the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amount of the increase in such net tangible book value per share attributable to the cash payments made by purchasers in the offering;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such purchasers.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Unless otherwise indicated in the prospectus supplement, the net proceeds from the sale of securities offered by this prospectus will be used for general corporate purposes and working capital requirements, which may include, among other things, the repayment or repurchase of debt obligations and other capital expenditures. We may also use a portion of the net proceeds for licensing or acquiring intellectual property or technologies to incorporate into our products and product candidates or our research and development programs, capital expenditures, to fund possible investments in and acquisitions of complementary businesses or partnerships. We have not determined the amounts we plan to spend on the areas listed above or the timing of these expenditures, and we have no current plans with respect to acquisitions as of the date of this prospectus. As a result, unless otherwise indicated in the prospectus supplement, our management will have broad discretion to allocate the net proceeds of the offerings. Pending their ultimate use, we intend to invest the net proceeds in a variety of securities, including commercial paper, government and non-government debt securities and/or money market funds that invest in such securities.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Moreover, we do not anticipate paying periodic cash dividends on our common stock for the foreseeable future. We intend to use all available cash and liquid assets in the operation and growth of our business. Any future determination about the payment of dividends will be made at the discretion of our board of directors and will depend upon our earnings, if any, capital requirements, operating and financial conditions and on such other factors as our board of directors deems relevant.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is a summary of the rights of our common and preferred stock and of certain provisions of our Amended and Restated Certificate of Incorporation and Bylaws. For more detailed information, please see our Amended and Restated Certificate of Incorporation and Bylaws, which are filed as exhibits to the registration statement of which this prospectus forms a part.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Amended and Restated Certificate of Incorporation provides for one class of common stock and authorizes the issuance of undesignated preferred stock, the rights, preferences and privileges of which may be designated from time to time by our Board of Directors. Our Board has designated 10 shares of preferred stock as Series A Convertible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28, 2012, we effected a one-for-eight reverse split of our issued and outstanding common stock, and on February 7, 2013 we amended our Certificate of Incorporation to effect a reverse split of our issued and outstanding common stock at a ratio of one-for-five.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otherwise stated below, all information regarding share amounts of common stock and prices per share of common stock described below reflects the reverse stock splits.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28, 2012, we amended our Amended and Restated Certificate of Incorporation to, among other things, (i) increase the number of authorized shares of our capital stock to 400,000,000 and the number of authorized shares of common stock to 395,000,000 and (ii) effect a one for eight reverse stock split of our issued and outstanding common stock. On February 7, 2013, we further amended our Amended and Restated Certificate of Incorporation to effect a one for five reverse stock split of our issued and outstanding common stock. On September 10, 2014, we amended and restated our Certificate of Incorporation to decrease the number of authorized shares of our common stock from 395,000,000 to 90,000,000. Our authorized capital stock now consists of 95,000,000 shares, 90,000,000 of which are designated as common stock, par value $0.001 per share, and 5,000,000 of which are designated as preferred stock, par value $0.001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4, 2014, we had outstanding 9,173,304 shares of common stock held by 142 stockholders of record. In addition, as of June 30, 2014, there are outstanding (i) options to acquire 1,314,467 shares of our common stock with a weighted average exercise price of $5.66 per share, all of which are held by current or former employees, directors and consultants, (ii) warrants to purchase 814,722 shares of common stock with a weighted average exercise price of $5.94 per share, and (iii) 1,289,960 restricted stock units.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authorized to issue 90,000,000 shares of common stock, par value $0.001 per share. The holders of our common stock are entitled to one vote per share on all matters submitted to a vote of the stockholders, including the election of directors. Our Amended and Restated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 There are no outstanding shares of our common stock that we have agreed to register under the Securities Act for sale by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and following the completion of this offering, no shares of preferred stock are outstanding and we currently have no plan to issue any shares of preferred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September 4, 2014, 10 shares of preferred stock have been designed as Series A Convertible Preferred Stock, none of which are issued and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and Indemnification of Directors and Officers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transfer agent and registrar for our common stock is Action Stock Transfer Corporation, 2469 E. Fort Union Blvd., Suite 214, Salt Lake City, UT 84121.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At our option, we may elect to offer fractional shares of preferred stock, rather than full shares of preferred stock. If we do elect to offer fractional shares of preferred stock, we will issue receipts for depositary shares and each of these depositary shares will represent a fraction of a share of a particular series of preferred stock, as specified in the applicable prospectus supplement. Each owner of a depositary share will be entitled, in proportion to the applicable fractional interest in shares of preferred stock underlying that depositary share, to all rights and preferences of the preferred stock underlying that depositary share. These rights may include dividend, voting, redemption and liquidation rights.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by and among us, the depositary and the holders of the depositary receipts. The depositary will be the transfer agent, registrar and dividend disbursing agent for the depositary shares.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summary of terms of the depositary shares contained in this prospectus is not complete, and is subject to modification in any prospectus supplement for any issuance of depositary shares. You should refer to the forms of the deposit agreement, our amended and restated certificate of incorporation and the certificate of designation that are, or will be, filed with the SEC for the applicable series of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depositary will distribute cash dividends or other cash distributions, if any, received in respect of the series of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the preferred stock.</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proceeds to the 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series of preferred stock underlying the depositary shares is subject to redemption, the depositary shares will be redeemed from the proceeds received by the depositary resulting from the redemption, in whole or in part, of the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to the record holders of the depositary receipts promptly upon receiving the notice from us and not fewer than 20 or more than 60 days, unless otherwise provided in the applicable prospectus supplement, prior to the date fixed for redemption of the preferred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Upon receipt of notice of any meeting at which the holders of preferred stock are entitled to vote, the depositary will mail the information contained in the notice of meeting to the record holders of the depositary receipts underlying the preferred stock. Each record holder of those depositary receipts on the record date will be entitled to instruct the depositary as to the exercise of the voting rights pertaining to the amount of preferred stock underlying that holder’s depositary shares. The record date for the depositary will be the same date as the record date for the preferred stock. The depositary will, to the extent practicable, vote the preferred stock underlying the depositary shares in accordance with these instructions. We will agree to take all action that may be deemed necessary by the depositary in order to enable the depositary to vote the preferred stock in accordance with these instructions. The depositary will not vote the preferred stock to the extent that it does not receive specific instructions from the holders of depositary receipts.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 of depositary shares will be entitled to receive upon surrender of depositary receipts at the principal office of the depositary and payment of any unpaid amount due to the depositary, the number of whole shares of preferred stock underlying their depositary shares.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Partial shares of preferred stock will not be issued. Holders of preferred stock will not be entitled to deposit the shares under the deposit agreement or to receive depositary receipts evidencing depositary shares for the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the depositary and us. However, any amendment which materially and adversely alters the rights of the holders of depositary shares, other than fee changes, will not be effective unless the amendment has been approved by at least a majority of the outstanding depositary shares. The deposit agreement may be terminated by the depositary or us only if:</w:t>
      </w:r>
    </w:p>
    <w:p>
      <w:pPr>
        <w:spacing w:after="0" w:line="187"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 We will also pay charges of the depositary in connection with:</w:t>
      </w:r>
    </w:p>
    <w:p>
      <w:pPr>
        <w:spacing w:after="0" w:line="17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initial deposit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initial issuance of the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redemption of the preferred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withdrawals of preferred stock by owners of depositary shares.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Holders of depositary receipts will pay transfer, income and other taxes and governmental charges and other specified charges as provided in the deposit agreement for their accounts. If these charges have not been paid, the depositary may:</w:t>
      </w:r>
    </w:p>
    <w:p>
      <w:pPr>
        <w:spacing w:after="0" w:line="17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refuse to transfer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withhold dividends and distributions;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the depositary shares evidenced by the depositary receipt.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will forward to the holders of depositary receipts all reports and communications we deliver to the depositary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the depositary nor we will be liable if either the depositary or we are prevented or delayed by law or any circumstance beyond the control of either the depositary or us in performing our respective obligations under the deposit agreement. Our obligations and the depositary’s obligations will be limited to the performance in good faith of our or the depositary’s respective duties under the deposit agreement. Neither the depositary nor we will be obligated to prosecute or defend any legal proceeding in respect of any depositary shares or preferred stock unless satisfactory indemnity is furnished. The depositary and we may rely 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written advice of counsel or accountants;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information provided by holders of depositary receipts or other persons believed in good faith to be competent to give such information;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documents believed to be genuine and to have been signed or presented by the proper party or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Owners of the depositary shares will be treated for U.S. federal income tax purposes as if they were owners of the preferred stock underlying the depositary shares. As a result, owners will be entitled to take into account for U.S. federal income tax purposes and deductions to which they would be entitled if they were holders of such preferred stock. No gain or loss will be recognized for U.S. federal income tax purposes upon the withdrawal of preferred stock in exchange for depositary shares. The tax basis of each share of preferred stock to an exchanging owner of depositary shares will, upon such exchange, be the same as the aggregate tax basis of the depositary shares exchanged. The holding period for preferred stock in the hands of an exchanging owner of depositary shares will include the period during which such person owned such depositary shares.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prospectus supplement relating to a particular issue of warrants to purchase debt securities will describe the terms of the debt warrants, including the following:</w:t>
      </w:r>
    </w:p>
    <w:p>
      <w:pPr>
        <w:spacing w:after="0" w:line="170"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offering price for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designation and terms of the debt securities, including any conversion rights, purchasable upon exercise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applicable, the date from and after which the debt warrants and any debt securities issued with them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dates on which the right to exercise the debt warrants will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debt warrants that may be exercised at any one time;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ind w:left="980" w:right="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the currency or currency units in which the offering price, if any, and the exercise price are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antidilution provisions of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additional terms of the debt warrants, including procedures, and limitations relating to the exchange, exercise and settlement of the debt warrants.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or preferred stock will describe the terms of the warrants, including the following:</w:t>
      </w:r>
    </w:p>
    <w:p>
      <w:pPr>
        <w:spacing w:after="0" w:line="17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designation and terms of the common stock or preferred stock that may be purchased upon exercise of the warrants;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 warrants will be separately transferable;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may be purchased upon exercise of a warrant and the exercise price for the warrants;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ind w:left="660" w:right="360" w:hanging="4"/>
        <w:spacing w:after="0" w:line="501" w:lineRule="auto"/>
        <w:tabs>
          <w:tab w:leader="none" w:pos="98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additional terms of the warrants, including procedures, and limitations relating to the exchange, exercise and settlement of the warrants. Holders of equity warrants will not be entitled:</w:t>
      </w: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exercise any rights as stockholders of us.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debt securities may be either secured or unsecured and will either be our senior debt securities or our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is a summary of selected provisions and definitions of the indentures and debt securities to which any prospectus supplement may relate. The summary of selected provisions of the indentures and the debt securities appearing below is not complete and is subject to, and qualified entirely by reference to, all of the provisions of the applicable indenture and certificates evidencing the applicable debt securities. For additional information, you should look at the applicable indenture and the certificate evidencing the applicable debt security that is filed as an exhibit to the registration statement that includes the prospectus. In this description of the debt securities, the words “Imprimis,” “we,” “us,” or “our” refer only to Imprimis Pharmaceuticals, Inc. and not to any of our subsidiaries, unless we expressly state or the context otherwise requires.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sets forth selected general terms and provisions of the applicable indenture and debt securities to which any prospectus supplement may relate.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Debt securities may be issued in separate series without limitation as to aggregate principal amount. We may specify a maximum aggregate principal amount for the debt securities of any series.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relating to a particular series of debt securities will set forth:</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or dates the principal will be payable;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mandatory or optional redemption provisions or sinking fund provisions and any applicable redemption or purchase prices associated with these provisions;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issued other than in denominations of U.S. $1,000 or any multiple of U.S. $1,000, the denominations in which the debt securities shall be issuable;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applicable, the method for determining how the principal, premium, if any, or interest will be calculated by reference to an index or formula;</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upon acceleration of maturity, if other than the entire principal amount;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subordination provisions applicable to the subordinated debt securities if different from those described below under “Subordinated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paying agents, authenticating agents, security registrars or other agents for the debt securities, if other than the trustee;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deletions of, or changes or additions to, the events of default, acceleration provisions or covenants;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provisions relating to guaranties for the securities and any circumstances under which there may be additional obligors;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specific terms of such debt securities.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Debt securities may be transferred or exchanged at the office of the security registrar or at the office of any transfer agent designated by us.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In the event of any partial redemption of debt securities of any series, we will not be required to:</w:t>
      </w:r>
    </w:p>
    <w:p>
      <w:pPr>
        <w:spacing w:after="0" w:line="225" w:lineRule="exact"/>
        <w:rPr>
          <w:sz w:val="20"/>
          <w:szCs w:val="20"/>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being redeemed in part.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will appoint the trustee as the initial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debt securities of any series may be represented, in whole or in part, by one or more global securities. Each global security will:</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registered in the name of a depositary, or its nominee, that we will identify in a prospectus supplement;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global security may be exchanged in whole or in part for debt securities registered in the name of any person other than the depositary or any nominee unless:</w:t>
      </w:r>
    </w:p>
    <w:p>
      <w:pPr>
        <w:spacing w:after="0" w:line="170"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event of default is continuing with respect to the debt securities of the applicable series;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other circumstance described in a prospectus supplement has occurred permitting or requiring the issuance of any such security.</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indentures. Except in the above limited circumstances, owners of beneficial interests in a global security will not be:</w:t>
      </w:r>
    </w:p>
    <w:p>
      <w:pPr>
        <w:spacing w:after="0" w:line="181"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entitled to have the debt securities registered in their names;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entitled to physical delivery of certificated debt securities;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considered to be holders of those debt securities under the indenture.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8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Payments, transfers and exchanges relating to beneficial interests in a global security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security.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5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moneys paid by us to a paying agent for payment on any debt security that remain unclaimed for a period ending the earlier of:</w:t>
      </w:r>
    </w:p>
    <w:p>
      <w:pPr>
        <w:spacing w:after="0" w:line="22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 business days prior to the date the money would be turned over to the applicable state;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the end of two years after such payment was due,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 be repaid to us thereafter. The holder may look only to us for such payment.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financial or restrictive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indicate otherwise in a prospectus supplement with respect to a particular series of debt securities, we may not consolidate with or merge into any other person (other than a subsidiary of us), in a transaction in which we are not the surviving corporation, or convey, transfer or lease our properties and assets substantially as an entirety to, any person (other than a subsidiary of us), unless:</w:t>
      </w:r>
    </w:p>
    <w:p>
      <w:pPr>
        <w:spacing w:after="0" w:line="181"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trust or other business entity;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debt securities and under the indentures;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other conditions specified in the indenture are met.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we indicate otherwise in a prospectus supplement, the following will be events of default for any series of debt securities under the indentures:</w:t>
      </w:r>
    </w:p>
    <w:p>
      <w:pPr>
        <w:spacing w:after="0" w:line="170"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fail to pay principal of or any premium on any debt security of that series when due;</w:t>
      </w:r>
    </w:p>
    <w:p>
      <w:pPr>
        <w:spacing w:after="0" w:line="225" w:lineRule="exact"/>
        <w:rPr>
          <w:rFonts w:ascii="Arial" w:cs="Arial" w:eastAsia="Arial" w:hAnsi="Arial"/>
          <w:sz w:val="18"/>
          <w:szCs w:val="18"/>
          <w:color w:val="auto"/>
        </w:rPr>
      </w:pPr>
    </w:p>
    <w:p>
      <w:pPr>
        <w:ind w:left="5620" w:right="3700" w:hanging="4964"/>
        <w:spacing w:after="0" w:line="528" w:lineRule="auto"/>
        <w:tabs>
          <w:tab w:leader="none" w:pos="9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fail to pay any interest on any debt security of that series for 60 days after it becomes due;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fail to deposit any sinking fund payment when due;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fail to perform any other covenant in the indenture and such failure continues for 90 days after we are given the notice required in the indentures;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a 25 percent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Any payment by us on the subordinated debt securities following any such acceleration will be subject to the subordination provisions described below under “Subordinated debt securities.”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 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ind w:firstLine="648"/>
        <w:spacing w:after="0" w:line="277" w:lineRule="auto"/>
        <w:rPr>
          <w:sz w:val="20"/>
          <w:szCs w:val="20"/>
          <w:color w:val="auto"/>
        </w:rPr>
      </w:pPr>
      <w:r>
        <w:rPr>
          <w:rFonts w:ascii="Arial" w:cs="Arial" w:eastAsia="Arial" w:hAnsi="Arial"/>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170"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holder has previously given to the trustee written notice of a continuing event of default with respect to the debt securities of that series;</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at least 25 percent in aggregate principal amount of the outstanding debt securities of that series have made a written request and have offered reasonable indemnity to the trustee to institute the proceeding; and</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also make modifications and amendments to the indentures for the benefit of holders without their consent, for certain purposes including, but not limited to:</w:t>
      </w:r>
    </w:p>
    <w:p>
      <w:pPr>
        <w:spacing w:after="0" w:line="170"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providing for our successor to assume the covenants under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adding covenants or events of default;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making certain changes to facilitate the issuance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securing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providing for a successor trustee or additional trustees;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curing any ambiguities or inconsistencies;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providing for guaranties of, or additional obligors on,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permitting or facilitating the defeasance and discharge of the securities;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changes specified in the indenture.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170"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the stated maturity of any debt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or any other debt security payable 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the place of payment or the currency in which any debt security is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subordinated debt securities, modify the subordination provisions in a materially adverse manner to the 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adversely affect the right to convert any debt security if the debt security is a convertible debt security;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indenture contains a provision that permits us to elect either or both of the following:</w:t>
      </w:r>
    </w:p>
    <w:p>
      <w:pPr>
        <w:spacing w:after="0" w:line="225" w:lineRule="exact"/>
        <w:rPr>
          <w:sz w:val="20"/>
          <w:szCs w:val="20"/>
          <w:color w:val="auto"/>
        </w:rPr>
      </w:pPr>
    </w:p>
    <w:p>
      <w:pPr>
        <w:jc w:val="both"/>
        <w:ind w:left="980" w:hanging="324"/>
        <w:spacing w:after="0" w:line="259"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86"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recognize income, gain or loss for U.S. federal income tax purposes as a result of the action.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debt securities of any series that are denominated in a currency other than United States dollars, “foreign government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11" w:lineRule="exact"/>
        <w:rPr>
          <w:sz w:val="20"/>
          <w:szCs w:val="20"/>
          <w:color w:val="auto"/>
        </w:rPr>
      </w:pPr>
    </w:p>
    <w:p>
      <w:pPr>
        <w:jc w:val="both"/>
        <w:ind w:left="980" w:hanging="324"/>
        <w:spacing w:after="0" w:line="279"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171"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indentures provide that any reports or documents that we file with the SEC pursuant to Section 13 or 15(d) of the Exchange Act will be filed with the trustee within 15 days after the same is filed with the SEC. Documents filed by us with the SEC via the EDGAR system will be deemed filed with the trustee as of the time such documents are filed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under, the laws of the State of Delaware, except to the extent that the Trust Indenture Act of 1939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subordinated indenture, we may also not make payment on the subordinated debt securities if:</w:t>
      </w:r>
    </w:p>
    <w:p>
      <w:pPr>
        <w:spacing w:after="0" w:line="225" w:lineRule="exact"/>
        <w:rPr>
          <w:sz w:val="20"/>
          <w:szCs w:val="20"/>
          <w:color w:val="auto"/>
        </w:rPr>
      </w:pPr>
    </w:p>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resume payments on the subordinated debt securities:</w:t>
      </w:r>
    </w:p>
    <w:p>
      <w:pPr>
        <w:spacing w:after="0" w:line="225"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case of a payment default, when the default is cured or waived or ceases to exist,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case of a nonpayment default, the earlier of when the default is cured or waived or ceases to exist or 179 days after the receipt of the payment blockage notice.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jc w:val="both"/>
        <w:ind w:firstLine="648"/>
        <w:spacing w:after="0" w:line="264" w:lineRule="auto"/>
        <w:rPr>
          <w:sz w:val="20"/>
          <w:szCs w:val="20"/>
          <w:color w:val="auto"/>
        </w:rPr>
      </w:pPr>
      <w:r>
        <w:rPr>
          <w:rFonts w:ascii="Arial" w:cs="Arial" w:eastAsia="Arial" w:hAnsi="Arial"/>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16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debt securities will constitute senior debt under the subordinated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Additional or different subordination provisions may be described in a prospectus supplement relating to a particular series of debt securities.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170"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indebtedness evidenced by a credit or loan agreement, note, bond, debenture or other written obligation;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obligations: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as lessee under leases required to be capitalized on the balance sheet of the lessee under generally accepted accounting principles, or</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as lessee under leases for facilities, capital equipment or related assets, whether or not capitalized, entered into or leased for financing purposes;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forward contracts or similar agreements or arrangements;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and similar facilities, including reimbursement obligations with respect to the foregoing;</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jc w:val="both"/>
        <w:ind w:firstLine="648"/>
        <w:spacing w:after="0" w:line="286" w:lineRule="auto"/>
        <w:rPr>
          <w:sz w:val="20"/>
          <w:szCs w:val="20"/>
          <w:color w:val="auto"/>
        </w:rPr>
      </w:pPr>
      <w:r>
        <w:rPr>
          <w:rFonts w:ascii="Arial" w:cs="Arial" w:eastAsia="Arial" w:hAnsi="Arial"/>
          <w:sz w:val="17"/>
          <w:szCs w:val="17"/>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166" w:lineRule="exact"/>
        <w:rPr>
          <w:sz w:val="20"/>
          <w:szCs w:val="20"/>
          <w:color w:val="auto"/>
        </w:rPr>
      </w:pPr>
    </w:p>
    <w:p>
      <w:pPr>
        <w:jc w:val="both"/>
        <w:ind w:left="980" w:hanging="324"/>
        <w:spacing w:after="0" w:line="26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“Subsidiary” means a corporation more than 50% of the outstanding voting stock of which is owned, directly or indirectly, by us or by one or more or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187"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Underwriter, dealer or agent discounts and commissions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 The maximum commission or discount to be received by any underwriter, dealer or agent will not be greater than eight percent (8%) of the maximum gross proceeds of the securities that may be sold under this prospectus.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auctions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a debt security, the clearing spread could be indicated as a number of “basis points” above an index treasury note. Of course, many pricing methods can and may also be used.</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Agents, underwriters, and dealers may be entitled, under agreements entered into with us, to indemnification by us against certain liabilities, including liabilities under the Securities Act.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the securities being offered hereby has been passed upon by Morrison &amp; Foerster, LLP, San Diego, California.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consolidated financial statements of Imprimis Pharmaceuticals, Inc. appearing in the Company’s Annual Report on Form 10-K for the fiscal year ended December 31, 2013, filed with the SEC on March 28, 2014, as amended by the amendment filed with the SEC on April 30, 2014, have been audited by KMJ Corbin &amp; Company LLP, an independent registered public accounting firm, as stated in its report appearing therein, and are incorporated by reference. Such audited consolidated financial statements are incorporated hereby by reference in reliance upon the report of such firm given upon its authority as experts in accounting and auditing.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by referring you to those documents. These incorporated documents contain important business and financial information about us that is not included in or delivered with this prospectus. The information incorporated by reference is considered to be part of this prospectus, and later information filed with the SEC will update and supersede this information.</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incorporate by reference the documents listed below as well as any future filings made with the SEC under Sections 13(a), 13(c), 14 or 15(d) of the Exchange Act from the date of the initial registration statement and prior to the effectiveness of this registration statement, and any filings made after the date of this prospectus until we sell all of the securities under this prospectus, except that we do not incorporate any document or portion of a document that is “furnished” to the SEC, but not deemed “filed.” The following documents filed with the SEC are incorporated by reference in this prospectus:</w:t>
      </w:r>
    </w:p>
    <w:p>
      <w:pPr>
        <w:spacing w:after="0" w:line="154" w:lineRule="exact"/>
        <w:rPr>
          <w:sz w:val="20"/>
          <w:szCs w:val="20"/>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2013 filed with the SEC on March 28, 2014 as amended by the amendment filed with the SEC on April 30, 2014;</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2014 and June 30, 2014, filed with the SEC on May 15, 2014 and August 13, 2014, respectively; and</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11, 2014, April 3, 2014 (as amended by the Current Report on Form 8-K/A filed with the SEC on June 13, 2014), September 3, 2014, and September 8, 2014 (as amended by the Current Report on Form 8-K/A filed with the SEC on September 9, 2014).</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such exhibits are specifically incorporated by reference into those documents. Such written requests should be addressed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(858) 704-4040.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http://www.sec.gov. Copies of certain information filed by us with the SEC are also available on our web site at http://www.imprimispharma.com. We have not incorporated by reference into this prospectus the information on our website, and you should not consider it to be a part of this document.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2679065</wp:posOffset>
            </wp:positionH>
            <wp:positionV relativeFrom="page">
              <wp:posOffset>431800</wp:posOffset>
            </wp:positionV>
            <wp:extent cx="2581275" cy="12007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2581275" cy="120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Up to $2,100,000</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161925</wp:posOffset>
            </wp:positionV>
            <wp:extent cx="2212340" cy="857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1234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3"/>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lvl w:ilvl="1">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2020-01-19T19:54:55Z</dcterms:created>
  <dcterms:modified xsi:type="dcterms:W3CDTF">2020-01-19T19:54:55Z</dcterms:modified>
</cp:coreProperties>
</file>