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w:t>
      </w:r>
      <w:r>
        <w:rPr>
          <w:rFonts w:ascii="Arial" w:cs="Arial" w:eastAsia="Arial" w:hAnsi="Arial"/>
          <w:sz w:val="18"/>
          <w:szCs w:val="18"/>
          <w:color w:val="auto"/>
        </w:rPr>
        <w:t xml:space="preserve">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9, 2020, Harrow Health, Inc. (the “Company”) issued a press release and a letter to stockholders announcing its financial results for the period ended September 30, 2020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November 9, 2020</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6">
        <w:r>
          <w:rPr>
            <w:rFonts w:ascii="Arial" w:cs="Arial" w:eastAsia="Arial" w:hAnsi="Arial"/>
            <w:sz w:val="16"/>
            <w:szCs w:val="16"/>
            <w:u w:val="single" w:color="auto"/>
            <w:color w:val="0000EE"/>
          </w:rPr>
          <w:t>Letter to Stockholders by Harrow Health, Inc. dated November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143125" cy="763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Third Quarter 2020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Nashville, TN – November 9, 2020 – Harrow Health, Inc. (NASDAQ: HROW) today reported results for the third quarter 2020.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third quarter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Mark L. Baum, CEO of Harrow Health, commented, “The third quarter of 2020 was the best financial quarter in the history of the Company. Our team delivered on revenues, gross margins, and nearly every other internal financial metric that we chart. Revenues in July were better than June; and each subsequent month continued to improve, resulting in a company record revenues, gross margins and adjusted EBITDA. As we move into the fourth quarter and set our sights on 2021, we are hopeful our revenue trend, which currently looks V-shaped, will quickly transition into a </w:t>
      </w:r>
      <w:r>
        <w:rPr>
          <w:rFonts w:ascii="Arial" w:cs="Arial" w:eastAsia="Arial" w:hAnsi="Arial"/>
          <w:sz w:val="18"/>
          <w:szCs w:val="18"/>
          <w:i w:val="1"/>
          <w:iCs w:val="1"/>
          <w:color w:val="auto"/>
        </w:rPr>
        <w:t>checkmark-shaped</w:t>
      </w:r>
      <w:r>
        <w:rPr>
          <w:rFonts w:ascii="Arial" w:cs="Arial" w:eastAsia="Arial" w:hAnsi="Arial"/>
          <w:sz w:val="18"/>
          <w:szCs w:val="18"/>
          <w:color w:val="auto"/>
        </w:rPr>
        <w:t xml:space="preserve"> trend line into 2021. In addition to the outstanding performance of ImprimisRx, other Harrow businesses continued to hit new and major milestones, and we expect to see more value inflection events in the coming quarterly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4:45 p.m. Eastern Standard Time / 1:45 p.m. Pacific Standard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December 09, 2020. The webcast replay will be available until February 09, 2021.</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38433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38433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Harrow also owns Mayfield Pharmaceuticals, Stowe Pharmaceuticals, and Visionology, all companies founded as subsidiaries of Harrow Health. The Company also owns royalty rights in certain drug candidates being developed by Surface, Melt, and Mayfield.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ir@harrowinc.com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third quarter of 2020 was the best financial quarter in the history of the Company. Our team delivered on revenues, gross margins, and nearly every other internal metric that we chart. Revenues in July were better than June; and each subsequent month continued to improve. We were also pleased that while we achieved Q3 record revenues, we also hit an Adjusted EBITDA record, an important correlative trend we expect to continue as revenues grow. Finally, from a financial perspective, we expect that an increasing percentage of each incremental dollar of additive revenue will improve our Adjusted EBITDA figure.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we move into the fourth quarter and set our sights on 2021, we are hopeful our revenue trend, which currently looks V-shaped, will quickly transition into a “checkmark-shaped” trend line into 2021. We believe this trend of growth will be driven by expanding our core business through new customer growth, continuing to expand within the many thousands of accounts we currently serve, launching new products in our development pipeline, and adding new revenue sources - such as Dexycu® commissions and those from other strategic initiatives we’ve been working on.</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record performance of ImprimisRx, as discussed below, other Harrow businesses continued to hit new and major milestones, and we expect to see more value inflection events in the coming quarterly periods.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Lastly, once we complete the deconsolidation of Mayfield Pharmaceuticals, we intend to leverage our position in eyecare and from a strategic perspective, exclusively focus on investing in and developing eyecare-related healthcare goods and services. We believe that Harrow’s focus on eyecare will better serve our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Highlights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were $14.4 million for the third quarter of 2020, compared to $12.8 million for the same period last year, and up nearly 80% from second quarter of 2020, when we recorded $8.1 million in revenues. Based on the revenues we recorded in the month of October, we expect that our revenue trend will be stable into the fourth quarter and grow further in 2021.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margins rapidly rebounded in the third quarter of 2020, up to a new high of 74%, compared to 68% in the third quarter of 2019, and 60% in the second quarter of 2020. This increase in gross margins was primarily related to the increase in unit volumes sold, increased production efficiencies and capacity utilization during the period. Adjusted EBITDA for the third quarter of 2020 was $3.0 million compared to $1.5 million in the third quarter of 2019. A reconciliation of all non-GAAP financial results in this letter appears beginning on page 5.</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Operating income during the third quarter of 2020 was $1.6 million, compared to an operating loss of $4.4 million during the same period last year. We recorded a non-cash gain related to our Eton Pharmaceuticals ownership position of $8.6 million, which pushed other income to $7.0 million and resulted in net income attributable to Harrow Health, Inc. of $8.6 million during the third quarter of 2020.</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additional metric we track is the ImprimisRx segment contribution. In the third quarter of 2020, segment contribution from ImprimisRx was $4.7 million, which includes non-cash expenses related to depreciation, amortization and stock-based compensation of $528,000. This important metric demonstrates the earnings power of the ImprimisRx business separately from other Harrow businesses, assets and liabilities.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and nine months ended September 30, 2020 and for the same periods in 2019 are as follows (in thousands, except per share data):</w:t>
      </w:r>
    </w:p>
    <w:p>
      <w:pPr>
        <w:spacing w:after="0" w:line="166"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For the Three Months Ended September</w:t>
      </w:r>
    </w:p>
    <w:p>
      <w:pPr>
        <w:spacing w:after="0" w:line="27" w:lineRule="exact"/>
        <w:rPr>
          <w:sz w:val="20"/>
          <w:szCs w:val="20"/>
          <w:color w:val="auto"/>
        </w:rPr>
      </w:pPr>
    </w:p>
    <w:p>
      <w:pPr>
        <w:jc w:val="center"/>
        <w:ind w:left="7760"/>
        <w:spacing w:after="0"/>
        <w:rPr>
          <w:sz w:val="20"/>
          <w:szCs w:val="20"/>
          <w:color w:val="auto"/>
        </w:rPr>
      </w:pPr>
      <w:r>
        <w:rPr>
          <w:rFonts w:ascii="Arial" w:cs="Arial" w:eastAsia="Arial" w:hAnsi="Arial"/>
          <w:sz w:val="18"/>
          <w:szCs w:val="18"/>
          <w:b w:val="1"/>
          <w:bCs w:val="1"/>
          <w:color w:val="auto"/>
        </w:rPr>
        <w:t>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(4,061)</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10,703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8,694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(8,608)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(4,040)</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(13,092)</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1,597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(4,398)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(7,232)</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8,623</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(11,630)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Net Income (Loss) attributable to Harrow Health, Inc.</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8,638</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(11,469)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of common stock, basic</w:t>
            </w:r>
          </w:p>
        </w:tc>
        <w:tc>
          <w:tcPr>
            <w:tcW w:w="276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0.33</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(0.45)</w:t>
            </w:r>
          </w:p>
        </w:tc>
      </w:t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Net Income (Loss) per share of common stock, diluted</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0.32</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(0.45)</w:t>
            </w:r>
          </w:p>
        </w:tc>
      </w:tr>
      <w:tr>
        <w:trPr>
          <w:trHeight w:val="395"/>
        </w:trPr>
        <w:tc>
          <w:tcPr>
            <w:tcW w:w="6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3"/>
              </w:rPr>
              <w:t>For the Nine Months Ended September</w:t>
            </w:r>
          </w:p>
        </w:tc>
      </w:tr>
      <w:tr>
        <w:trPr>
          <w:trHeight w:val="241"/>
        </w:trPr>
        <w:tc>
          <w:tcPr>
            <w:tcW w:w="6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4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Cost of Sales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(10,526)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(13,184)</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23,750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25,377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(23,806)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(25,399)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(4,040)</w:t>
            </w:r>
          </w:p>
        </w:tc>
      </w:tr>
      <w:tr>
        <w:trPr>
          <w:trHeight w:val="216"/>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(25,991)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(31,098)</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(5,721)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w:t>
            </w: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(4,560)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(2,717)</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Net Loss attributable to Harrow Health, Inc.</w:t>
            </w:r>
          </w:p>
        </w:tc>
        <w:tc>
          <w:tcPr>
            <w:tcW w:w="2760" w:type="dxa"/>
            <w:vAlign w:val="bottom"/>
            <w:gridSpan w:val="2"/>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(4,506)</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760" w:type="dxa"/>
            <w:vAlign w:val="bottom"/>
            <w:gridSpan w:val="2"/>
            <w:shd w:val="clear" w:color="auto" w:fill="CCEEFF"/>
          </w:tcPr>
          <w:p>
            <w:pPr>
              <w:jc w:val="right"/>
              <w:ind w:right="757"/>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(0.17)</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(0.10)</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i w:val="1"/>
          <w:iCs w:val="1"/>
          <w:u w:val="single" w:color="auto"/>
          <w:color w:val="auto"/>
        </w:rPr>
        <w:t>ImprimisRx, a wholly owned subsidiary founded in 2014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ImprimisRx is an ophthalmic-focused pharmaceutical company with capabilities that include formulation development, scalable production, quality systems required by the highest federal manufacturing standards, U.S. and state-specific licensure to dispense direct-to-prescriber/institution or direct-to-patient, and a national commercial team that sells to and services prescribers, institutions, and patients in all 50 states</w:t>
      </w:r>
      <w:r>
        <w:rPr>
          <w:rFonts w:ascii="Arial" w:cs="Arial" w:eastAsia="Arial" w:hAnsi="Arial"/>
          <w:sz w:val="17"/>
          <w:szCs w:val="17"/>
          <w:i w:val="1"/>
          <w:iCs w:val="1"/>
          <w:color w:val="auto"/>
        </w:rPr>
        <w:t>.</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third quarter was the most successful operational quarter in the history of ImprimisRx. New pharmaceutical production automation equipment came online, the team successfully launched new software systems to enhance customer experience and create additional visibility into the business, and our quality systems continued to improve. However, my favorite statistic is our Net Promoter Score – which is a measure of our customers’ willingness to recommend our business to others. After conducting over 4,000 customer surveys during the third quarter of 2020, our NPS has remained steady at 92 – </w:t>
      </w:r>
      <w:r>
        <w:rPr>
          <w:rFonts w:ascii="Arial" w:cs="Arial" w:eastAsia="Arial" w:hAnsi="Arial"/>
          <w:sz w:val="16"/>
          <w:szCs w:val="16"/>
          <w:i w:val="1"/>
          <w:iCs w:val="1"/>
          <w:color w:val="auto"/>
        </w:rPr>
        <w:t>an</w:t>
      </w:r>
      <w:r>
        <w:rPr>
          <w:rFonts w:ascii="Arial" w:cs="Arial" w:eastAsia="Arial" w:hAnsi="Arial"/>
          <w:sz w:val="16"/>
          <w:szCs w:val="16"/>
          <w:color w:val="auto"/>
        </w:rPr>
        <w:t xml:space="preserve"> </w:t>
      </w:r>
      <w:r>
        <w:rPr>
          <w:rFonts w:ascii="Arial" w:cs="Arial" w:eastAsia="Arial" w:hAnsi="Arial"/>
          <w:sz w:val="16"/>
          <w:szCs w:val="16"/>
          <w:i w:val="1"/>
          <w:iCs w:val="1"/>
          <w:color w:val="auto"/>
        </w:rPr>
        <w:t>incredible achievement</w:t>
      </w:r>
      <w:r>
        <w:rPr>
          <w:rFonts w:ascii="Arial" w:cs="Arial" w:eastAsia="Arial" w:hAnsi="Arial"/>
          <w:sz w:val="16"/>
          <w:szCs w:val="16"/>
          <w:color w:val="auto"/>
        </w:rPr>
        <w:t>. This score shows the affinity between ImprimisRx and its customers –</w:t>
      </w:r>
      <w:r>
        <w:rPr>
          <w:rFonts w:ascii="Arial" w:cs="Arial" w:eastAsia="Arial" w:hAnsi="Arial"/>
          <w:sz w:val="16"/>
          <w:szCs w:val="16"/>
          <w:i w:val="1"/>
          <w:iCs w:val="1"/>
          <w:color w:val="auto"/>
        </w:rPr>
        <w:t xml:space="preserve"> which is a key directional indicator of the true value of the business</w:t>
      </w:r>
      <w:r>
        <w:rPr>
          <w:rFonts w:ascii="Arial" w:cs="Arial" w:eastAsia="Arial" w:hAnsi="Arial"/>
          <w:sz w:val="16"/>
          <w:szCs w:val="16"/>
          <w:color w:val="auto"/>
        </w:rPr>
        <w:t>. We also saw net revenue per 503B order increase to $1,900 per order in the third quarter of 2020 compared to $1,770 per order in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2019. ImprimisRx’s President, John Saharek, and the ImprimisRx team, deserve great credit for this success. I am convinced that the ImprimisRx business can and will continue to improve and deliver more value to our customers, driving meaningful financial value to Harrow stockholders.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Late last year, we began a process to leverage the ImprimisRx platform to add new FDA-approved and soon-to-be-FDA-approved ophthalmic products to the ImprimisRx platform. Our agreement with EyePoint Pharmaceuticals (NASDAQ: EYPT) to sell Dexycu® was the first achievement in the execution of this strategy. However, we have several other revenue-expanding deals in the pipeline and our team is looking forward to making announcements on these new initiatives in the near term. The ImprimisRx commercial team has successfully initiated new customer trials of Dexycu® with some of its largest Tri-Moxi customers, and this success has led to an early expansion of the EyePoint agreement to accelerate our outreach in terms of the number of ImprimisRx customers we’re able to bring the exciting Dexycu® offering to.</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summary, our efforts to leverage the ImprimisRx platform are underway. We continue to believe ImprimisRx is at the start of a growth run that we expect to last for many years, leading to ImprimisRx achieving our goal of becoming one of the largest ophthalmic pharmaceutical companies in the U.S.</w:t>
      </w:r>
    </w:p>
    <w:p>
      <w:pPr>
        <w:spacing w:after="0" w:line="184"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3668"/>
        <w:spacing w:after="0"/>
        <w:rPr>
          <w:sz w:val="20"/>
          <w:szCs w:val="20"/>
          <w:color w:val="auto"/>
        </w:rPr>
      </w:pPr>
      <w:r>
        <w:rPr>
          <w:rFonts w:ascii="Arial" w:cs="Arial" w:eastAsia="Arial" w:hAnsi="Arial"/>
          <w:sz w:val="18"/>
          <w:szCs w:val="18"/>
          <w:i w:val="1"/>
          <w:iCs w:val="1"/>
          <w:u w:val="single" w:color="auto"/>
          <w:color w:val="auto"/>
        </w:rPr>
        <w:t>Deconsolidated Companies and Subsidiaries</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Deconsolidated Companies (Non-Controlled Investments)</w:t>
      </w:r>
    </w:p>
    <w:p>
      <w:pPr>
        <w:spacing w:after="0" w:line="229" w:lineRule="exact"/>
        <w:rPr>
          <w:sz w:val="20"/>
          <w:szCs w:val="20"/>
          <w:color w:val="auto"/>
        </w:rPr>
      </w:pPr>
    </w:p>
    <w:p>
      <w:pPr>
        <w:jc w:val="both"/>
        <w:ind w:left="328" w:hanging="328"/>
        <w:spacing w:after="0" w:line="272"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(NASDAQ: ETON), founded by Harrow in 2017, delivered with two recent FDA approvals, EM-100 ($600 million potential addressable market) and Alkindi® Sprinkle (an Orphan Drug Designated product with a $100 million potential addressable market). Eton was recently assigned a May 2021 PDUFA date for its Orphan Drug Designated dehydrated alcohol program, which Eton estimates is a greater than $100 million market with one competitor, and another May 2021 PDUFA action date for its zonisamide oral suspension. In October 2020, Eton submitted a New Drug Application (or NDA) for its third neurology product candidate, ET-101 (topiramate oral solution), while completing a $22.5 million “above-market price” capital raise to help fund the launch of these exciting products and product candidates. Harrow maintains a 3,500,000 common share position in Eton representing approximately 15% of the outstanding equity of Eton.</w:t>
      </w:r>
    </w:p>
    <w:p>
      <w:pPr>
        <w:spacing w:after="0" w:line="177" w:lineRule="exact"/>
        <w:rPr>
          <w:rFonts w:ascii="Arial" w:cs="Arial" w:eastAsia="Arial" w:hAnsi="Arial"/>
          <w:sz w:val="17"/>
          <w:szCs w:val="17"/>
          <w:color w:val="auto"/>
        </w:rPr>
      </w:pPr>
    </w:p>
    <w:p>
      <w:pPr>
        <w:jc w:val="both"/>
        <w:ind w:left="328" w:hanging="328"/>
        <w:spacing w:after="0" w:line="275"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Surface Ophthalmics (formerly Surface Pharmaceuticals)</w:t>
      </w:r>
      <w:r>
        <w:rPr>
          <w:rFonts w:ascii="Arial" w:cs="Arial" w:eastAsia="Arial" w:hAnsi="Arial"/>
          <w:sz w:val="17"/>
          <w:szCs w:val="17"/>
          <w:color w:val="auto"/>
        </w:rPr>
        <w:t>, founded by Harrow in 2017, continues to make clinical progress in its ocular surface disease programs, with three active INDs on file. Phase 2 data on SURF-201 is expected in the next couple of months. In addition, SURF-100 is expected to generate Phase 2 data within the next 12 months and the SURF-200 clinical development program is underway. We believe that Surface is well positioned to seek and complete a Series B funding in the first part of 2021. Harrow holds approximately 30% of the equity interests in Surface along with royalty rights on all drug candidates Surface is developing.</w:t>
      </w:r>
    </w:p>
    <w:p>
      <w:pPr>
        <w:spacing w:after="0" w:line="176" w:lineRule="exact"/>
        <w:rPr>
          <w:rFonts w:ascii="Arial" w:cs="Arial" w:eastAsia="Arial" w:hAnsi="Arial"/>
          <w:sz w:val="17"/>
          <w:szCs w:val="17"/>
          <w:color w:val="auto"/>
        </w:rPr>
      </w:pPr>
    </w:p>
    <w:p>
      <w:pPr>
        <w:jc w:val="both"/>
        <w:ind w:left="328" w:hanging="328"/>
        <w:spacing w:after="0" w:line="257"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founded by Harrow in 2018, began enrolling patients in its Phase 1 study during the third quarter of 2020. Melt management has indicated that it hopes to have topline data available from this study in the coming months. Here is a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to a video that depicts the promise of Melt’s pharmaceutical drug candidates, if FDA-approved. We continue to expect Melt to complete a Series B financing within the next six months. Harrow holds approximately 44% of the common stock in Melt along with royalty rights on all drug candidates Melt is currently developing.</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Subsidiary Companies (Controlling Interests)</w:t>
      </w:r>
    </w:p>
    <w:p>
      <w:pPr>
        <w:spacing w:after="0" w:line="229" w:lineRule="exact"/>
        <w:rPr>
          <w:sz w:val="20"/>
          <w:szCs w:val="20"/>
          <w:color w:val="auto"/>
        </w:rPr>
      </w:pPr>
    </w:p>
    <w:p>
      <w:pPr>
        <w:jc w:val="both"/>
        <w:ind w:left="328" w:hanging="328"/>
        <w:spacing w:after="0" w:line="273"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has begun the process of pitching to potential investment partners and we hope to announce the closing of its Series A financing within the next few months. While telemedicine is a “hot” space, we believe that Visionology is much more than telemedicine, and therefore is a much more interesting business. Visionology takes advantage of everything we know about ophthalmology and eyecare along with the expertise of Drew Livingston, the co-founder and former CEO of Doxy.me, the world’s largest and fastest growing SaaS-based telemedicine business. I look forward to sharing more about how we expect Visionology to change the game for chronic eyecare health management, and how Visionology will help drive what we believe is the coming revolution in patient-driven healthcare access and transparency.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92" w:right="339" w:bottom="1440" w:gutter="0" w:footer="0" w:header="0"/>
        </w:sectPr>
      </w:pPr>
    </w:p>
    <w:bookmarkStart w:id="9" w:name="page10"/>
    <w:bookmarkEnd w:id="9"/>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On behalf of </w:t>
      </w:r>
      <w:r>
        <w:rPr>
          <w:rFonts w:ascii="Arial" w:cs="Arial" w:eastAsia="Arial" w:hAnsi="Arial"/>
          <w:sz w:val="17"/>
          <w:szCs w:val="17"/>
          <w:u w:val="single" w:color="auto"/>
          <w:color w:val="auto"/>
        </w:rPr>
        <w:t>Stowe Pharmaceuticals</w:t>
      </w:r>
      <w:r>
        <w:rPr>
          <w:rFonts w:ascii="Arial" w:cs="Arial" w:eastAsia="Arial" w:hAnsi="Arial"/>
          <w:sz w:val="17"/>
          <w:szCs w:val="17"/>
          <w:color w:val="auto"/>
        </w:rPr>
        <w:t>, Harrow recently completed in vitro and in vivo studies on STE-006 (formerly known as MUL-1867) and a second Harrow-owned topical formulation (DS-007), at a leading U.S. academic research institution which focuses on ocular-specific investigations. The objective of these studies was to determine whether the active test articles had in vitro killing power against relevant ophthalmic isolates of bacteria, viruses, and fungi; in vivo killing power against adenovirus-5; and if they were tolerable as surface-acting agents using the Draize scale. Past anti-bacterial data for STE-006 was strong; and while our initial read on anti-viral data from these studies was positive, we were not able to replicate prior data conducted on STE-006. Therefore, while we remain keenly interested in pathogen-agnostic topical agents to treat non-specific conjunctivitis (such as DS-007), we do not intend to invest further in STE-006. We intend to update our stockholders on further progress with DS-007 and other Harrow formulations in the anti-infective category in the coming quarters.</w:t>
      </w:r>
    </w:p>
    <w:p>
      <w:pPr>
        <w:spacing w:after="0" w:line="17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Mayfield Pharmaceuticals</w:t>
      </w:r>
      <w:r>
        <w:rPr>
          <w:rFonts w:ascii="Arial" w:cs="Arial" w:eastAsia="Arial" w:hAnsi="Arial"/>
          <w:sz w:val="18"/>
          <w:szCs w:val="18"/>
          <w:color w:val="auto"/>
        </w:rPr>
        <w:t xml:space="preserve"> is continuing to advance its drug pipeline and programs. We expect to have more to discuss about Mayfield at the time of our next quarterly stockholder update.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pleased with the strength of our underlying eyecare businesses and the momentum we have established with our customers and business partners. Importantly, during the third quarter, our business produced $2.6 million of cash from operations, helping push our cash balance to a level we have not seen since December 31, 2018. We do not believe the third quarter revenues and financial performance were a fluke and expect revenues and our cash balance to grow throughout next year. We continue to remain highly optimistic about the prospects of our business.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Even though we have hit our previous target of 70% gross margins, we are pressing the team to continue to find new efficiencies that can drive gross margins higher. As we start to see more contribution from sales of Dexycu® to our topline, there should be a corresponding expansion of our gross and operating margins even further in the near term. ImprimisRx is a powerful pharmaceutical platform that in the third quarter demonstrated the earnings capability of incremental revenue growth in the business. As we execute on our operational plan, we will continue to build upon our strategic objectives, including inorganic growth opportunities and enhancing the profitability profile of the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 want to thank the employees of Harrow, ImprimisRx, and every Harrow-connected business for delivering exceptional results. Business is good, and we believe it will continue to get even better. Our pipeline of deal-flow is strong, and we are working on transactions that are potentially transformative. I am confident that the work we are doing to bring in new ophthalmic products and other opportunities will change the profile of our company in a positive way. Much work is left to do. We look forward to reporting on continued execution and action in the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March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 sensitive information and is accurate only as of today.</w:t>
      </w:r>
    </w:p>
    <w:p>
      <w:pPr>
        <w:spacing w:after="0" w:line="184"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40"/>
        <w:spacing w:after="0" w:line="277" w:lineRule="auto"/>
        <w:rPr>
          <w:sz w:val="20"/>
          <w:szCs w:val="20"/>
          <w:color w:val="auto"/>
        </w:rPr>
      </w:pPr>
      <w:r>
        <w:rPr>
          <w:rFonts w:ascii="Arial" w:cs="Arial" w:eastAsia="Arial" w:hAnsi="Arial"/>
          <w:sz w:val="18"/>
          <w:szCs w:val="18"/>
          <w:i w:val="1"/>
          <w:iCs w:val="1"/>
          <w:color w:val="auto"/>
        </w:rPr>
        <w:t xml:space="preserve">All trademarks, service marks and trade names included or referenced in this publication are the property of their respective owners. </w:t>
      </w:r>
      <w:r>
        <w:rPr>
          <w:rFonts w:ascii="Arial" w:cs="Arial" w:eastAsia="Arial" w:hAnsi="Arial"/>
          <w:sz w:val="18"/>
          <w:szCs w:val="18"/>
          <w:b w:val="1"/>
          <w:bCs w:val="1"/>
          <w:color w:val="auto"/>
        </w:rPr>
        <w:t>Adjusted EBITDA</w:t>
      </w:r>
    </w:p>
    <w:p>
      <w:pPr>
        <w:spacing w:after="0" w:line="170"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7"/>
        <w:spacing w:after="0" w:line="275" w:lineRule="auto"/>
        <w:rPr>
          <w:sz w:val="20"/>
          <w:szCs w:val="20"/>
          <w:color w:val="auto"/>
        </w:rPr>
      </w:pPr>
      <w:r>
        <w:rPr>
          <w:rFonts w:ascii="Arial" w:cs="Arial" w:eastAsia="Arial" w:hAnsi="Arial"/>
          <w:sz w:val="17"/>
          <w:szCs w:val="17"/>
          <w:color w:val="auto"/>
        </w:rPr>
        <w:t>The Company defines Adjusted EBITDA as net income (loss) excluding the effects of interest, taxes, depreciation, amortization, stock-based compensation, other income (expense)</w:t>
      </w:r>
      <w:r>
        <w:rPr>
          <w:rFonts w:ascii="Arial" w:cs="Arial" w:eastAsia="Arial" w:hAnsi="Arial"/>
          <w:sz w:val="17"/>
          <w:szCs w:val="17"/>
          <w:b w:val="1"/>
          <w:bCs w:val="1"/>
          <w:color w:val="auto"/>
        </w:rPr>
        <w:t>,</w:t>
      </w:r>
      <w:r>
        <w:rPr>
          <w:rFonts w:ascii="Arial" w:cs="Arial" w:eastAsia="Arial" w:hAnsi="Arial"/>
          <w:sz w:val="17"/>
          <w:szCs w:val="17"/>
          <w:color w:val="auto"/>
        </w:rPr>
        <w:t xml:space="preserve"> investment (gains)/ losses,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income (loss) as a measure of operating performance or to net cash provided by (used in) operating, investing or financing activities as a measure of ability to meet cash needs.</w:t>
      </w:r>
    </w:p>
    <w:p>
      <w:pPr>
        <w:spacing w:after="0" w:line="17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income (loss), for the three months ended September 30, 2020 and for the same period in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For the Three Months Ended</w:t>
            </w:r>
          </w:p>
        </w:tc>
        <w:tc>
          <w:tcPr>
            <w:tcW w:w="100" w:type="dxa"/>
            <w:vAlign w:val="bottom"/>
          </w:tcPr>
          <w:p>
            <w:pPr>
              <w:spacing w:after="0"/>
              <w:rPr>
                <w:sz w:val="18"/>
                <w:szCs w:val="18"/>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 2019</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Stock-based compensation and payments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Taxes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27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(gains)/losses, net</w:t>
            </w:r>
          </w:p>
        </w:tc>
        <w:tc>
          <w:tcPr>
            <w:tcW w:w="1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2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w:t>
            </w:r>
          </w:p>
        </w:tc>
      </w:t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3,032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ind w:firstLine="59"/>
        <w:spacing w:after="0" w:line="221" w:lineRule="auto"/>
        <w:tabs>
          <w:tab w:leader="none" w:pos="277"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2019 non-recurring expenses includes costs accrued in connection with litigation settlements, impairment of long-lived assets and wind-down costs (including severance) associated with the restructuring of our Irvine, California pharmacy business.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Equity Portfolio</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18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Estimated Value at</w:t>
            </w:r>
          </w:p>
        </w:tc>
      </w:tr>
      <w:tr>
        <w:trPr>
          <w:trHeight w:val="241"/>
        </w:trPr>
        <w:tc>
          <w:tcPr>
            <w:tcW w:w="1180" w:type="dxa"/>
            <w:vAlign w:val="bottom"/>
          </w:tcPr>
          <w:p>
            <w:pPr>
              <w:spacing w:after="0"/>
              <w:rPr>
                <w:sz w:val="20"/>
                <w:szCs w:val="20"/>
                <w:color w:val="auto"/>
              </w:rPr>
            </w:pPr>
          </w:p>
        </w:tc>
        <w:tc>
          <w:tcPr>
            <w:tcW w:w="5340" w:type="dxa"/>
            <w:vAlign w:val="bottom"/>
            <w:gridSpan w:val="2"/>
          </w:tcPr>
          <w:p>
            <w:pPr>
              <w:ind w:left="1600"/>
              <w:spacing w:after="0"/>
              <w:rPr>
                <w:sz w:val="20"/>
                <w:szCs w:val="20"/>
                <w:color w:val="auto"/>
              </w:rPr>
            </w:pPr>
            <w:r>
              <w:rPr>
                <w:rFonts w:ascii="Arial" w:cs="Arial" w:eastAsia="Arial" w:hAnsi="Arial"/>
                <w:sz w:val="18"/>
                <w:szCs w:val="18"/>
                <w:b w:val="1"/>
                <w:bCs w:val="1"/>
                <w:color w:val="auto"/>
              </w:rPr>
              <w:t>Company</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2020</w:t>
            </w:r>
          </w:p>
        </w:tc>
      </w:tr>
      <w:tr>
        <w:trPr>
          <w:trHeight w:val="216"/>
        </w:trPr>
        <w:tc>
          <w:tcPr>
            <w:tcW w:w="6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gridSpan w:val="3"/>
          </w:tcPr>
          <w:p>
            <w:pPr>
              <w:spacing w:after="0"/>
              <w:rPr>
                <w:sz w:val="20"/>
                <w:szCs w:val="20"/>
                <w:color w:val="auto"/>
              </w:rPr>
            </w:pPr>
            <w:r>
              <w:rPr>
                <w:rFonts w:ascii="Arial" w:cs="Arial" w:eastAsia="Arial" w:hAnsi="Arial"/>
                <w:sz w:val="18"/>
                <w:szCs w:val="18"/>
                <w:color w:val="auto"/>
              </w:rPr>
              <w:t>Surface Ophthalmics</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3,500,000</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11,550,0001</w:t>
            </w:r>
          </w:p>
        </w:tc>
      </w:tr>
      <w:tr>
        <w:trPr>
          <w:trHeight w:val="250"/>
        </w:trPr>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17,500,0001</w:t>
            </w:r>
          </w:p>
        </w:tc>
      </w:tr>
      <w:tr>
        <w:trPr>
          <w:trHeight w:val="221"/>
        </w:trPr>
        <w:tc>
          <w:tcPr>
            <w:tcW w:w="6520" w:type="dxa"/>
            <w:vAlign w:val="bottom"/>
            <w:tcBorders>
              <w:top w:val="single" w:sz="8" w:color="CCEEFF"/>
            </w:tcBorders>
            <w:gridSpan w:val="3"/>
          </w:tcPr>
          <w:p>
            <w:pPr>
              <w:ind w:left="360"/>
              <w:spacing w:after="0"/>
              <w:rPr>
                <w:sz w:val="20"/>
                <w:szCs w:val="20"/>
                <w:color w:val="auto"/>
              </w:rPr>
            </w:pPr>
            <w:r>
              <w:rPr>
                <w:rFonts w:ascii="Arial" w:cs="Arial" w:eastAsia="Arial" w:hAnsi="Arial"/>
                <w:sz w:val="18"/>
                <w:szCs w:val="18"/>
                <w:b w:val="1"/>
                <w:bCs w:val="1"/>
                <w:color w:val="auto"/>
              </w:rPr>
              <w:t>Estimated Total Value</w:t>
            </w:r>
          </w:p>
        </w:tc>
        <w:tc>
          <w:tcPr>
            <w:tcW w:w="2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56,700,000</w:t>
            </w:r>
          </w:p>
        </w:tc>
        <w:tc>
          <w:tcPr>
            <w:tcW w:w="100" w:type="dxa"/>
            <w:vAlign w:val="bottom"/>
            <w:tcBorders>
              <w:top w:val="single" w:sz="8" w:color="CCEEFF"/>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4" w:lineRule="exact"/>
        <w:rPr>
          <w:sz w:val="20"/>
          <w:szCs w:val="20"/>
          <w:color w:val="auto"/>
        </w:rPr>
      </w:pPr>
    </w:p>
    <w:p>
      <w:pPr>
        <w:ind w:firstLine="80"/>
        <w:spacing w:after="0" w:line="194" w:lineRule="auto"/>
        <w:tabs>
          <w:tab w:leader="none" w:pos="211"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which is calculated as the conversion price of the Series A Preferred Stock (from the most recent offering of the applicable company) multiplied by the number of shares owned by Harrow.</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2020-11-17T06:32:04Z</dcterms:created>
  <dcterms:modified xsi:type="dcterms:W3CDTF">2020-11-17T06:32:04Z</dcterms:modified>
</cp:coreProperties>
</file>