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4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4846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8463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SILVERNAIL LAUREN P</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(Last)</w:t>
            </w:r>
          </w:p>
        </w:tc>
        <w:tc>
          <w:tcPr>
            <w:tcW w:w="94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HARROW, INC.</w:t>
            </w:r>
          </w:p>
        </w:tc>
        <w:tc>
          <w:tcPr>
            <w:tcW w:w="160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102 WOODMONT BLVD, SUITE 610</w:t>
            </w:r>
          </w:p>
        </w:tc>
      </w:tr>
      <w:tr>
        <w:trPr>
          <w:trHeight w:val="151"/>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3"/>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NASHVILLE</w:t>
            </w:r>
          </w:p>
        </w:tc>
        <w:tc>
          <w:tcPr>
            <w:tcW w:w="9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TN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37205</w:t>
            </w:r>
          </w:p>
        </w:tc>
      </w:tr>
      <w:tr>
        <w:trPr>
          <w:trHeight w:val="151"/>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HARROW,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HROW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16"/>
        </w:trPr>
        <w:tc>
          <w:tcPr>
            <w:tcW w:w="60" w:type="dxa"/>
            <w:vAlign w:val="bottom"/>
            <w:tcBorders>
              <w:bottom w:val="single" w:sz="8" w:color="2C2C2C"/>
            </w:tcBorders>
          </w:tcPr>
          <w:p>
            <w:pPr>
              <w:spacing w:after="0"/>
              <w:rPr>
                <w:sz w:val="10"/>
                <w:szCs w:val="10"/>
                <w:color w:val="auto"/>
              </w:rPr>
            </w:pPr>
          </w:p>
        </w:tc>
        <w:tc>
          <w:tcPr>
            <w:tcW w:w="140" w:type="dxa"/>
            <w:vAlign w:val="bottom"/>
            <w:tcBorders>
              <w:top w:val="single" w:sz="8" w:color="0000EE"/>
              <w:bottom w:val="single" w:sz="8" w:color="2C2C2C"/>
            </w:tcBorders>
          </w:tcPr>
          <w:p>
            <w:pPr>
              <w:spacing w:after="0"/>
              <w:rPr>
                <w:sz w:val="10"/>
                <w:szCs w:val="10"/>
                <w:color w:val="auto"/>
              </w:rPr>
            </w:pPr>
          </w:p>
        </w:tc>
        <w:tc>
          <w:tcPr>
            <w:tcW w:w="1280" w:type="dxa"/>
            <w:vAlign w:val="bottom"/>
            <w:tcBorders>
              <w:top w:val="single" w:sz="8" w:color="0000EE"/>
              <w:bottom w:val="single" w:sz="8" w:color="2C2C2C"/>
            </w:tcBorders>
          </w:tcPr>
          <w:p>
            <w:pPr>
              <w:spacing w:after="0"/>
              <w:rPr>
                <w:sz w:val="10"/>
                <w:szCs w:val="10"/>
                <w:color w:val="auto"/>
              </w:rPr>
            </w:pPr>
          </w:p>
        </w:tc>
        <w:tc>
          <w:tcPr>
            <w:tcW w:w="23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90" w:lineRule="exact"/>
              <w:rPr>
                <w:sz w:val="20"/>
                <w:szCs w:val="20"/>
                <w:color w:val="auto"/>
              </w:rPr>
            </w:pPr>
            <w:r>
              <w:rPr>
                <w:rFonts w:ascii="Arial" w:cs="Arial" w:eastAsia="Arial" w:hAnsi="Arial"/>
                <w:sz w:val="10"/>
                <w:szCs w:val="10"/>
                <w:color w:val="auto"/>
              </w:rPr>
              <w:t>Director</w:t>
            </w:r>
          </w:p>
        </w:tc>
        <w:tc>
          <w:tcPr>
            <w:tcW w:w="1440" w:type="dxa"/>
            <w:vAlign w:val="bottom"/>
          </w:tcPr>
          <w:p>
            <w:pPr>
              <w:ind w:left="320"/>
              <w:spacing w:after="0" w:line="90" w:lineRule="exact"/>
              <w:rPr>
                <w:sz w:val="20"/>
                <w:szCs w:val="20"/>
                <w:color w:val="auto"/>
              </w:rPr>
            </w:pPr>
            <w:r>
              <w:rPr>
                <w:rFonts w:ascii="Arial" w:cs="Arial" w:eastAsia="Arial" w:hAnsi="Arial"/>
                <w:sz w:val="10"/>
                <w:szCs w:val="10"/>
                <w:color w:val="auto"/>
              </w:rPr>
              <w:t>10% Owner</w:t>
            </w: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9"/>
        </w:trPr>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06/14/2024</w:t>
            </w:r>
          </w:p>
        </w:tc>
        <w:tc>
          <w:tcPr>
            <w:tcW w:w="2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247"/>
        </w:trPr>
        <w:tc>
          <w:tcPr>
            <w:tcW w:w="700" w:type="dxa"/>
            <w:vAlign w:val="bottom"/>
          </w:tcPr>
          <w:p>
            <w:pPr>
              <w:ind w:left="60"/>
              <w:spacing w:after="0" w:line="247" w:lineRule="exact"/>
              <w:rPr>
                <w:sz w:val="20"/>
                <w:szCs w:val="20"/>
                <w:color w:val="auto"/>
              </w:rPr>
            </w:pPr>
            <w:r>
              <w:rPr>
                <w:rFonts w:ascii="Times New Roman" w:cs="Times New Roman" w:eastAsia="Times New Roman" w:hAnsi="Times New Roman"/>
                <w:sz w:val="25"/>
                <w:szCs w:val="25"/>
                <w:color w:val="0000FF"/>
                <w:vertAlign w:val="subscript"/>
              </w:rPr>
              <w:t>RSU</w:t>
            </w:r>
            <w:r>
              <w:rPr>
                <w:rFonts w:ascii="Times New Roman" w:cs="Times New Roman" w:eastAsia="Times New Roman" w:hAnsi="Times New Roman"/>
                <w:sz w:val="11"/>
                <w:szCs w:val="11"/>
                <w:color w:val="008000"/>
              </w:rPr>
              <w:t>(1)</w:t>
            </w:r>
          </w:p>
        </w:tc>
        <w:tc>
          <w:tcPr>
            <w:tcW w:w="780" w:type="dxa"/>
            <w:vAlign w:val="bottom"/>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06/14/2024</w:t>
            </w:r>
          </w:p>
        </w:tc>
        <w:tc>
          <w:tcPr>
            <w:tcW w:w="1100" w:type="dxa"/>
            <w:vAlign w:val="bottom"/>
          </w:tcPr>
          <w:p>
            <w:pPr>
              <w:spacing w:after="0"/>
              <w:rPr>
                <w:sz w:val="21"/>
                <w:szCs w:val="21"/>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8,347</w:t>
            </w:r>
          </w:p>
        </w:tc>
        <w:tc>
          <w:tcPr>
            <w:tcW w:w="260" w:type="dxa"/>
            <w:vAlign w:val="bottom"/>
          </w:tcPr>
          <w:p>
            <w:pPr>
              <w:spacing w:after="0"/>
              <w:rPr>
                <w:sz w:val="21"/>
                <w:szCs w:val="21"/>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8,347</w:t>
            </w: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8,347</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21"/>
                <w:szCs w:val="2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were received as a compensatory award for services rendered or to be rendered.</w:t>
      </w:r>
    </w:p>
    <w:p>
      <w:pPr>
        <w:spacing w:after="0" w:line="45" w:lineRule="exact"/>
        <w:rPr>
          <w:rFonts w:ascii="Times New Roman" w:cs="Times New Roman" w:eastAsia="Times New Roman" w:hAnsi="Times New Roman"/>
          <w:sz w:val="13"/>
          <w:szCs w:val="13"/>
          <w:color w:val="008000"/>
        </w:rPr>
      </w:pPr>
    </w:p>
    <w:p>
      <w:pPr>
        <w:ind w:left="40" w:right="580" w:firstLine="3"/>
        <w:spacing w:after="0" w:line="25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vests quarterly in equal installments over a one-year period following the date of grant. The shares underlying such Restricted Stock Units will not be delivered to the Reporting Person and may not be transferred or sold until the termination of service.</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Andrew R. Boll as Attorney </w:t>
      </w:r>
      <w:r>
        <w:rPr>
          <w:rFonts w:ascii="Times New Roman" w:cs="Times New Roman" w:eastAsia="Times New Roman" w:hAnsi="Times New Roman"/>
          <w:sz w:val="32"/>
          <w:szCs w:val="32"/>
          <w:color w:val="0000FF"/>
          <w:vertAlign w:val="subscript"/>
        </w:rPr>
        <w:t>06/17/2024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354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 Fact for Lauren P. Silvernail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323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340"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5755"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2024-06-17T17:03:27Z</dcterms:created>
  <dcterms:modified xsi:type="dcterms:W3CDTF">2024-06-17T17:03:27Z</dcterms:modified>
</cp:coreProperties>
</file>