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October 21, 2013</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480"/>
          </w:cols>
          <w:pgMar w:left="240" w:top="747" w:right="259" w:bottom="1440" w:gutter="0" w:footer="0" w:header="0"/>
          <w:type w:val="continuous"/>
        </w:sectPr>
      </w:pPr>
    </w:p>
    <w:p>
      <w:pPr>
        <w:spacing w:after="0" w:line="7"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12626 High Bluff Drive, Suite 150</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60" w:space="720"/>
            <w:col w:w="312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21, 2013, Imprimis Pharmaceuticals, Inc. (the “Company”) entered into an Amendment to Asset Purchase Agreement (the “Buderer Amendment”) with Buderer Drug Company, Inc. (“Buderer”), which amends the Asset Purchase Agreement between Buderer and the Company dated as of June 11, 2013 (the “Buderer APA”). The Buderer Amendment amends the circumstances under which Buderer may terminate the Buderer APA to provide that if following five years of the date of the Buderer APA, the Company has not initiated any study where data is derived or has failed to generate royalty payments to Buderer for any product based on the acquired intellectual property, Buderer may terminate the Buderer APA and request that the Company re-assign the acquired technology to Buderer. The Buderer Amendment provides the Company with the ability to utilize a wider range of commercialization strategies with respect to the acquired technology.</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23, 2013, the Company entered into an Amendment to Asset Purchase Agreement (the “Novel Amendment”) with Novel Drug Solutions, LLC (“Novel”), which amends the Asset Purchase Agreement between Novel and the Company dated as of October 8, 2013 (the “Novel APA”). The Novel Amendment expands the acquired assets under the Novel APA to include compositions comprising one or more of epinephrine, Shugarcaine, phenylephrine, or lidocaine, in each case for use in the prevention or treatment of any disease, state or condition in humans. In connection with the amendment, the Company was assigned a provisional patent application related to pharmaceutical compositions, including those for ophthalmological applications, comprising epinephrine-based compounds, and to methods of preparing and using such compositions.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October 24,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Vice-President, Accounting and Public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2020-02-26T05:41:13Z</dcterms:created>
  <dcterms:modified xsi:type="dcterms:W3CDTF">2020-02-26T05:41:13Z</dcterms:modified>
</cp:coreProperties>
</file>