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2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60" w:type="dxa"/>
            <w:vAlign w:val="bottom"/>
            <w:gridSpan w:val="8"/>
          </w:tcPr>
          <w:p>
            <w:pPr>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20" w:type="dxa"/>
            <w:vAlign w:val="bottom"/>
            <w:gridSpan w:val="4"/>
            <w:vMerge w:val="restart"/>
          </w:tcPr>
          <w:p>
            <w:pPr>
              <w:spacing w:after="0"/>
              <w:rPr>
                <w:rFonts w:ascii="Arial" w:cs="Arial" w:eastAsia="Arial" w:hAnsi="Arial"/>
                <w:sz w:val="22"/>
                <w:szCs w:val="22"/>
                <w:color w:val="0000EE"/>
                <w:w w:val="94"/>
              </w:rPr>
            </w:pPr>
            <w:hyperlink r:id="rId12">
              <w:r>
                <w:rPr>
                  <w:rFonts w:ascii="Arial" w:cs="Arial" w:eastAsia="Arial" w:hAnsi="Arial"/>
                  <w:sz w:val="22"/>
                  <w:szCs w:val="22"/>
                  <w:color w:val="0000EE"/>
                  <w:w w:val="94"/>
                </w:rPr>
                <w:t>Principi Anthony</w:t>
              </w:r>
            </w:hyperlink>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9"/>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Imprimis Pharmaceuticals,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IMMY</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640" w:type="dxa"/>
            <w:vAlign w:val="bottom"/>
            <w:gridSpan w:val="5"/>
            <w:vMerge w:val="restart"/>
          </w:tcPr>
          <w:p>
            <w:pPr>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20" w:type="dxa"/>
            <w:vAlign w:val="bottom"/>
            <w:gridSpan w:val="4"/>
            <w:vMerge w:val="continue"/>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3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640" w:type="dxa"/>
            <w:vAlign w:val="bottom"/>
            <w:gridSpan w:val="5"/>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gridSpan w:val="4"/>
            <w:vMerge w:val="continue"/>
          </w:tcPr>
          <w:p>
            <w:pPr>
              <w:spacing w:after="0"/>
              <w:rPr>
                <w:sz w:val="2"/>
                <w:szCs w:val="2"/>
                <w:color w:val="auto"/>
              </w:rPr>
            </w:pPr>
          </w:p>
        </w:tc>
        <w:tc>
          <w:tcPr>
            <w:tcW w:w="10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82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66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vMerge w:val="restart"/>
          </w:tcPr>
          <w:p>
            <w:pPr>
              <w:ind w:left="60"/>
              <w:spacing w:after="0"/>
              <w:rPr>
                <w:sz w:val="20"/>
                <w:szCs w:val="20"/>
                <w:color w:val="auto"/>
              </w:rPr>
            </w:pPr>
            <w:r>
              <w:rPr>
                <w:rFonts w:ascii="Arial" w:cs="Arial" w:eastAsia="Arial" w:hAnsi="Arial"/>
                <w:sz w:val="18"/>
                <w:szCs w:val="18"/>
                <w:color w:val="0000FF"/>
              </w:rPr>
              <w:t>X</w:t>
            </w: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20" w:type="dxa"/>
            <w:vAlign w:val="bottom"/>
            <w:gridSpan w:val="4"/>
            <w:vMerge w:val="continue"/>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3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260" w:type="dxa"/>
            <w:vAlign w:val="bottom"/>
            <w:tcBorders>
              <w:top w:val="single" w:sz="8" w:color="0000EE"/>
            </w:tcBorders>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vMerge w:val="continue"/>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80" w:type="dxa"/>
            <w:vAlign w:val="bottom"/>
          </w:tcPr>
          <w:p>
            <w:pPr>
              <w:spacing w:after="0"/>
              <w:rPr>
                <w:sz w:val="7"/>
                <w:szCs w:val="7"/>
                <w:color w:val="auto"/>
              </w:rPr>
            </w:pPr>
          </w:p>
        </w:tc>
        <w:tc>
          <w:tcPr>
            <w:tcW w:w="32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260" w:type="dxa"/>
            <w:vAlign w:val="bottom"/>
            <w:tcBorders>
              <w:top w:val="single" w:sz="8" w:color="EEEEEE"/>
            </w:tcBorders>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102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020" w:type="dxa"/>
            <w:vAlign w:val="bottom"/>
            <w:gridSpan w:val="8"/>
            <w:vMerge w:val="restart"/>
          </w:tcPr>
          <w:p>
            <w:pPr>
              <w:spacing w:after="0"/>
              <w:rPr>
                <w:sz w:val="20"/>
                <w:szCs w:val="20"/>
                <w:color w:val="auto"/>
              </w:rPr>
            </w:pPr>
            <w:r>
              <w:rPr>
                <w:rFonts w:ascii="Arial" w:cs="Arial" w:eastAsia="Arial" w:hAnsi="Arial"/>
                <w:sz w:val="14"/>
                <w:szCs w:val="14"/>
                <w:color w:val="auto"/>
                <w:w w:val="99"/>
              </w:rPr>
              <w:t>3. Date of Earliest Transaction (Month/Day/Year)</w:t>
            </w:r>
          </w:p>
        </w:tc>
        <w:tc>
          <w:tcPr>
            <w:tcW w:w="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20" w:type="dxa"/>
            <w:vAlign w:val="bottom"/>
            <w:gridSpan w:val="8"/>
            <w:vMerge w:val="continue"/>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0" w:type="dxa"/>
            <w:vAlign w:val="bottom"/>
            <w:gridSpan w:val="7"/>
            <w:vMerge w:val="restart"/>
          </w:tcPr>
          <w:p>
            <w:pPr>
              <w:spacing w:after="0"/>
              <w:rPr>
                <w:sz w:val="20"/>
                <w:szCs w:val="20"/>
                <w:color w:val="auto"/>
              </w:rPr>
            </w:pPr>
            <w:r>
              <w:rPr>
                <w:rFonts w:ascii="Arial" w:cs="Arial" w:eastAsia="Arial" w:hAnsi="Arial"/>
                <w:sz w:val="18"/>
                <w:szCs w:val="18"/>
                <w:color w:val="0000FF"/>
              </w:rPr>
              <w:t>C/O IMPRIMIS PHARMACEUTICALS, INC.</w:t>
            </w:r>
          </w:p>
        </w:tc>
        <w:tc>
          <w:tcPr>
            <w:tcW w:w="1600" w:type="dxa"/>
            <w:vAlign w:val="bottom"/>
            <w:gridSpan w:val="5"/>
          </w:tcPr>
          <w:p>
            <w:pPr>
              <w:ind w:left="160"/>
              <w:spacing w:after="0"/>
              <w:rPr>
                <w:sz w:val="20"/>
                <w:szCs w:val="20"/>
                <w:color w:val="auto"/>
              </w:rPr>
            </w:pPr>
            <w:r>
              <w:rPr>
                <w:rFonts w:ascii="Arial" w:cs="Arial" w:eastAsia="Arial" w:hAnsi="Arial"/>
                <w:sz w:val="18"/>
                <w:szCs w:val="18"/>
                <w:color w:val="0000FF"/>
              </w:rPr>
              <w:t>09/01/2015</w:t>
            </w: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0" w:type="dxa"/>
            <w:vAlign w:val="bottom"/>
            <w:gridSpan w:val="7"/>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8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0" w:type="dxa"/>
            <w:vAlign w:val="bottom"/>
            <w:gridSpan w:val="7"/>
            <w:vMerge w:val="restart"/>
          </w:tcPr>
          <w:p>
            <w:pPr>
              <w:spacing w:after="0"/>
              <w:rPr>
                <w:sz w:val="20"/>
                <w:szCs w:val="20"/>
                <w:color w:val="auto"/>
              </w:rPr>
            </w:pPr>
            <w:r>
              <w:rPr>
                <w:rFonts w:ascii="Arial" w:cs="Arial" w:eastAsia="Arial" w:hAnsi="Arial"/>
                <w:sz w:val="18"/>
                <w:szCs w:val="18"/>
                <w:color w:val="0000FF"/>
              </w:rPr>
              <w:t>12264 EL CAMINO REAL, SUITE 350</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88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0" w:type="dxa"/>
            <w:vAlign w:val="bottom"/>
            <w:gridSpan w:val="7"/>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9"/>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3360" w:type="dxa"/>
            <w:vAlign w:val="bottom"/>
            <w:gridSpan w:val="8"/>
            <w:vMerge w:val="restart"/>
          </w:tcPr>
          <w:p>
            <w:pPr>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9"/>
            <w:vMerge w:val="continue"/>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336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60" w:type="dxa"/>
            <w:vAlign w:val="bottom"/>
            <w:tcBorders>
              <w:bottom w:val="single" w:sz="8" w:color="9A9A9A"/>
            </w:tcBorders>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3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gridSpan w:val="3"/>
            <w:vMerge w:val="restart"/>
          </w:tcPr>
          <w:p>
            <w:pPr>
              <w:spacing w:after="0"/>
              <w:rPr>
                <w:sz w:val="20"/>
                <w:szCs w:val="20"/>
                <w:color w:val="auto"/>
              </w:rPr>
            </w:pPr>
            <w:r>
              <w:rPr>
                <w:rFonts w:ascii="Arial" w:cs="Arial" w:eastAsia="Arial" w:hAnsi="Arial"/>
                <w:sz w:val="14"/>
                <w:szCs w:val="14"/>
                <w:color w:val="auto"/>
              </w:rPr>
              <w:t>Line)</w:t>
            </w:r>
          </w:p>
        </w:tc>
        <w:tc>
          <w:tcPr>
            <w:tcW w:w="380" w:type="dxa"/>
            <w:vAlign w:val="bottom"/>
          </w:tcPr>
          <w:p>
            <w:pPr>
              <w:spacing w:after="0"/>
              <w:rPr>
                <w:sz w:val="5"/>
                <w:szCs w:val="5"/>
                <w:color w:val="auto"/>
              </w:rPr>
            </w:pPr>
          </w:p>
        </w:tc>
        <w:tc>
          <w:tcPr>
            <w:tcW w:w="88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80" w:type="dxa"/>
            <w:vAlign w:val="bottom"/>
          </w:tcPr>
          <w:p>
            <w:pPr>
              <w:spacing w:after="0"/>
              <w:rPr>
                <w:sz w:val="7"/>
                <w:szCs w:val="7"/>
                <w:color w:val="auto"/>
              </w:rPr>
            </w:pPr>
          </w:p>
        </w:tc>
        <w:tc>
          <w:tcPr>
            <w:tcW w:w="32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gridSpan w:val="3"/>
            <w:vMerge w:val="continue"/>
          </w:tcPr>
          <w:p>
            <w:pPr>
              <w:spacing w:after="0"/>
              <w:rPr>
                <w:sz w:val="7"/>
                <w:szCs w:val="7"/>
                <w:color w:val="auto"/>
              </w:rPr>
            </w:pPr>
          </w:p>
        </w:tc>
        <w:tc>
          <w:tcPr>
            <w:tcW w:w="380" w:type="dxa"/>
            <w:vAlign w:val="bottom"/>
          </w:tcPr>
          <w:p>
            <w:pPr>
              <w:spacing w:after="0"/>
              <w:rPr>
                <w:sz w:val="7"/>
                <w:szCs w:val="7"/>
                <w:color w:val="auto"/>
              </w:rPr>
            </w:pPr>
          </w:p>
        </w:tc>
        <w:tc>
          <w:tcPr>
            <w:tcW w:w="8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20" w:type="dxa"/>
            <w:vAlign w:val="bottom"/>
            <w:gridSpan w:val="6"/>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SAN DIEGO</w:t>
            </w:r>
          </w:p>
        </w:tc>
        <w:tc>
          <w:tcPr>
            <w:tcW w:w="280" w:type="dxa"/>
            <w:vAlign w:val="bottom"/>
            <w:gridSpan w:val="2"/>
          </w:tcPr>
          <w:p>
            <w:pPr>
              <w:ind w:left="40"/>
              <w:spacing w:after="0"/>
              <w:rPr>
                <w:sz w:val="20"/>
                <w:szCs w:val="20"/>
                <w:color w:val="auto"/>
              </w:rPr>
            </w:pPr>
            <w:r>
              <w:rPr>
                <w:rFonts w:ascii="Arial" w:cs="Arial" w:eastAsia="Arial" w:hAnsi="Arial"/>
                <w:sz w:val="18"/>
                <w:szCs w:val="18"/>
                <w:color w:val="0000FF"/>
                <w:w w:val="87"/>
              </w:rPr>
              <w:t>CA</w:t>
            </w:r>
          </w:p>
        </w:tc>
        <w:tc>
          <w:tcPr>
            <w:tcW w:w="102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92130</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980" w:type="dxa"/>
            <w:vAlign w:val="bottom"/>
            <w:gridSpan w:val="5"/>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tcPr>
          <w:p>
            <w:pPr>
              <w:ind w:left="18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80" w:type="dxa"/>
            <w:vAlign w:val="bottom"/>
            <w:tcBorders>
              <w:bottom w:val="single" w:sz="8" w:color="2C2C2C"/>
            </w:tcBorders>
            <w:gridSpan w:val="4"/>
          </w:tcPr>
          <w:p>
            <w:pPr>
              <w:spacing w:after="0"/>
              <w:rPr>
                <w:sz w:val="11"/>
                <w:szCs w:val="11"/>
                <w:color w:val="auto"/>
              </w:rPr>
            </w:pPr>
          </w:p>
        </w:tc>
        <w:tc>
          <w:tcPr>
            <w:tcW w:w="1120" w:type="dxa"/>
            <w:vAlign w:val="bottom"/>
            <w:tcBorders>
              <w:bottom w:val="single" w:sz="8" w:color="2C2C2C"/>
            </w:tcBorders>
            <w:gridSpan w:val="3"/>
          </w:tcPr>
          <w:p>
            <w:pPr>
              <w:spacing w:after="0"/>
              <w:rPr>
                <w:sz w:val="11"/>
                <w:szCs w:val="11"/>
                <w:color w:val="auto"/>
              </w:rPr>
            </w:pPr>
          </w:p>
        </w:tc>
        <w:tc>
          <w:tcPr>
            <w:tcW w:w="1200" w:type="dxa"/>
            <w:vAlign w:val="bottom"/>
            <w:tcBorders>
              <w:bottom w:val="single" w:sz="8" w:color="2C2C2C"/>
            </w:tcBorders>
            <w:gridSpan w:val="3"/>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21"/>
          </w:tcPr>
          <w:p>
            <w:pPr>
              <w:jc w:val="center"/>
              <w:ind w:left="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5"/>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5"/>
                <w:szCs w:val="15"/>
                <w:color w:val="auto"/>
              </w:rPr>
            </w:pPr>
          </w:p>
        </w:tc>
        <w:tc>
          <w:tcPr>
            <w:tcW w:w="1700" w:type="dxa"/>
            <w:vAlign w:val="bottom"/>
            <w:gridSpan w:val="7"/>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8"/>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60" w:type="dxa"/>
            <w:vAlign w:val="bottom"/>
            <w:gridSpan w:val="5"/>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2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3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6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4"/>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gridSpan w:val="2"/>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4"/>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3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5"/>
          </w:tcPr>
          <w:p>
            <w:pPr>
              <w:ind w:left="900"/>
              <w:spacing w:after="0"/>
              <w:rPr>
                <w:sz w:val="20"/>
                <w:szCs w:val="20"/>
                <w:color w:val="auto"/>
              </w:rPr>
            </w:pPr>
            <w:r>
              <w:rPr>
                <w:rFonts w:ascii="Arial" w:cs="Arial" w:eastAsia="Arial" w:hAnsi="Arial"/>
                <w:sz w:val="18"/>
                <w:szCs w:val="18"/>
                <w:color w:val="0000FF"/>
              </w:rPr>
              <w:t>09/01/2015</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00"/>
              <w:spacing w:after="0"/>
              <w:rPr>
                <w:sz w:val="20"/>
                <w:szCs w:val="20"/>
                <w:color w:val="auto"/>
              </w:rPr>
            </w:pPr>
            <w:r>
              <w:rPr>
                <w:rFonts w:ascii="Arial" w:cs="Arial" w:eastAsia="Arial" w:hAnsi="Arial"/>
                <w:sz w:val="27"/>
                <w:szCs w:val="27"/>
                <w:color w:val="0000FF"/>
                <w:vertAlign w:val="subscript"/>
              </w:rPr>
              <w:t>A</w:t>
            </w:r>
            <w:r>
              <w:rPr>
                <w:rFonts w:ascii="Arial" w:cs="Arial" w:eastAsia="Arial" w:hAnsi="Arial"/>
                <w:sz w:val="11"/>
                <w:szCs w:val="11"/>
                <w:color w:val="008000"/>
              </w:rPr>
              <w:t>(1)</w:t>
            </w:r>
          </w:p>
        </w:tc>
        <w:tc>
          <w:tcPr>
            <w:tcW w:w="1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2"/>
          </w:tcPr>
          <w:p>
            <w:pPr>
              <w:ind w:left="180"/>
              <w:spacing w:after="0"/>
              <w:rPr>
                <w:sz w:val="20"/>
                <w:szCs w:val="20"/>
                <w:color w:val="auto"/>
              </w:rPr>
            </w:pPr>
            <w:r>
              <w:rPr>
                <w:rFonts w:ascii="Arial" w:cs="Arial" w:eastAsia="Arial" w:hAnsi="Arial"/>
                <w:sz w:val="18"/>
                <w:szCs w:val="18"/>
                <w:color w:val="0000FF"/>
                <w:w w:val="88"/>
              </w:rPr>
              <w:t>4,573</w:t>
            </w:r>
          </w:p>
        </w:tc>
        <w:tc>
          <w:tcPr>
            <w:tcW w:w="72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1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gridSpan w:val="2"/>
          </w:tcPr>
          <w:p>
            <w:pPr>
              <w:spacing w:after="0"/>
              <w:rPr>
                <w:sz w:val="20"/>
                <w:szCs w:val="20"/>
                <w:color w:val="auto"/>
              </w:rPr>
            </w:pPr>
            <w:r>
              <w:rPr>
                <w:rFonts w:ascii="Arial" w:cs="Arial" w:eastAsia="Arial" w:hAnsi="Arial"/>
                <w:sz w:val="11"/>
                <w:szCs w:val="11"/>
                <w:color w:val="008000"/>
                <w:w w:val="88"/>
              </w:rPr>
              <w:t>(2)</w:t>
            </w:r>
          </w:p>
        </w:tc>
        <w:tc>
          <w:tcPr>
            <w:tcW w:w="2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4,573</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60" w:type="dxa"/>
            <w:vAlign w:val="bottom"/>
            <w:tcBorders>
              <w:top w:val="single" w:sz="8" w:color="2C2C2C"/>
            </w:tcBorders>
            <w:gridSpan w:val="21"/>
          </w:tcPr>
          <w:p>
            <w:pPr>
              <w:jc w:val="center"/>
              <w:ind w:left="2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540" w:type="dxa"/>
            <w:vAlign w:val="bottom"/>
            <w:gridSpan w:val="17"/>
          </w:tcPr>
          <w:p>
            <w:pPr>
              <w:jc w:val="center"/>
              <w:ind w:left="51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4"/>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5"/>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gridSpan w:val="5"/>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3"/>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80" w:type="dxa"/>
            <w:vAlign w:val="bottom"/>
          </w:tcPr>
          <w:p>
            <w:pPr>
              <w:spacing w:after="0"/>
              <w:rPr>
                <w:sz w:val="4"/>
                <w:szCs w:val="4"/>
                <w:color w:val="auto"/>
              </w:rPr>
            </w:pPr>
          </w:p>
        </w:tc>
        <w:tc>
          <w:tcPr>
            <w:tcW w:w="8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6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3"/>
          </w:tcPr>
          <w:p>
            <w:pPr>
              <w:ind w:left="60"/>
              <w:spacing w:after="0"/>
              <w:rPr>
                <w:sz w:val="20"/>
                <w:szCs w:val="20"/>
                <w:color w:val="auto"/>
              </w:rPr>
            </w:pPr>
            <w:r>
              <w:rPr>
                <w:rFonts w:ascii="Arial" w:cs="Arial" w:eastAsia="Arial" w:hAnsi="Arial"/>
                <w:sz w:val="12"/>
                <w:szCs w:val="12"/>
                <w:b w:val="1"/>
                <w:bCs w:val="1"/>
                <w:color w:val="auto"/>
              </w:rPr>
              <w:t>Date</w:t>
            </w:r>
          </w:p>
        </w:tc>
        <w:tc>
          <w:tcPr>
            <w:tcW w:w="96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50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Award of Restricted Stock Units vests quarterly in equal installments over a one year period following the date of grant. The shares underlying such Restricted Stock Units will not be delivered to the Reporting Person and may not be transferred or sold until the termination of service.</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Restricted Stock Units were received as a compensatory award for no consideration.</w:t>
      </w:r>
    </w:p>
    <w:p>
      <w:pPr>
        <w:spacing w:after="0" w:line="4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1440" w:type="dxa"/>
            <w:vAlign w:val="bottom"/>
          </w:tcPr>
          <w:p>
            <w:pPr>
              <w:spacing w:after="0"/>
              <w:rPr>
                <w:sz w:val="20"/>
                <w:szCs w:val="20"/>
                <w:color w:val="auto"/>
              </w:rPr>
            </w:pPr>
            <w:r>
              <w:rPr>
                <w:rFonts w:ascii="Arial" w:cs="Arial" w:eastAsia="Arial" w:hAnsi="Arial"/>
                <w:sz w:val="18"/>
                <w:szCs w:val="18"/>
                <w:color w:val="0000FF"/>
                <w:w w:val="92"/>
              </w:rPr>
              <w:t>/s/ Anthony Principi</w:t>
            </w:r>
          </w:p>
        </w:tc>
        <w:tc>
          <w:tcPr>
            <w:tcW w:w="68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09/03/2015</w:t>
            </w:r>
          </w:p>
        </w:tc>
      </w:tr>
      <w:tr>
        <w:trPr>
          <w:trHeight w:val="20"/>
        </w:trPr>
        <w:tc>
          <w:tcPr>
            <w:tcW w:w="14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47187" TargetMode="External"/><Relationship Id="rId13" Type="http://schemas.openxmlformats.org/officeDocument/2006/relationships/hyperlink" Target="http://www.sec.gov/cgi-bin/browse-edgar?action=getcompany&amp;CIK=00013602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2020-01-22T10:04:01Z</dcterms:created>
  <dcterms:modified xsi:type="dcterms:W3CDTF">2020-01-22T10:04:01Z</dcterms:modified>
</cp:coreProperties>
</file>