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14,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52"/>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April 14, 2021, Harrow 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or “</w:t>
      </w:r>
      <w:r>
        <w:rPr>
          <w:rFonts w:ascii="Arial" w:cs="Arial" w:eastAsia="Arial" w:hAnsi="Arial"/>
          <w:sz w:val="17"/>
          <w:szCs w:val="17"/>
          <w:u w:val="single" w:color="auto"/>
          <w:color w:val="auto"/>
        </w:rPr>
        <w:t>we</w:t>
      </w:r>
      <w:r>
        <w:rPr>
          <w:rFonts w:ascii="Arial" w:cs="Arial" w:eastAsia="Arial" w:hAnsi="Arial"/>
          <w:sz w:val="17"/>
          <w:szCs w:val="17"/>
          <w:color w:val="auto"/>
        </w:rPr>
        <w:t xml:space="preserve">”) issued a press release announcing certain preliminary financial results for the three-month period ended March 31, 2021. The press release is being furnished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to this Current Report on Form 8-K.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14, 2021, the Company issued a press release announcing the commencement of a public offering of $25,000,000 aggregate principal amount of senior notes due 2026 (the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The Company expects to grant the underwriters a 30-day option to purchase up to an additional $3,750,000 aggregate principal amount of senior notes in connection with the Offering. A copy of the press release is being furnished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Current Report on Form 8-K.</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In addition, in connection with the Offering, the Company will be making road show presentations to certain existing and potential securityholders of the Company. The road show materials are being furnished as </w:t>
      </w:r>
      <w:r>
        <w:rPr>
          <w:rFonts w:ascii="Arial" w:cs="Arial" w:eastAsia="Arial" w:hAnsi="Arial"/>
          <w:sz w:val="18"/>
          <w:szCs w:val="18"/>
          <w:u w:val="single" w:color="auto"/>
          <w:color w:val="auto"/>
        </w:rPr>
        <w:t>Exhibit 99.3</w:t>
      </w:r>
      <w:r>
        <w:rPr>
          <w:rFonts w:ascii="Arial" w:cs="Arial" w:eastAsia="Arial" w:hAnsi="Arial"/>
          <w:sz w:val="18"/>
          <w:szCs w:val="18"/>
          <w:color w:val="auto"/>
        </w:rPr>
        <w:t xml:space="preserve"> to this Current Report on Form 8-K.</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The information furnished under Items 2.02 and 7.01 of this Current Report on Form 8-K, including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99.2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99.3</w:t>
      </w:r>
      <w:r>
        <w:rPr>
          <w:rFonts w:ascii="Arial" w:cs="Arial" w:eastAsia="Arial" w:hAnsi="Arial"/>
          <w:sz w:val="17"/>
          <w:szCs w:val="17"/>
          <w:color w:val="auto"/>
        </w:rPr>
        <w:t>, shall not be deemed to be “filed” for the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or otherwise subject to the liabilities of that section. The information in Items 2.02 and 7.01, including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99.2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99.3</w:t>
      </w:r>
      <w:r>
        <w:rPr>
          <w:rFonts w:ascii="Arial" w:cs="Arial" w:eastAsia="Arial" w:hAnsi="Arial"/>
          <w:sz w:val="17"/>
          <w:szCs w:val="17"/>
          <w:color w:val="auto"/>
        </w:rPr>
        <w:t>,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information furnished under Items 2.02 and 7.01 of this Current Report on Form 8-K, including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99.3</w:t>
      </w:r>
      <w:r>
        <w:rPr>
          <w:rFonts w:ascii="Arial" w:cs="Arial" w:eastAsia="Arial" w:hAnsi="Arial"/>
          <w:sz w:val="18"/>
          <w:szCs w:val="18"/>
          <w:color w:val="auto"/>
        </w:rPr>
        <w:t>,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Current Report on Form 8-K (and the exhibits attached hereto) may contain “forward-looking” statements as defined by the Private Securities Litigation Reform Act of 1995 or by the SEC in its rules, regulations and releases. These statements include, but are not limited to, the Company’s plans, objectives, expectations and intentions regarding the performance of its business, statements regarding the Company’s anticipated results for the first quarter of 2021, the terms and conditions and timing of the Offering, the intended use of proceeds of the Offering and other non-historical statements. These statements can be identified by the use of words such as “believes,” “anticipates,” “expects,” “intends,” “plans,” “continues,” “estimates,” “predicts,” “projects,” “forecasts,” and similar expressions. All forward looking statements are based on management’s current expectations and beliefs only as of the date of this report and are subject to risks, uncertainties and assumptions that could cause actual results to differ materially from those discussed in, or implied by, the forward-looking statements, including the risks identified and discussed from time to time in the Company’s reports filed with the SEC, including the Company’s most recent Annual Report on Form 10-K for the year ended December 31, 2020. Readers are strongly encouraged to review carefully the full cautionary statements described in these reports. Except as required by law, the Company undertakes no obligation to revise or update publicly any forward-looking statements to reflect events or circumstances after the date of this report, or to reflect the occurrence of unanticipated events or circumstances.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Announcing Preliminary First Quarter 2021 Financial Results, dated April 14, 2021</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7">
        <w:r>
          <w:rPr>
            <w:rFonts w:ascii="Arial" w:cs="Arial" w:eastAsia="Arial" w:hAnsi="Arial"/>
            <w:sz w:val="16"/>
            <w:szCs w:val="16"/>
            <w:u w:val="single" w:color="auto"/>
            <w:color w:val="0000EE"/>
          </w:rPr>
          <w:t>Press Release Announcing Offering, dated April 14, 2021.</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9">
        <w:r>
          <w:rPr>
            <w:rFonts w:ascii="Arial" w:cs="Arial" w:eastAsia="Arial" w:hAnsi="Arial"/>
            <w:sz w:val="16"/>
            <w:szCs w:val="16"/>
            <w:u w:val="single" w:color="auto"/>
            <w:color w:val="0000EE"/>
          </w:rPr>
          <w:t>Road Show Materials, dated April 14,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April 14,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900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Preliminary First Quarter 2021 Financial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NASHVILLE, Tenn., April 14, 2021 – Harrow Health, Inc. (NASDAQ: HROW), an ophthalmic-focused healthcare company, today announced certain preliminary unaudited financial results for the first quarter ended March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Estimate of Results for the Three Months Ended March 31, 2021</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between $14.9 million and $15.5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greater than $2.7 million.</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including restricted cash, at March 31, 2021, of approximately $6.5 million, which further increased on April 12, 2021 as a result of the addition of gross proceeds of $10.6 million from the sale of 1,518,000 common shares of Eton Pharmaceuticals, Inc., a former subsidiary of Harrow Health, Inc.</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Harrow Health’s management utilizes Adjusted EBITDA, an unaudited financial measure that is not calculated in accordance with U.S. generally accepted accounting principles, or GAAP, to evaluate the Company’s financial results and performance and to plan and forecast future periods.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Set forth below is Harrow’s reconciliation of estimated preliminary Adjusted EBITDA to estimated preliminary net income, the most directly comparable GAAP measure. However, the Company is unable to determine with reasonable certainty the ultimate outcome of certain items necessary to calculate such GAAP measure without unreasonable effort. These items include, but are not limited to, final calculation of investment related gains/losses. These items are uncertain, depend on various factors, and could have a material impact on the GAAP reported results for the period. The estimate presented is subject to completion of the applicable quarter-end closing procedures. Harrow’s actual results for such period may vary from these estimates. In addition, estimated financial information is necessarily speculative in nature, and it can be expected that some or all of the assumptions underlying the estimated financial information described above will not materialize or will vary significantly from actual results. Accordingly, undue reliance should not be placed on this estimate. The preliminary estimate is not necessarily indicative of any future period and should be read together with the sections titled “Risk Factors” and “Special Note Regarding Forward-Looking Statements,” and under similar headings in the documents incorporated by reference in Harrow Health’s financial statements, related notes and other financial information incorporated by reference in its filings with the Securities and Exchange Commission, or SEC.</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Preliminary First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is a reconciliation of estimated preliminary Adjusted EBITDA to estimated preliminary net income for the three months ended March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For the</w:t>
            </w:r>
          </w:p>
        </w:tc>
      </w:tr>
      <w:tr>
        <w:trPr>
          <w:trHeight w:val="216"/>
        </w:trPr>
        <w:tc>
          <w:tcPr>
            <w:tcW w:w="9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r>
      <w:tr>
        <w:trPr>
          <w:trHeight w:val="220"/>
        </w:trPr>
        <w:tc>
          <w:tcPr>
            <w:tcW w:w="9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 2021</w:t>
            </w:r>
          </w:p>
        </w:tc>
      </w:tr>
      <w:tr>
        <w:trPr>
          <w:trHeight w:val="257"/>
        </w:trPr>
        <w:tc>
          <w:tcPr>
            <w:tcW w:w="9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00" w:type="dxa"/>
            <w:vAlign w:val="bottom"/>
            <w:gridSpan w:val="3"/>
          </w:tcPr>
          <w:p>
            <w:pPr>
              <w:jc w:val="center"/>
              <w:ind w:right="200"/>
              <w:spacing w:after="0"/>
              <w:rPr>
                <w:sz w:val="20"/>
                <w:szCs w:val="20"/>
                <w:color w:val="auto"/>
              </w:rPr>
            </w:pPr>
            <w:r>
              <w:rPr>
                <w:rFonts w:ascii="Arial" w:cs="Arial" w:eastAsia="Arial" w:hAnsi="Arial"/>
                <w:sz w:val="18"/>
                <w:szCs w:val="18"/>
                <w:b w:val="1"/>
                <w:bCs w:val="1"/>
                <w:i w:val="1"/>
                <w:iCs w:val="1"/>
                <w:color w:val="auto"/>
                <w:w w:val="89"/>
              </w:rPr>
              <w:t>(Unaudited)</w:t>
            </w: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GAAP Net Income, exclusive of investment gains/losses</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Arial" w:cs="Arial" w:eastAsia="Arial" w:hAnsi="Arial"/>
                <w:sz w:val="18"/>
                <w:szCs w:val="18"/>
                <w:color w:val="auto"/>
              </w:rPr>
              <w:t>798</w:t>
            </w: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r>
      <w:tr>
        <w:trPr>
          <w:trHeight w:val="216"/>
        </w:trPr>
        <w:tc>
          <w:tcPr>
            <w:tcW w:w="92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r>
      <w:tr>
        <w:trPr>
          <w:trHeight w:val="249"/>
        </w:trPr>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(1,966)</w:t>
            </w:r>
          </w:p>
        </w:tc>
      </w:tr>
      <w:tr>
        <w:trPr>
          <w:trHeight w:val="217"/>
        </w:trPr>
        <w:tc>
          <w:tcPr>
            <w:tcW w:w="92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estimate of results for the three months ended March 31, 2021 have not been reviewed by Harrow’s auditors, are based on preliminary information as of the date hereof and are subject to material changes following completion of the quarter-end review process and other adjustments that may be made before the Company’s financial results are finalized. In addition, these preliminary unaudited results are not comprehensive financial results for the quarter ended March 31, 2021, should not be viewed as a substitute for complete GAAP financial statements or more comprehensive financial information, and are not indicative of the results for any future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expects to announce full first quarter 2021 financial and operating results on May 11, 2021, after market close. Management will host a conference call, including a question-and-answer session, for shareholders later that same day. Additional details on the call will be released in a separate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Preliminary First Quarter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among others, risks related to: the impact of the COVID-19 pandemic on our financial condition, liquidity or results of operations; our ability to successfully implement our business plan, develop and commercialize our proprietary formulations in a timely manner or at all, identify and acquire additional proprietary formulations, manage our pharmacy operations, service our debt, obtain financing necessary to operate our business, recruit and retain qualified personnel, manage any growth we may experience and successfully realize the benefits of our previous acquisitions and any other acquisitions and collaborative arrangements we may pursue; competition from pharmaceutical companies, outsourcing facilities and pharmacies; general economic and business conditions; regulatory and legal risks and uncertainties related to our pharmacy operations and the pharmacy and pharmaceutical business in general; physician interest in and market acceptance of our current and any future formulations and compounding pharmacies generally; and our limited operating history. These and additional risks and uncertainties are more fully described in our filings with the SEC, including our Annual Report on Form 10-K and our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154305</wp:posOffset>
            </wp:positionV>
            <wp:extent cx="2143125" cy="8312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3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Offering of $25 Million Senior Notes Due 2026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“BB” Rating from Egan-Jones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NASHVILLE, Tenn., April 14, 2021 – Harrow Health, Inc. (NASDAQ: HROW), an ophthalmic-focused healthcare company, today announced it has commenced an underwritten registered public offering of $25 million aggregate principal amount of senior notes due 2026 (the “Notes”), subject to market and certain other conditions. The Company expects to grant the underwriters a 30-day option to purchase additional senior notes in connection with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Harrow Health and this issuance of notes both received a rating of “BB” from Egan-Jones Ratings Company, an independent, unaffiliated rating agency.</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to use the net proceeds of the offering to repay outstanding borrowings of approximately $15.5 million under the Company’s term loan and security agreement with SWK Funding LLC, a subsidiary of SWK Holdings Corporation, and its partners, with the remaining net proceeds available for general corporate purposes, including funding future strategic product acquisitions and related investments, making capital expenditures and funding working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Riley Securities, National Securities Corporation, Ladenburg Thalmann and William Blair are acting as book-running managers for this offering. Aegis Capital Corp., Boenning &amp; Scattergood and Maxim Group LLC are acting as co-managers.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will be offered under the Company’s shelf registration statement on Form S-3, which was declared effective by the Securities and Exchange Commission (“SEC”) on July 13, 2020. The offering of these notes will be made only by means of a prospectus supplement and accompanying base prospectus, which will be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This press release shall not constitute an offer to sell or the solicitation of an offer to buy, nor shall there be any sale of the notes in any state or jurisdiction in which such offer, sale or solicitation would be unlawful prior to registration or qualification under the securities laws of any such state or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HROW Announces Offering of $25 Million Senior Notes Due 2026 and “BB” Rating from Egan-Jones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14,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terms and conditions and timing of the senior notes offering and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Factors that could cause actual results to differ include (without limitation) the possibility that the notes offering will not be consummated at the expected time, on the expected terms, or at all. Additional risks and uncertainties are more fully described in Harrow Health’s filings with the Securities and Exchange Commission, including its Annual Report on Form 10-K for the year ended December 31, 2020.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 w:name="page9"/>
    <w:bookmarkEnd w:id="8"/>
    <w:p>
      <w:pPr>
        <w:ind w:left="9000"/>
        <w:spacing w:after="0"/>
        <w:rPr>
          <w:sz w:val="20"/>
          <w:szCs w:val="20"/>
          <w:color w:val="auto"/>
        </w:rPr>
      </w:pPr>
      <w:r>
        <w:rPr>
          <w:rFonts w:ascii="Arial" w:cs="Arial" w:eastAsia="Arial" w:hAnsi="Arial"/>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3420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3852545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919480</wp:posOffset>
            </wp:positionH>
            <wp:positionV relativeFrom="page">
              <wp:posOffset>294640</wp:posOffset>
            </wp:positionV>
            <wp:extent cx="5743575" cy="323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743575" cy="323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0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407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540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4207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074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2021-04-14T15:11:02Z</dcterms:created>
  <dcterms:modified xsi:type="dcterms:W3CDTF">2021-04-14T15:11:02Z</dcterms:modified>
</cp:coreProperties>
</file>