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80" w:right="1960" w:hanging="3972"/>
        <w:spacing w:after="0" w:line="501" w:lineRule="auto"/>
        <w:tabs>
          <w:tab w:leader="none" w:pos="30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40"/>
              <w:spacing w:after="0"/>
              <w:rPr>
                <w:sz w:val="20"/>
                <w:szCs w:val="20"/>
                <w:color w:val="auto"/>
              </w:rPr>
            </w:pPr>
            <w:r>
              <w:rPr>
                <w:rFonts w:ascii="Arial" w:cs="Arial" w:eastAsia="Arial" w:hAnsi="Arial"/>
                <w:sz w:val="18"/>
                <w:szCs w:val="18"/>
                <w:color w:val="auto"/>
              </w:rPr>
              <w:t>]</w:t>
            </w:r>
          </w:p>
        </w:tc>
        <w:tc>
          <w:tcPr>
            <w:tcW w:w="318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180" w:type="dxa"/>
            <w:vAlign w:val="bottom"/>
          </w:tcPr>
          <w:p>
            <w:pPr>
              <w:ind w:left="40"/>
              <w:spacing w:after="0"/>
              <w:rPr>
                <w:sz w:val="20"/>
                <w:szCs w:val="20"/>
                <w:color w:val="auto"/>
              </w:rPr>
            </w:pPr>
            <w:r>
              <w:rPr>
                <w:rFonts w:ascii="Arial" w:cs="Arial" w:eastAsia="Arial" w:hAnsi="Arial"/>
                <w:sz w:val="18"/>
                <w:szCs w:val="18"/>
                <w:color w:val="auto"/>
              </w:rPr>
              <w:t>] (Do not check if a smaller reporting company)</w:t>
            </w:r>
          </w:p>
        </w:tc>
        <w:tc>
          <w:tcPr>
            <w:tcW w:w="318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w w:val="99"/>
              </w:rPr>
              <w:t>[X]</w:t>
            </w:r>
          </w:p>
        </w:tc>
      </w:tr>
      <w:tr>
        <w:trPr>
          <w:trHeight w:val="230"/>
        </w:trPr>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18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9, 2017, 20,065,415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r>
      <w:tr>
        <w:trPr>
          <w:trHeight w:val="237"/>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30"/>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356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 and short-term investments</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7,295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in Eton Pharmaceuticals, Inc.</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r>
      <w:tr>
        <w:trPr>
          <w:trHeight w:val="257"/>
        </w:trPr>
        <w:tc>
          <w:tcPr>
            <w:tcW w:w="80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37"/>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8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Note payable and paid-in-kind interest, net of unamortized debt discount and current portion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7,937</w:t>
            </w:r>
          </w:p>
        </w:tc>
      </w:tr>
      <w:tr>
        <w:trPr>
          <w:trHeight w:val="236"/>
        </w:trPr>
        <w:tc>
          <w:tcPr>
            <w:tcW w:w="8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00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Common stock, $0.001 par value, 90,000,000 shares authorized, 20,065,415 and 18,627,915 shares</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June 30, 2017 and December 31, 2016, respectively</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87,999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83,264</w:t>
            </w:r>
          </w:p>
        </w:tc>
      </w:tr>
      <w:tr>
        <w:trPr>
          <w:trHeight w:val="25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(80,373)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(76,851)</w:t>
            </w:r>
          </w:p>
        </w:tc>
      </w:tr>
      <w:tr>
        <w:trPr>
          <w:trHeight w:val="210"/>
        </w:trPr>
        <w:tc>
          <w:tcPr>
            <w:tcW w:w="80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7,646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6,432</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8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00"/>
              <w:spacing w:after="0"/>
              <w:rPr>
                <w:sz w:val="20"/>
                <w:szCs w:val="20"/>
                <w:color w:val="auto"/>
              </w:rPr>
            </w:pPr>
            <w:r>
              <w:rPr>
                <w:rFonts w:ascii="Arial" w:cs="Arial" w:eastAsia="Arial" w:hAnsi="Arial"/>
                <w:sz w:val="18"/>
                <w:szCs w:val="18"/>
                <w:color w:val="auto"/>
              </w:rPr>
              <w:t>For the</w:t>
            </w:r>
          </w:p>
        </w:tc>
        <w:tc>
          <w:tcPr>
            <w:tcW w:w="10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Six Months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72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6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6,849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4,902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12,938</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6,857</w:t>
            </w:r>
          </w:p>
        </w:tc>
        <w:tc>
          <w:tcPr>
            <w:tcW w:w="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4,907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12,954</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9,288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3,569</w:t>
            </w:r>
          </w:p>
        </w:tc>
        <w:tc>
          <w:tcPr>
            <w:tcW w:w="3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2,270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4,439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(3,017</w:t>
            </w:r>
          </w:p>
        </w:tc>
        <w:tc>
          <w:tcPr>
            <w:tcW w:w="360" w:type="dxa"/>
            <w:vAlign w:val="bottom"/>
            <w:tcBorders>
              <w:bottom w:val="single" w:sz="8" w:color="CCEEFF"/>
            </w:tcBorders>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(7,248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derivative</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Equity in loss of Eton Pharmaceuticals</w:t>
            </w:r>
          </w:p>
        </w:tc>
        <w:tc>
          <w:tcPr>
            <w:tcW w:w="100" w:type="dxa"/>
            <w:vAlign w:val="bottom"/>
          </w:tcPr>
          <w:p>
            <w:pPr>
              <w:spacing w:after="0"/>
              <w:rPr>
                <w:sz w:val="20"/>
                <w:szCs w:val="20"/>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40" w:type="dxa"/>
            <w:vAlign w:val="bottom"/>
            <w:tcBorders>
              <w:top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Gain on deconsolidation of Eton</w:t>
            </w:r>
          </w:p>
        </w:tc>
        <w:tc>
          <w:tcPr>
            <w:tcW w:w="1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Pharmaceuticals</w:t>
            </w:r>
          </w:p>
        </w:tc>
        <w:tc>
          <w:tcPr>
            <w:tcW w:w="1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20"/>
                <w:szCs w:val="20"/>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(4,639)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(3,578)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net</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3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34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Basic net income (loss) per share of</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Diluted net income (loss) per share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55"/>
        </w:trPr>
        <w:tc>
          <w:tcPr>
            <w:tcW w:w="34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basic</w:t>
            </w:r>
          </w:p>
        </w:tc>
        <w:tc>
          <w:tcPr>
            <w:tcW w:w="10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20,209,821</w:t>
            </w: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13,332,645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19,572,051</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11,870,037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60"/>
              <w:spacing w:after="0"/>
              <w:rPr>
                <w:sz w:val="20"/>
                <w:szCs w:val="20"/>
                <w:color w:val="auto"/>
              </w:rPr>
            </w:pPr>
            <w:r>
              <w:rPr>
                <w:rFonts w:ascii="Arial" w:cs="Arial" w:eastAsia="Arial" w:hAnsi="Arial"/>
                <w:sz w:val="18"/>
                <w:szCs w:val="18"/>
                <w:color w:val="auto"/>
              </w:rPr>
              <w:t>outstanding, diluted</w:t>
            </w:r>
          </w:p>
        </w:tc>
        <w:tc>
          <w:tcPr>
            <w:tcW w:w="100" w:type="dxa"/>
            <w:vAlign w:val="bottom"/>
          </w:tcPr>
          <w:p>
            <w:pPr>
              <w:spacing w:after="0"/>
              <w:rPr>
                <w:sz w:val="22"/>
                <w:szCs w:val="22"/>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23,177,881</w:t>
            </w:r>
          </w:p>
        </w:tc>
        <w:tc>
          <w:tcPr>
            <w:tcW w:w="100" w:type="dxa"/>
            <w:vAlign w:val="bottom"/>
          </w:tcPr>
          <w:p>
            <w:pPr>
              <w:spacing w:after="0"/>
              <w:rPr>
                <w:sz w:val="22"/>
                <w:szCs w:val="22"/>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13,332,645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19,572,051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11,870,037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UNAUDTIED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8"/>
                <w:szCs w:val="18"/>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(3,522)</w:t>
            </w: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Depreciation and amortization of furniture and equipment</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2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added to principal of note payable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Gain from the deconsolidation of Eton Pharmaceuticals, Inc.</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loss from Eton Pharmaceuticals, Inc.</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Loss on write down of assets held for sale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assets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assets and liabilities, net asset sales: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2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Pharmacy Creations contingent acquisition obligation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license assets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Principal payments on note payable</w:t>
            </w: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note payable, net of issuance costs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rPr>
              <w:t>Net proceeds from exercise of warrants and stock options, net of</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taxes remitted for RSU’s</w:t>
            </w:r>
          </w:p>
        </w:tc>
        <w:tc>
          <w:tcPr>
            <w:tcW w:w="28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(4,688)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interest</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of embedded conversion feature recorded as debt</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and derivative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Reclassification of the fair value of the embedded conversion feature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derivative liability to additional paid-in capital upon closing of</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the public equity offering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Reclassification of the fair value of the LSAF warrant from</w:t>
            </w:r>
          </w:p>
        </w:tc>
        <w:tc>
          <w:tcPr>
            <w:tcW w:w="2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 to derivative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Reclassification of the fair value of the LSAF warrant derivative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liability to additional paid-in capital upon closing of the public</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equity offering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Issuance of common stock and to settle contingent acquisition</w:t>
            </w:r>
          </w:p>
        </w:tc>
        <w:tc>
          <w:tcPr>
            <w:tcW w:w="2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related to the purchase of PC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Issuance of stock options for consulting services included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 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980" w:type="dxa"/>
            <w:vAlign w:val="bottom"/>
            <w:tcBorders>
              <w:top w:val="single" w:sz="8" w:color="CCEEFF"/>
            </w:tcBorders>
            <w:shd w:val="clear" w:color="auto" w:fill="CCEEFF"/>
          </w:tcPr>
          <w:p>
            <w:pPr>
              <w:ind w:left="160"/>
              <w:spacing w:after="0" w:line="156" w:lineRule="exact"/>
              <w:rPr>
                <w:sz w:val="20"/>
                <w:szCs w:val="20"/>
                <w:color w:val="auto"/>
              </w:rPr>
            </w:pPr>
            <w:r>
              <w:rPr>
                <w:rFonts w:ascii="Arial" w:cs="Arial" w:eastAsia="Arial" w:hAnsi="Arial"/>
                <w:sz w:val="18"/>
                <w:szCs w:val="18"/>
                <w:color w:val="auto"/>
              </w:rPr>
              <w:t>Purchase of property, plant and equipment included in</w:t>
            </w:r>
          </w:p>
        </w:tc>
        <w:tc>
          <w:tcPr>
            <w:tcW w:w="280" w:type="dxa"/>
            <w:vAlign w:val="bottom"/>
            <w:tcBorders>
              <w:top w:val="single" w:sz="8" w:color="auto"/>
            </w:tcBorders>
            <w:shd w:val="clear" w:color="auto" w:fill="CCEEFF"/>
          </w:tcPr>
          <w:p>
            <w:pPr>
              <w:jc w:val="right"/>
              <w:ind w:right="90"/>
              <w:spacing w:after="0" w:line="15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1"/>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61" w:right="239" w:bottom="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The accompanying notes are an integral part of these unaudited condensed consolidated financial statements</w:t>
      </w:r>
    </w:p>
    <w:p>
      <w:pPr>
        <w:sectPr>
          <w:pgSz w:w="11900" w:h="16838" w:orient="portrait"/>
          <w:cols w:equalWidth="0" w:num="1">
            <w:col w:w="9019"/>
          </w:cols>
          <w:pgMar w:left="1440" w:top="422" w:right="1440" w:bottom="1440" w:gutter="0" w:footer="0" w:header="0"/>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production and dispensing facilities located in California and New Jersey.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2017 are not necessarily indicative of the results that may be expected for the year ending December 31, 2017 or for any other period. For further information, refer to the Company’s audited consolidated financial statements and footnotes thereto included in the Company’s Annual Report on Form 10-K for the year ended December 31,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six months ended June 30, 2017 to the significant accounting policies described in the Company’s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$3,522 and $9,135 for the six months ended June 30, 2017 and 2016, respectively, and had an accumulated deficit of $80,373 and $76,851 as of June 30, 2017 and December 31, 2016, respectively. In addition, the Company used cash in operating activities of $6,285 and $5,068 for the six months ended June 30, 2017 and 2016,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the Company believes its existing cash resources and restricted cash of approximately $4,365 at June 30, 2017, along with proceeds from the SWK Loan (see Notes 10 and 15),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seek to increase liquidity and capital resources by one or more measures, to the extent necessary. These measures may include, but are not limited to, the following: the sale of assets and/or businesses, obtaining financing through the issuance of equity, debt, or convertible securities; and working to increase revenue growth through pharmacy sales. There is no guarantee that the Company will be able to obtain capital when needed on terms it deems as acceptable,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2017, the Company formed Eton Pharmaceuticals, Inc. (“Eton”) as a wholly owned subsidiary. In June 2017, Eton entered into and closed on definitive stock purchase agreements with accredited investors for the purchase of Eton’s Series A Preferred Stock that resulted in net proceeds to Eton, after deducting placement agent fees and other expenses, of approximately $18,000. At the time of closing, the Company lost voting and ownership control of Eton and it ceased consolidating Eton’s financial statements. At the time of deconsolidation, the Company recorded a gain of $5,725 and adjusted the carrying value in Eton to reflect the increased valuation of Eton and the Company’s new ownership percent in accordance with Accounting Standard Codification (“ASC”) 810-10-40-4(c), </w:t>
      </w:r>
      <w:r>
        <w:rPr>
          <w:rFonts w:ascii="Arial" w:cs="Arial" w:eastAsia="Arial" w:hAnsi="Arial"/>
          <w:sz w:val="18"/>
          <w:szCs w:val="18"/>
          <w:i w:val="1"/>
          <w:iCs w:val="1"/>
          <w:color w:val="auto"/>
        </w:rPr>
        <w:t>Consolidation</w:t>
      </w:r>
      <w:r>
        <w:rPr>
          <w:rFonts w:ascii="Arial" w:cs="Arial" w:eastAsia="Arial" w:hAnsi="Arial"/>
          <w:sz w:val="18"/>
          <w:szCs w:val="18"/>
          <w:color w:val="auto"/>
        </w:rPr>
        <w: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owns 3,500,000 common shares (approximately 27% equity interest as of June 30, 2017)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three and six months ended June 30, 2017, the Company recorded equity in net loss of Eton of $216. As of June 30, 2017, the carrying value of the Company’s investment in Eton was $5,509.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income (loss) attributable to common stockholders for the period by the weighted average number of common shares outstanding during the period. Diluted income (loss) per share is computed by dividing the income (loss) attributable to common stockholders for the period by the weighted average number of common and common equivalent shares, such as stock options and warrants, outstanding during the period.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and diluted net income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9,404,755 and 4,341,044 at June 30, 2017 and 2016, respectively, and, except for the three months ended June 30, 2017, are excluded from the calculation of diluted net (loss) per share for the periods presented,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June 30, 2017 and 2016 was 105,621 and 266,621,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income (loss) per share of common stock for the three and six months ended June 30, 2017 and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For the</w:t>
            </w:r>
          </w:p>
        </w:tc>
        <w:tc>
          <w:tcPr>
            <w:tcW w:w="20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0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June 30, 2017</w:t>
            </w:r>
          </w:p>
        </w:tc>
        <w:tc>
          <w:tcPr>
            <w:tcW w:w="20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 2016</w:t>
            </w:r>
          </w:p>
        </w:tc>
        <w:tc>
          <w:tcPr>
            <w:tcW w:w="0" w:type="dxa"/>
            <w:vAlign w:val="bottom"/>
          </w:tcPr>
          <w:p>
            <w:pPr>
              <w:spacing w:after="0"/>
              <w:rPr>
                <w:sz w:val="1"/>
                <w:szCs w:val="1"/>
                <w:color w:val="auto"/>
              </w:rPr>
            </w:pPr>
          </w:p>
        </w:tc>
      </w:tr>
      <w:tr>
        <w:trPr>
          <w:trHeight w:val="230"/>
        </w:trPr>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income (loss)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line="195" w:lineRule="exact"/>
              <w:rPr>
                <w:sz w:val="20"/>
                <w:szCs w:val="20"/>
                <w:color w:val="auto"/>
              </w:rPr>
            </w:pPr>
            <w:r>
              <w:rPr>
                <w:rFonts w:ascii="Arial" w:cs="Arial" w:eastAsia="Arial" w:hAnsi="Arial"/>
                <w:sz w:val="18"/>
                <w:szCs w:val="18"/>
                <w:color w:val="auto"/>
              </w:rPr>
              <w:t>Denominator – weighted</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60"/>
              <w:spacing w:after="0"/>
              <w:rPr>
                <w:sz w:val="20"/>
                <w:szCs w:val="20"/>
                <w:color w:val="auto"/>
              </w:rPr>
            </w:pPr>
            <w:r>
              <w:rPr>
                <w:rFonts w:ascii="Arial" w:cs="Arial" w:eastAsia="Arial" w:hAnsi="Arial"/>
                <w:sz w:val="18"/>
                <w:szCs w:val="18"/>
                <w:color w:val="auto"/>
              </w:rPr>
              <w:t>number of shares outstanding,</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54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2340" w:type="dxa"/>
            <w:vAlign w:val="bottom"/>
            <w:gridSpan w:val="2"/>
          </w:tcPr>
          <w:p>
            <w:pPr>
              <w:jc w:val="right"/>
              <w:ind w:right="360"/>
              <w:spacing w:after="0"/>
              <w:rPr>
                <w:sz w:val="20"/>
                <w:szCs w:val="20"/>
                <w:color w:val="auto"/>
              </w:rPr>
            </w:pPr>
            <w:r>
              <w:rPr>
                <w:rFonts w:ascii="Arial" w:cs="Arial" w:eastAsia="Arial" w:hAnsi="Arial"/>
                <w:sz w:val="18"/>
                <w:szCs w:val="18"/>
                <w:color w:val="auto"/>
              </w:rPr>
              <w:t>20,209,821</w:t>
            </w:r>
          </w:p>
        </w:tc>
        <w:tc>
          <w:tcPr>
            <w:tcW w:w="200" w:type="dxa"/>
            <w:vAlign w:val="bottom"/>
          </w:tcPr>
          <w:p>
            <w:pPr>
              <w:spacing w:after="0"/>
              <w:rPr>
                <w:sz w:val="21"/>
                <w:szCs w:val="21"/>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13,332,645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19,572,051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11,870,037</w:t>
            </w:r>
          </w:p>
        </w:tc>
        <w:tc>
          <w:tcPr>
            <w:tcW w:w="0" w:type="dxa"/>
            <w:vAlign w:val="bottom"/>
          </w:tcPr>
          <w:p>
            <w:pPr>
              <w:spacing w:after="0"/>
              <w:rPr>
                <w:sz w:val="1"/>
                <w:szCs w:val="1"/>
                <w:color w:val="auto"/>
              </w:rPr>
            </w:pPr>
          </w:p>
        </w:tc>
      </w:tr>
      <w:tr>
        <w:trPr>
          <w:trHeight w:val="188"/>
        </w:trPr>
        <w:tc>
          <w:tcPr>
            <w:tcW w:w="2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2017, the Company had net income. As a result, the Company computed diluted net income per share using the weighted-average number of common shares and dilutive common equivalent shares outstanding during those periods. Diluted common equivalent shares for the three months ended June 30, 2017,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p>
        </w:tc>
        <w:tc>
          <w:tcPr>
            <w:tcW w:w="1700" w:type="dxa"/>
            <w:vAlign w:val="bottom"/>
            <w:gridSpan w:val="2"/>
          </w:tcPr>
          <w:p>
            <w:pPr>
              <w:ind w:left="560"/>
              <w:spacing w:after="0"/>
              <w:rPr>
                <w:sz w:val="20"/>
                <w:szCs w:val="20"/>
                <w:color w:val="auto"/>
              </w:rPr>
            </w:pPr>
            <w:r>
              <w:rPr>
                <w:rFonts w:ascii="Arial" w:cs="Arial" w:eastAsia="Arial" w:hAnsi="Arial"/>
                <w:sz w:val="18"/>
                <w:szCs w:val="18"/>
                <w:color w:val="auto"/>
              </w:rPr>
              <w:t>Shares</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Warrants</w:t>
            </w:r>
          </w:p>
        </w:tc>
        <w:tc>
          <w:tcPr>
            <w:tcW w:w="1620" w:type="dxa"/>
            <w:vAlign w:val="bottom"/>
          </w:tcPr>
          <w:p>
            <w:pPr>
              <w:jc w:val="right"/>
              <w:spacing w:after="0"/>
              <w:rPr>
                <w:sz w:val="20"/>
                <w:szCs w:val="20"/>
                <w:color w:val="auto"/>
              </w:rPr>
            </w:pPr>
            <w:r>
              <w:rPr>
                <w:rFonts w:ascii="Arial" w:cs="Arial" w:eastAsia="Arial" w:hAnsi="Arial"/>
                <w:sz w:val="18"/>
                <w:szCs w:val="18"/>
                <w:color w:val="auto"/>
              </w:rPr>
              <w:t>2,912,374</w:t>
            </w:r>
          </w:p>
        </w:tc>
        <w:tc>
          <w:tcPr>
            <w:tcW w:w="80" w:type="dxa"/>
            <w:vAlign w:val="bottom"/>
          </w:tcPr>
          <w:p>
            <w:pPr>
              <w:spacing w:after="0"/>
              <w:rPr>
                <w:sz w:val="18"/>
                <w:szCs w:val="18"/>
                <w:color w:val="auto"/>
              </w:rPr>
            </w:pPr>
          </w:p>
        </w:tc>
      </w:tr>
      <w:tr>
        <w:trPr>
          <w:trHeight w:val="250"/>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55,686</w:t>
            </w:r>
          </w:p>
        </w:tc>
      </w:tr>
      <w:tr>
        <w:trPr>
          <w:trHeight w:val="217"/>
        </w:trPr>
        <w:tc>
          <w:tcPr>
            <w:tcW w:w="6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Dilutive common equivalent shares</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2,968,060</w:t>
            </w:r>
          </w:p>
        </w:tc>
        <w:tc>
          <w:tcPr>
            <w:tcW w:w="80" w:type="dxa"/>
            <w:vAlign w:val="bottom"/>
            <w:tcBorders>
              <w:top w:val="single" w:sz="8" w:color="CCEEFF"/>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computation of diluted net income (loss) per share of common stock for the three and six months ended June 30,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Six Months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9"/>
                <w:szCs w:val="19"/>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30, 2017</w:t>
            </w:r>
          </w:p>
        </w:tc>
        <w:tc>
          <w:tcPr>
            <w:tcW w:w="10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30, 2016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(4,639)</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(3,522)</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Denominator – weighted average number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shares outstanding, basic</w:t>
            </w:r>
          </w:p>
        </w:tc>
        <w:tc>
          <w:tcPr>
            <w:tcW w:w="100" w:type="dxa"/>
            <w:vAlign w:val="bottom"/>
          </w:tcPr>
          <w:p>
            <w:pPr>
              <w:spacing w:after="0"/>
              <w:rPr>
                <w:sz w:val="20"/>
                <w:szCs w:val="20"/>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23,177,881</w:t>
            </w:r>
          </w:p>
        </w:tc>
        <w:tc>
          <w:tcPr>
            <w:tcW w:w="10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13,332,645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19,572,051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11,870,037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equivalents</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2,968,860</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8"/>
              </w:rPr>
              <w:t>Number of shares used for diluted earnings</w:t>
            </w: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440" w:type="dxa"/>
            <w:vAlign w:val="bottom"/>
            <w:gridSpan w:val="2"/>
          </w:tcPr>
          <w:p>
            <w:pPr>
              <w:spacing w:after="0"/>
              <w:rPr>
                <w:sz w:val="20"/>
                <w:szCs w:val="20"/>
                <w:color w:val="auto"/>
              </w:rPr>
            </w:pPr>
            <w:r>
              <w:rPr>
                <w:rFonts w:ascii="Arial" w:cs="Arial" w:eastAsia="Arial" w:hAnsi="Arial"/>
                <w:sz w:val="18"/>
                <w:szCs w:val="18"/>
                <w:color w:val="auto"/>
              </w:rPr>
              <w:t>per share computation</w:t>
            </w:r>
          </w:p>
        </w:tc>
        <w:tc>
          <w:tcPr>
            <w:tcW w:w="100" w:type="dxa"/>
            <w:vAlign w:val="bottom"/>
          </w:tcPr>
          <w:p>
            <w:pPr>
              <w:spacing w:after="0"/>
              <w:rPr>
                <w:sz w:val="21"/>
                <w:szCs w:val="21"/>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23,177,881</w:t>
            </w:r>
          </w:p>
        </w:tc>
        <w:tc>
          <w:tcPr>
            <w:tcW w:w="10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13,332,645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19,572,051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11,870,037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 Accounting</w:t>
      </w:r>
      <w:r>
        <w:rPr>
          <w:rFonts w:ascii="Arial" w:cs="Arial" w:eastAsia="Arial" w:hAnsi="Arial"/>
          <w:sz w:val="18"/>
          <w:szCs w:val="18"/>
          <w:color w:val="auto"/>
        </w:rPr>
        <w:t>, which addresses certain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 transactions. The Company adopted this standard on January 1, 2017. The adoption did not have a material impact on the Company’s financial position, results of operations and cash flows. Prior periods were not recast.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Company adopted this standard on January 1, 2017. The adoption did not have a material impact on the Company’s financial position, results of operations and cash flows. Prior periods were not recast.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lease rights and obligations arising from lease contracts, including existing and new arrangements, with terms more than 12 months to be recognized as assets and liabilities on the balance sheet. Recognition, measurement and presentation of expenses will depend on classification as a finance or operating lease. The amendments also require certain quantitative and qualitative disclosures about leasing arrangements.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which revises the definition of a business and provides new guidance in evaluating when a set of transferred assets and activities is a business. ASU 2017-01 is effective for reporting periods beginning after December 15, 2017 with early adoption permitted. The Company does not expect the ASU 2017-01 to have a material impact on the Company’s financial position,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ETON PHARMACEUTICALS, INC. AND AGREEMENTS - RELATED PARTY TRANSACTIONS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2017, the Company entered into two asset purchase and license agreements (the “Eton License Agreements”) with its previously wholly owned subsidiary, Eton.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six percent (6%) of net sales of the Eton Products while any patent rights remain outstanding and then three percent (3%) of net sales thereafter. In addition, Eton is required to make certain milestone payments to the Company including payments of $50,000 upon initial patent issuances for each Eton Product. The Eton License Agreements were conditioned upon Eton receiving net proceeds of the sale of its equity securities of not less than $10,000, which occurred in June 2017. See also Note 2, under the subheading </w:t>
      </w:r>
      <w:r>
        <w:rPr>
          <w:rFonts w:ascii="Arial" w:cs="Arial" w:eastAsia="Arial" w:hAnsi="Arial"/>
          <w:sz w:val="18"/>
          <w:szCs w:val="18"/>
          <w:i w:val="1"/>
          <w:iCs w:val="1"/>
          <w:color w:val="auto"/>
        </w:rPr>
        <w:t>Investment in Eton</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Pharmaceuticals, Inc.</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2017, the Company and Eton entered into a Management Services Agreement (the “MSA”), whereby the Company will provide to Eton certain administrative services and support, including bookkeeping, web services and human resources related activities, and Eton will pay the Company a monthly amount of $10. The MSA is terminable by either party upon written notice.</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three and six months ended June 30, 2017, the Company incurred expenses that are reimbursable by Eton totaling $47, and no payments were made by Eton to the Company. As of June 30, 2017, the Company was due $67 from Eton for reimbursable expenses and amounts due under the MSA and included in prepaid expenses and other current assets on the accompanying condensed consolidated balance sheets.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owns approximately 27% of Eton. The Company’s Chief Executive Officer, Mark L. Baum, is a director of Eton, and several employees of the Company (including Mr. Baum and the Company’s Chief Financial Officer, Andrew R. Boll) have entered into consulting agreements with Eton.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Eton is summarized below (in thousands):</w:t>
      </w:r>
    </w:p>
    <w:p>
      <w:pPr>
        <w:spacing w:after="0" w:line="225"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From the period beginning</w:t>
      </w:r>
    </w:p>
    <w:p>
      <w:pPr>
        <w:spacing w:after="0" w:line="23"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April 27, 2017 (inception)</w:t>
      </w:r>
    </w:p>
    <w:p>
      <w:pPr>
        <w:spacing w:after="0" w:line="9"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to June 30,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9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r>
      <w:tr>
        <w:trPr>
          <w:trHeight w:val="237"/>
        </w:trPr>
        <w:tc>
          <w:tcPr>
            <w:tcW w:w="252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At June 30,</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3"/>
              </w:rPr>
              <w:t>18,134</w:t>
            </w:r>
          </w:p>
        </w:tc>
        <w:tc>
          <w:tcPr>
            <w:tcW w:w="80" w:type="dxa"/>
            <w:vAlign w:val="bottom"/>
            <w:tcBorders>
              <w:bottom w:val="single" w:sz="8" w:color="CCEEFF"/>
            </w:tcBorders>
            <w:shd w:val="clear" w:color="auto" w:fill="CCEEFF"/>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3"/>
              </w:rPr>
              <w:t>18,134</w:t>
            </w:r>
          </w:p>
        </w:tc>
        <w:tc>
          <w:tcPr>
            <w:tcW w:w="80" w:type="dxa"/>
            <w:vAlign w:val="bottom"/>
            <w:tcBorders>
              <w:bottom w:val="single" w:sz="8" w:color="CCEEFF"/>
            </w:tcBorders>
          </w:tcPr>
          <w:p>
            <w:pPr>
              <w:spacing w:after="0"/>
              <w:rPr>
                <w:sz w:val="22"/>
                <w:szCs w:val="22"/>
                <w:color w:val="auto"/>
              </w:rPr>
            </w:pP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147</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17,987</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3"/>
              </w:rPr>
              <w:t>18,134</w:t>
            </w:r>
          </w:p>
        </w:tc>
        <w:tc>
          <w:tcPr>
            <w:tcW w:w="80" w:type="dxa"/>
            <w:vAlign w:val="bottom"/>
            <w:tcBorders>
              <w:top w:val="single" w:sz="8" w:color="CCEEFF"/>
            </w:tcBorders>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June 30, 2017 and December 31, 2016 consisted of funds held in a money market account. At June 30, 2017 and December 31, 2016,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and December 31, 2016,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June 30, 2017 and December 31, 2016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5"/>
              </w:rPr>
              <w:t>Prepaid expenses and other current assets consisted of the following:</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5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1"/>
                <w:szCs w:val="2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 SALES AND HELD FOR SALE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27, 2017, the Company entered into an Asset Purchase Agreement (the “PA Agreement”) with Creative Pharmacy Solutions Central, LLC (the “Buyers”). Under the terms of the PA Agreement, the Company sold substantially all its assets associated with its sinus related business, including but not limited to, certain intellectual property rights, trademarks, copyrights, inventories, equipment, customer lists, databases, permits, licenses, and assignment of the Company’s lease obligation for its Pennsylvania based pharmacy (the “PA Assets”), for a total purchase price of approximately $450.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PA Agreement, the Buyers, upon closing, paid to the Company an aggregate cash amount of $40. In addition, the Buyers are obligated to pay the remaining $410 in the form of a note that will bear interest at 6% per annum (the “Sellers Note”). The Buyers will make forty-eight monthly cash payments to the Company of $10 each month over the four years following the closing, totaling $462; provided however, that the Buyer will have the option to make a one-time payment of $365 any time prior to December 31, 2017, and the Company will waive any remaining amounts due on the Sellers Note. The principal amount of the Sellers Note may also be reduced by $125, if after a period of 60 days following the closing, certain revenues associated with the PA Assets are less than 60% of the revenues associated with the PA Assets during the 60 days prior to the close of the transaction. The closing of this transaction occurred on July 14, 2017.</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At June 30, 2017, the Company has listed the PA Assets on its condensed consolidated balance sheet as held for sale, and during the three and six months ended June 30, 2017, recorded a loss related to the PA Assets of $69.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2017, in a separate transaction, the Company entered into an agreement to sell certain equipment to a third party for amount of $70. The Company has listed this equipment on its condensed consolidated balance sheet as held for sale, and during the three and six months ended June 30, 2017, recorded a loss related to equipment of $42.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Assets held for sale consisted of the following:</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4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413</w:t>
            </w:r>
          </w:p>
        </w:tc>
        <w:tc>
          <w:tcPr>
            <w:tcW w:w="80" w:type="dxa"/>
            <w:vAlign w:val="bottom"/>
            <w:shd w:val="clear" w:color="auto" w:fill="CCEEFF"/>
          </w:tcPr>
          <w:p>
            <w:pPr>
              <w:spacing w:after="0"/>
              <w:rPr>
                <w:sz w:val="18"/>
                <w:szCs w:val="18"/>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2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218</w:t>
            </w:r>
          </w:p>
        </w:tc>
      </w:tr>
      <w:tr>
        <w:trPr>
          <w:trHeight w:val="216"/>
        </w:trPr>
        <w:tc>
          <w:tcPr>
            <w:tcW w:w="5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631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Loss on asset sale</w:t>
            </w:r>
          </w:p>
        </w:tc>
        <w:tc>
          <w:tcPr>
            <w:tcW w:w="220" w:type="dxa"/>
            <w:vAlign w:val="bottom"/>
          </w:tcPr>
          <w:p>
            <w:pPr>
              <w:spacing w:after="0"/>
              <w:rPr>
                <w:sz w:val="20"/>
                <w:szCs w:val="20"/>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w w:val="85"/>
              </w:rPr>
              <w:t>(111)</w:t>
            </w: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available for sale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520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2017, the Company entered into a stock purchase agreement (the “SPA”) with Livernois &amp; London, LLC (“Livernois”). Pursuant to the terms of the SPA, the Company sold to Livernois 100% of the issued and outstanding shares of common stock of its Texas based subsidiary, ImprimisRx TX, Inc. dba ImprimisRx (“Imprimis TX”). The SPA did not transfer to Livernois any of the Company’s rights to intellectual property, products, clients, nor any of its existing business operations. As consideration for the purchase of Imprimis TX, Livernois paid the Company $10 and the Company assigned, and Livernois assumed, the remaining lease obligation totaling $113 for the Texas based facility. The Company recorded a loss of $158 and $173 from the sale of Imprimis TX for the three and six months ended June 30, 2017, respectively, which is included in the accompanying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June 30, 2017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periods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740" w:type="dxa"/>
            <w:vAlign w:val="bottom"/>
          </w:tcPr>
          <w:p>
            <w:pPr>
              <w:spacing w:after="0"/>
              <w:rPr>
                <w:sz w:val="20"/>
                <w:szCs w:val="20"/>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 years)</w:t>
            </w:r>
          </w:p>
        </w:tc>
        <w:tc>
          <w:tcPr>
            <w:tcW w:w="28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Impairment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Licenses</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20 years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Indefinite</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3-15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5 years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3-4 years</w:t>
            </w:r>
          </w:p>
        </w:tc>
        <w:tc>
          <w:tcPr>
            <w:tcW w:w="2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5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25 years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7"/>
        </w:trPr>
        <w:tc>
          <w:tcPr>
            <w:tcW w:w="27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360" w:type="dxa"/>
            <w:vAlign w:val="bottom"/>
            <w:tcBorders>
              <w:top w:val="single" w:sz="8" w:color="CCEEFF"/>
            </w:tcBorders>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Borders>
              <w:top w:val="single" w:sz="8" w:color="CCEEFF"/>
            </w:tcBorders>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Amortization expense for intangible assets for the three and six months ended June 30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Six Months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Six Months</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r>
      <w:tr>
        <w:trPr>
          <w:trHeight w:val="237"/>
        </w:trPr>
        <w:tc>
          <w:tcPr>
            <w:tcW w:w="5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Licenses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June 30, 2017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16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37"/>
        </w:trPr>
        <w:tc>
          <w:tcPr>
            <w:tcW w:w="2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60" w:type="dxa"/>
            <w:vAlign w:val="bottom"/>
            <w:tcBorders>
              <w:bottom w:val="single" w:sz="8" w:color="CCEEFF"/>
            </w:tcBorders>
          </w:tcPr>
          <w:p>
            <w:pPr>
              <w:spacing w:after="0"/>
              <w:rPr>
                <w:sz w:val="20"/>
                <w:szCs w:val="20"/>
                <w:color w:val="auto"/>
              </w:rPr>
            </w:pPr>
          </w:p>
        </w:tc>
      </w:tr>
      <w:tr>
        <w:trPr>
          <w:trHeight w:val="230"/>
        </w:trPr>
        <w:tc>
          <w:tcPr>
            <w:tcW w:w="2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six months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9. ACCOUNTS PAYABLE AND ACCRUED EXPENSES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w w:val="98"/>
              </w:rPr>
              <w:t>Accounts payable and accrued expenses consisted of the following:</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c>
          <w:tcPr>
            <w:tcW w:w="2860" w:type="dxa"/>
            <w:vAlign w:val="bottom"/>
          </w:tcPr>
          <w:p>
            <w:pPr>
              <w:spacing w:after="0"/>
              <w:rPr>
                <w:sz w:val="24"/>
                <w:szCs w:val="24"/>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286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28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28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2860" w:type="dxa"/>
            <w:vAlign w:val="bottom"/>
          </w:tcPr>
          <w:p>
            <w:pPr>
              <w:spacing w:after="0"/>
              <w:rPr>
                <w:sz w:val="18"/>
                <w:szCs w:val="18"/>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860" w:type="dxa"/>
            <w:vAlign w:val="bottom"/>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4,011</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4,205</w:t>
            </w:r>
          </w:p>
        </w:tc>
        <w:tc>
          <w:tcPr>
            <w:tcW w:w="80" w:type="dxa"/>
            <w:vAlign w:val="bottom"/>
            <w:tcBorders>
              <w:top w:val="single" w:sz="8" w:color="CCEEFF"/>
            </w:tcBorders>
          </w:tcPr>
          <w:p>
            <w:pPr>
              <w:spacing w:after="0"/>
              <w:rPr>
                <w:sz w:val="17"/>
                <w:szCs w:val="17"/>
                <w:color w:val="auto"/>
              </w:rPr>
            </w:pPr>
          </w:p>
        </w:tc>
        <w:tc>
          <w:tcPr>
            <w:tcW w:w="2860" w:type="dxa"/>
            <w:vAlign w:val="bottom"/>
          </w:tcPr>
          <w:p>
            <w:pPr>
              <w:spacing w:after="0"/>
              <w:rPr>
                <w:sz w:val="17"/>
                <w:szCs w:val="17"/>
                <w:color w:val="auto"/>
              </w:rPr>
            </w:pPr>
          </w:p>
        </w:tc>
      </w:tr>
      <w:tr>
        <w:trPr>
          <w:trHeight w:val="23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(3,538)</w:t>
            </w:r>
          </w:p>
        </w:tc>
        <w:tc>
          <w:tcPr>
            <w:tcW w:w="2860" w:type="dxa"/>
            <w:vAlign w:val="bottom"/>
          </w:tcPr>
          <w:p>
            <w:pPr>
              <w:spacing w:after="0"/>
              <w:rPr>
                <w:sz w:val="20"/>
                <w:szCs w:val="20"/>
                <w:color w:val="auto"/>
              </w:rPr>
            </w:pPr>
          </w:p>
        </w:tc>
      </w:tr>
      <w:tr>
        <w:trPr>
          <w:trHeight w:val="203"/>
        </w:trPr>
        <w:tc>
          <w:tcPr>
            <w:tcW w:w="5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Non-current total accrued expenses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w:t>
            </w:r>
          </w:p>
        </w:tc>
        <w:tc>
          <w:tcPr>
            <w:tcW w:w="80" w:type="dxa"/>
            <w:vAlign w:val="bottom"/>
            <w:tcBorders>
              <w:top w:val="single" w:sz="8" w:color="CCEEFF"/>
            </w:tcBorders>
          </w:tcPr>
          <w:p>
            <w:pPr>
              <w:spacing w:after="0"/>
              <w:rPr>
                <w:sz w:val="17"/>
                <w:szCs w:val="17"/>
                <w:color w:val="auto"/>
              </w:rPr>
            </w:pPr>
          </w:p>
        </w:tc>
        <w:tc>
          <w:tcPr>
            <w:tcW w:w="286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20"/>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Life Sciences Alternative Funding, LLC (“LSAF”) originally entered into a loan and security agreement (the “LSAF Loan”) on May, 11, 2015, which was most recently amended on December 27, 2016. At June 30, 2017, the outstanding principal balance was $12,732 and the related unamortized discount was $884. The discount is being amortized to interest expense over the term of the note using the effective interest method. During the three and six months ended June 30, 2017, debt discount amortization related to notes payable were $251 and $539, respectively, and $264 and $526 during the three and six months ended June 30, 2016, respectively.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the Company entered into a term loan and security agreement in the principal amount of $16,000 (the “SWK Loan Agreement” or “SWK Loan”) with SWK Funding LLC and its partners (the “SWK”), as lender and collateral agent. The SWK Loan Agreement was fully funded at closing with a five year term, however, such term may be reduced to four years if certain revenue requirements are not achieved. Concurrently with the funding, the Company utilized a portion of the SWK Loan funds as full payment to an affiliate of LSAF to terminate all amounts due to LSAF in connection with the LSAF Loan, which loan had a principal balance of $12,120 at the time of final payment. As a result of entering into the SWK Loan Agreement and concurrent retirement of the LSAF Loan, at June 30, 2017, the Company has classified the amounts due as long term on its condensed consolidated balance sheet as of June 30, 2017.</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SWK Loan bears interest at a variable rate equal to the three-month London Inter-Bank Offered Rate (subject to a minimum of 1.50% and maximum of 3.00%), plus an applicable margin of 10.50%. The SWK Loan Agreement permits the Company to pay interest only on the principal amount loaned thereunder for the first six payments (payments are due on a quarterly basis), which interest-only period may be reduced to four payments if the Company does not meet certain minimum revenue requirements. Following the interest-only period, the Company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or if certain revenue requirements are not met, July 19, 2021. The Company may elect to prepay all, but not less than all, of the amounts owed under the SWK Loan Agreement prior to the maturity date at any time after July 19, 2019. If certain revenue requirements are not met, the Company may be allowed to prepay the loan from July 19, 2018 to July 19, 2019, provided that a prepayment fee equal to 6% of the principal amount of the loan will also be due. The Company is also obligated under the SWK Loan Agreement to pay for certain expenses incurred by the SWK Lender through and after the date of the SWK Loan Agreement, including certain fees and expenses relating to the preparation and administration of the SWK Loan Agreement.</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SWK Loan Agreement, the Company issued to the SWK Lender warrants to purchase up to 415,586 shares of the Company’s common stock (the “Lender Warrants”). The Lender Warrants are exercisable immediately, have an exercise price of $3.08 per share and a term of 7 years. The SWK Lender Warrants are subject to a cashless exercise feature, with the exercise price and number of shares issuable upon exercise subject to change in connection with stock splits, dividends, reclassifications and other conditions.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NOTE 11. CAPITAL LEASE OBLIGATION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020" w:type="dxa"/>
            <w:vAlign w:val="bottom"/>
          </w:tcPr>
          <w:p>
            <w:pPr>
              <w:spacing w:after="0"/>
              <w:rPr>
                <w:sz w:val="20"/>
                <w:szCs w:val="20"/>
                <w:color w:val="auto"/>
              </w:rPr>
            </w:pPr>
            <w:r>
              <w:rPr>
                <w:rFonts w:ascii="Arial" w:cs="Arial" w:eastAsia="Arial" w:hAnsi="Arial"/>
                <w:sz w:val="18"/>
                <w:szCs w:val="18"/>
                <w:color w:val="auto"/>
              </w:rPr>
              <w:t>At June 30, 2017, future payments under the Company’s capital leases were as follows: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r>
      <w:tr>
        <w:trPr>
          <w:trHeight w:val="23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r>
      <w:tr>
        <w:trPr>
          <w:trHeight w:val="203"/>
        </w:trPr>
        <w:tc>
          <w:tcPr>
            <w:tcW w:w="7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1,911</w:t>
            </w:r>
          </w:p>
        </w:tc>
        <w:tc>
          <w:tcPr>
            <w:tcW w:w="80" w:type="dxa"/>
            <w:vAlign w:val="bottom"/>
            <w:tcBorders>
              <w:top w:val="single" w:sz="8" w:color="CCEEFF"/>
            </w:tcBorders>
          </w:tcPr>
          <w:p>
            <w:pPr>
              <w:spacing w:after="0"/>
              <w:rPr>
                <w:sz w:val="17"/>
                <w:szCs w:val="17"/>
                <w:color w:val="auto"/>
              </w:rPr>
            </w:pPr>
          </w:p>
        </w:tc>
      </w:tr>
      <w:tr>
        <w:trPr>
          <w:trHeight w:val="23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r>
      <w:tr>
        <w:trPr>
          <w:trHeight w:val="203"/>
        </w:trPr>
        <w:tc>
          <w:tcPr>
            <w:tcW w:w="7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1,748</w:t>
            </w:r>
          </w:p>
        </w:tc>
        <w:tc>
          <w:tcPr>
            <w:tcW w:w="80" w:type="dxa"/>
            <w:vAlign w:val="bottom"/>
            <w:tcBorders>
              <w:top w:val="single" w:sz="8" w:color="CCEEFF"/>
            </w:tcBorders>
          </w:tcPr>
          <w:p>
            <w:pPr>
              <w:spacing w:after="0"/>
              <w:rPr>
                <w:sz w:val="17"/>
                <w:szCs w:val="17"/>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r>
      <w:tr>
        <w:trPr>
          <w:trHeight w:val="230"/>
        </w:trPr>
        <w:tc>
          <w:tcPr>
            <w:tcW w:w="70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80" w:type="dxa"/>
            <w:vAlign w:val="bottom"/>
            <w:tcBorders>
              <w:top w:val="single" w:sz="8" w:color="CCEEFF"/>
            </w:tcBorders>
          </w:tcPr>
          <w:p>
            <w:pPr>
              <w:spacing w:after="0"/>
              <w:rPr>
                <w:sz w:val="19"/>
                <w:szCs w:val="19"/>
                <w:color w:val="auto"/>
              </w:rPr>
            </w:pPr>
          </w:p>
        </w:tc>
      </w:tr>
      <w:tr>
        <w:trPr>
          <w:trHeight w:val="23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r>
      <w:tr>
        <w:trPr>
          <w:trHeight w:val="203"/>
        </w:trPr>
        <w:tc>
          <w:tcPr>
            <w:tcW w:w="7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Capital lease obligation net of current portion and unamortized discount</w:t>
            </w:r>
          </w:p>
        </w:tc>
        <w:tc>
          <w:tcPr>
            <w:tcW w:w="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w:t>
            </w:r>
          </w:p>
        </w:tc>
        <w:tc>
          <w:tcPr>
            <w:tcW w:w="80" w:type="dxa"/>
            <w:vAlign w:val="bottom"/>
            <w:tcBorders>
              <w:top w:val="single" w:sz="8" w:color="CCEEFF"/>
            </w:tcBorders>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2017, debt discount amortization related to the capital lease obligation was $44 and $93, respectively.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entered into securities purchase agreements with two accredited investors, which provided for the sale by the Company of 1,312,500 shares of its common stock, at a price of $2.40 per share (the “Registered Offering”). We received net proceeds of $2,940 after deducting the underwriter discount of 6% of the gross proceeds from the Registered Offering and other 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March 2017, the Company issued 25,000 shares of its restricted common stock, with a fair value of $60, as payment for investor relations related services.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2017, the Company issued 100,000 shares of common stock as a result of warrant exercises. The Company received cash proceeds of $179 upon the exercise of the warrants with an exercise price of $1.79.</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did not sell any shares of common stock under the Sales Agreement during the six months ended June 30, 2017.</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2017, 25,376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On June 13, 2017, the Company’s Board of Directors and stockholders adopted the Company’s 2017 Incentive Stock and Awards Plan (the “2017 Plan” together with the 2007 Plan, the “Plans”)). As of June 30, 2017, the 2007 Plan and 2017 Plan provide for the issuance of a maximum of 5,000,000 and 2,000,000 shares of the Company’s common stock, respectively. The purpose of the Plans is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six months ended June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Weighted Avg.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Weighted Avg.</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Remaining Contractual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Exercise Price</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rPr>
              <w:t>Life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2017</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2,013,313</w:t>
            </w:r>
          </w:p>
        </w:tc>
        <w:tc>
          <w:tcPr>
            <w:tcW w:w="3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4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6.20</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Options granted</w:t>
            </w:r>
          </w:p>
        </w:tc>
        <w:tc>
          <w:tcPr>
            <w:tcW w:w="2080" w:type="dxa"/>
            <w:vAlign w:val="bottom"/>
            <w:gridSpan w:val="2"/>
          </w:tcPr>
          <w:p>
            <w:pPr>
              <w:jc w:val="right"/>
              <w:ind w:right="360"/>
              <w:spacing w:after="0"/>
              <w:rPr>
                <w:sz w:val="20"/>
                <w:szCs w:val="20"/>
                <w:color w:val="auto"/>
              </w:rPr>
            </w:pPr>
            <w:r>
              <w:rPr>
                <w:rFonts w:ascii="Arial" w:cs="Arial" w:eastAsia="Arial" w:hAnsi="Arial"/>
                <w:sz w:val="18"/>
                <w:szCs w:val="18"/>
                <w:color w:val="auto"/>
              </w:rPr>
              <w:t>397,500</w:t>
            </w:r>
          </w:p>
        </w:tc>
        <w:tc>
          <w:tcPr>
            <w:tcW w:w="1400" w:type="dxa"/>
            <w:vAlign w:val="bottom"/>
          </w:tcPr>
          <w:p>
            <w:pPr>
              <w:jc w:val="right"/>
              <w:ind w:right="1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2.58</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4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(111,147)</w:t>
            </w:r>
          </w:p>
        </w:tc>
        <w:tc>
          <w:tcPr>
            <w:tcW w:w="1400" w:type="dxa"/>
            <w:vAlign w:val="bottom"/>
          </w:tcPr>
          <w:p>
            <w:pPr>
              <w:jc w:val="right"/>
              <w:ind w:right="12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4.98</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2017</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2,299,666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jc w:val="right"/>
              <w:ind w:right="124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5.63</w:t>
            </w:r>
          </w:p>
        </w:tc>
        <w:tc>
          <w:tcPr>
            <w:tcW w:w="18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3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412,810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0" w:type="dxa"/>
            <w:vAlign w:val="bottom"/>
            <w:vMerge w:val="restart"/>
          </w:tcPr>
          <w:p>
            <w:pPr>
              <w:jc w:val="right"/>
              <w:ind w:right="1240"/>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ind w:left="20"/>
              <w:spacing w:after="0"/>
              <w:rPr>
                <w:sz w:val="20"/>
                <w:szCs w:val="20"/>
                <w:color w:val="auto"/>
              </w:rPr>
            </w:pPr>
            <w:r>
              <w:rPr>
                <w:rFonts w:ascii="Arial" w:cs="Arial" w:eastAsia="Arial" w:hAnsi="Arial"/>
                <w:sz w:val="18"/>
                <w:szCs w:val="18"/>
                <w:color w:val="auto"/>
              </w:rPr>
              <w:t>6.06</w:t>
            </w: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6.40</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129,100</w:t>
            </w:r>
          </w:p>
        </w:tc>
        <w:tc>
          <w:tcPr>
            <w:tcW w:w="0" w:type="dxa"/>
            <w:vAlign w:val="bottom"/>
          </w:tcPr>
          <w:p>
            <w:pPr>
              <w:spacing w:after="0" w:line="20" w:lineRule="exact"/>
              <w:rPr>
                <w:sz w:val="1"/>
                <w:szCs w:val="1"/>
                <w:color w:val="auto"/>
              </w:rPr>
            </w:pPr>
          </w:p>
        </w:tc>
      </w:tr>
      <w:tr>
        <w:trPr>
          <w:trHeight w:val="237"/>
        </w:trPr>
        <w:tc>
          <w:tcPr>
            <w:tcW w:w="344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854,582</w:t>
            </w:r>
          </w:p>
        </w:tc>
        <w:tc>
          <w:tcPr>
            <w:tcW w:w="3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gridSpan w:val="2"/>
            <w:vMerge w:val="continue"/>
          </w:tcPr>
          <w:p>
            <w:pPr>
              <w:spacing w:after="0"/>
              <w:rPr>
                <w:sz w:val="20"/>
                <w:szCs w:val="20"/>
                <w:color w:val="auto"/>
              </w:rPr>
            </w:pPr>
          </w:p>
        </w:tc>
        <w:tc>
          <w:tcPr>
            <w:tcW w:w="186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2,155,157</w:t>
            </w:r>
          </w:p>
        </w:tc>
        <w:tc>
          <w:tcPr>
            <w:tcW w:w="3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12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5.65</w:t>
            </w:r>
          </w:p>
        </w:tc>
        <w:tc>
          <w:tcPr>
            <w:tcW w:w="186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6.52</w:t>
            </w:r>
          </w:p>
        </w:tc>
        <w:tc>
          <w:tcPr>
            <w:tcW w:w="300" w:type="dxa"/>
            <w:vAlign w:val="bottom"/>
            <w:tcBorders>
              <w:bottom w:val="single" w:sz="8" w:color="CCEEFF"/>
            </w:tcBorders>
            <w:gridSpan w:val="2"/>
            <w:shd w:val="clear" w:color="auto" w:fill="CCEEFF"/>
          </w:tcPr>
          <w:p>
            <w:pPr>
              <w:jc w:val="right"/>
              <w:ind w:right="40"/>
              <w:spacing w:after="0" w:line="190"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384,439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vMerge w:val="restart"/>
          </w:tcPr>
          <w:p>
            <w:pPr>
              <w:jc w:val="right"/>
              <w:ind w:right="10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2017, based on the closing price of the Company’s common stock of $3.20 on that date.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 months ended June 30, 2017,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six months ended June 30, 2017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117 - 112%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1.82 – 2.01%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Options Outstanding</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ind w:left="78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24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Remaining</w:t>
            </w:r>
          </w:p>
        </w:tc>
        <w:tc>
          <w:tcPr>
            <w:tcW w:w="240" w:type="dxa"/>
            <w:vAlign w:val="bottom"/>
          </w:tcPr>
          <w:p>
            <w:pPr>
              <w:spacing w:after="0"/>
              <w:rPr>
                <w:sz w:val="18"/>
                <w:szCs w:val="18"/>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Number</w:t>
            </w: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300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Outstanding</w:t>
            </w: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Life in Years</w:t>
            </w:r>
          </w:p>
        </w:tc>
        <w:tc>
          <w:tcPr>
            <w:tcW w:w="240" w:type="dxa"/>
            <w:vAlign w:val="bottom"/>
          </w:tcPr>
          <w:p>
            <w:pPr>
              <w:spacing w:after="0"/>
              <w:rPr>
                <w:sz w:val="20"/>
                <w:szCs w:val="20"/>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Price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$ 2.23 - $2.60</w:t>
            </w:r>
          </w:p>
        </w:tc>
        <w:tc>
          <w:tcPr>
            <w:tcW w:w="3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462,000</w:t>
            </w:r>
          </w:p>
        </w:tc>
        <w:tc>
          <w:tcPr>
            <w:tcW w:w="3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$ 3.53</w:t>
            </w:r>
          </w:p>
        </w:tc>
        <w:tc>
          <w:tcPr>
            <w:tcW w:w="2180" w:type="dxa"/>
            <w:vAlign w:val="bottom"/>
          </w:tcPr>
          <w:p>
            <w:pPr>
              <w:ind w:left="20"/>
              <w:spacing w:after="0"/>
              <w:rPr>
                <w:sz w:val="20"/>
                <w:szCs w:val="20"/>
                <w:color w:val="auto"/>
              </w:rPr>
            </w:pPr>
            <w:r>
              <w:rPr>
                <w:rFonts w:ascii="Arial" w:cs="Arial" w:eastAsia="Arial" w:hAnsi="Arial"/>
                <w:sz w:val="18"/>
                <w:szCs w:val="18"/>
                <w:color w:val="auto"/>
              </w:rPr>
              <w:t>- $4.50</w:t>
            </w:r>
          </w:p>
        </w:tc>
        <w:tc>
          <w:tcPr>
            <w:tcW w:w="36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683,623</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8.40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3.98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222,164</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$ 5.49</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$6.36</w:t>
            </w: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110,100</w:t>
            </w: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102,282</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$ 6.64</w:t>
            </w:r>
          </w:p>
        </w:tc>
        <w:tc>
          <w:tcPr>
            <w:tcW w:w="2180" w:type="dxa"/>
            <w:vAlign w:val="bottom"/>
          </w:tcPr>
          <w:p>
            <w:pPr>
              <w:ind w:left="20"/>
              <w:spacing w:after="0"/>
              <w:rPr>
                <w:sz w:val="20"/>
                <w:szCs w:val="20"/>
                <w:color w:val="auto"/>
              </w:rPr>
            </w:pPr>
            <w:r>
              <w:rPr>
                <w:rFonts w:ascii="Arial" w:cs="Arial" w:eastAsia="Arial" w:hAnsi="Arial"/>
                <w:sz w:val="18"/>
                <w:szCs w:val="18"/>
                <w:color w:val="auto"/>
              </w:rPr>
              <w:t>- $8.99</w:t>
            </w:r>
          </w:p>
        </w:tc>
        <w:tc>
          <w:tcPr>
            <w:tcW w:w="36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1,038,913</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7.98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377,607</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$ 42.80</w:t>
            </w:r>
          </w:p>
        </w:tc>
        <w:tc>
          <w:tcPr>
            <w:tcW w:w="3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5,030</w:t>
            </w: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7"/>
        </w:trPr>
        <w:tc>
          <w:tcPr>
            <w:tcW w:w="4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87"/>
              </w:rPr>
              <w:t>$ 2.23</w:t>
            </w:r>
          </w:p>
        </w:tc>
        <w:tc>
          <w:tcPr>
            <w:tcW w:w="21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 $42.80</w:t>
            </w:r>
          </w:p>
        </w:tc>
        <w:tc>
          <w:tcPr>
            <w:tcW w:w="36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2,299,666</w:t>
            </w:r>
          </w:p>
        </w:tc>
        <w:tc>
          <w:tcPr>
            <w:tcW w:w="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6.68</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5.63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854,582</w:t>
            </w: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As of June 30, 2017, there was approximately $3,132 of total unrecognized compensation expense related to unvested stock options granted under the Plan. That expense is expected to be recognized over the weighted-average remaining vesting period of 2.8 years. The stock-based compensation expense for all stock options was $500 and $950 during the three and six months ended June 30,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 Average Grant</w:t>
            </w:r>
          </w:p>
        </w:tc>
      </w:tr>
      <w:tr>
        <w:trPr>
          <w:trHeight w:val="216"/>
        </w:trPr>
        <w:tc>
          <w:tcPr>
            <w:tcW w:w="7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Date Fair</w:t>
            </w:r>
          </w:p>
        </w:tc>
      </w:tr>
      <w:tr>
        <w:trPr>
          <w:trHeight w:val="237"/>
        </w:trPr>
        <w:tc>
          <w:tcPr>
            <w:tcW w:w="7100" w:type="dxa"/>
            <w:vAlign w:val="bottom"/>
          </w:tcPr>
          <w:p>
            <w:pPr>
              <w:spacing w:after="0"/>
              <w:rPr>
                <w:sz w:val="20"/>
                <w:szCs w:val="20"/>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Value</w:t>
            </w:r>
          </w:p>
        </w:tc>
      </w:tr>
      <w:tr>
        <w:trPr>
          <w:trHeight w:val="21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2017</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RSUs granted</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62,892</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2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(25,376)</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RSUs cancelled/forfeit</w:t>
            </w:r>
          </w:p>
        </w:tc>
        <w:tc>
          <w:tcPr>
            <w:tcW w:w="2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June 30, 2017</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0"/>
        </w:trPr>
        <w:tc>
          <w:tcPr>
            <w:tcW w:w="7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the total unrecognized compensation expense related to unvested RSUs was approximately $1,932, which is expected to be recognized over a weighted-average period of 1.3 years, based on estimated and actual vesting schedules of the applicable RSUs. The stock-based compensation for RSUs during the three and six months ended June 30, 2017 was $169 and $607.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ectPr>
          <w:pgSz w:w="11900" w:h="16838" w:orient="portrait"/>
          <w:cols w:equalWidth="0" w:num="1">
            <w:col w:w="11420"/>
          </w:cols>
          <w:pgMar w:left="240" w:top="66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six months ended June 30, 2017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and exercisable -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contractual life of the outstanding warrants in years - June 30, 2017</w:t>
      </w:r>
    </w:p>
    <w:p>
      <w:pPr>
        <w:spacing w:after="0" w:line="3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Number of Shares Subject to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w w:val="95"/>
              </w:rPr>
              <w:t>Weighted Avg.</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Warrants Outstanding</w:t>
            </w: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Exercise Price</w:t>
            </w:r>
          </w:p>
        </w:tc>
        <w:tc>
          <w:tcPr>
            <w:tcW w:w="0" w:type="dxa"/>
            <w:vAlign w:val="bottom"/>
          </w:tcPr>
          <w:p>
            <w:pPr>
              <w:spacing w:after="0"/>
              <w:rPr>
                <w:sz w:val="1"/>
                <w:szCs w:val="1"/>
                <w:color w:val="auto"/>
              </w:rPr>
            </w:pPr>
          </w:p>
        </w:tc>
      </w:tr>
      <w:tr>
        <w:trPr>
          <w:trHeight w:val="418"/>
        </w:trPr>
        <w:tc>
          <w:tcPr>
            <w:tcW w:w="2180" w:type="dxa"/>
            <w:vAlign w:val="bottom"/>
          </w:tcPr>
          <w:p>
            <w:pPr>
              <w:jc w:val="right"/>
              <w:spacing w:after="0"/>
              <w:rPr>
                <w:sz w:val="20"/>
                <w:szCs w:val="20"/>
                <w:color w:val="auto"/>
              </w:rPr>
            </w:pPr>
            <w:r>
              <w:rPr>
                <w:rFonts w:ascii="Arial" w:cs="Arial" w:eastAsia="Arial" w:hAnsi="Arial"/>
                <w:sz w:val="18"/>
                <w:szCs w:val="18"/>
                <w:color w:val="auto"/>
              </w:rPr>
              <w:t>5,748,829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jc w:val="right"/>
              <w:ind w:right="14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5,648,829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980" w:space="340"/>
            <w:col w:w="4100"/>
          </w:cols>
          <w:pgMar w:left="240" w:top="66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A list of the warrants outstanding as of June 30, 2017 is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Warrants Outstanding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4"/>
          </w:tcPr>
          <w:p>
            <w:pPr>
              <w:ind w:left="540"/>
              <w:spacing w:after="0"/>
              <w:rPr>
                <w:sz w:val="20"/>
                <w:szCs w:val="20"/>
                <w:color w:val="auto"/>
              </w:rPr>
            </w:pPr>
            <w:r>
              <w:rPr>
                <w:rFonts w:ascii="Arial" w:cs="Arial" w:eastAsia="Arial" w:hAnsi="Arial"/>
                <w:sz w:val="18"/>
                <w:szCs w:val="18"/>
                <w:color w:val="auto"/>
              </w:rPr>
              <w:t>Warrants Exercisable</w:t>
            </w:r>
          </w:p>
        </w:tc>
      </w:tr>
      <w:tr>
        <w:trPr>
          <w:trHeight w:val="215"/>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Warrants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Exercise</w:t>
            </w:r>
          </w:p>
        </w:tc>
        <w:tc>
          <w:tcPr>
            <w:tcW w:w="320" w:type="dxa"/>
            <w:vAlign w:val="bottom"/>
          </w:tcPr>
          <w:p>
            <w:pPr>
              <w:spacing w:after="0"/>
              <w:rPr>
                <w:sz w:val="18"/>
                <w:szCs w:val="18"/>
                <w:color w:val="auto"/>
              </w:rPr>
            </w:pPr>
          </w:p>
        </w:tc>
        <w:tc>
          <w:tcPr>
            <w:tcW w:w="14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7"/>
              </w:rPr>
              <w:t>Warrants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Issue Date</w:t>
            </w:r>
          </w:p>
        </w:tc>
        <w:tc>
          <w:tcPr>
            <w:tcW w:w="28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2/7/2013</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55,688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55,688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2/7/2018</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8/16/2016</w:t>
            </w:r>
          </w:p>
        </w:tc>
        <w:tc>
          <w:tcPr>
            <w:tcW w:w="1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8/16/2021</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7/19/2013</w:t>
            </w: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rPr>
              <w:t>60,000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7/19/2018</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 Warrants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12/27/2016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210,313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12/27/2019</w:t>
            </w: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PIPE Investor Warrants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12/27/2016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5,157,828</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5,157,828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12/27/2019</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5,648,829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5,648,829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20" w:type="dxa"/>
            <w:vAlign w:val="bottom"/>
          </w:tcPr>
          <w:p>
            <w:pPr>
              <w:jc w:val="center"/>
              <w:ind w:left="195"/>
              <w:spacing w:after="0"/>
              <w:rPr>
                <w:sz w:val="20"/>
                <w:szCs w:val="20"/>
                <w:color w:val="auto"/>
              </w:rPr>
            </w:pPr>
            <w:r>
              <w:rPr>
                <w:rFonts w:ascii="Arial" w:cs="Arial" w:eastAsia="Arial" w:hAnsi="Arial"/>
                <w:sz w:val="18"/>
                <w:szCs w:val="18"/>
                <w:color w:val="auto"/>
                <w:w w:val="91"/>
              </w:rPr>
              <w:t>For the</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For the</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r>
      <w:tr>
        <w:trPr>
          <w:trHeight w:val="216"/>
        </w:trPr>
        <w:tc>
          <w:tcPr>
            <w:tcW w:w="3900" w:type="dxa"/>
            <w:vAlign w:val="bottom"/>
          </w:tcPr>
          <w:p>
            <w:pPr>
              <w:spacing w:after="0"/>
              <w:rPr>
                <w:sz w:val="18"/>
                <w:szCs w:val="18"/>
                <w:color w:val="auto"/>
              </w:rPr>
            </w:pPr>
          </w:p>
        </w:tc>
        <w:tc>
          <w:tcPr>
            <w:tcW w:w="1320" w:type="dxa"/>
            <w:vAlign w:val="bottom"/>
          </w:tcPr>
          <w:p>
            <w:pPr>
              <w:jc w:val="center"/>
              <w:ind w:left="195"/>
              <w:spacing w:after="0"/>
              <w:rPr>
                <w:sz w:val="20"/>
                <w:szCs w:val="20"/>
                <w:color w:val="auto"/>
              </w:rPr>
            </w:pPr>
            <w:r>
              <w:rPr>
                <w:rFonts w:ascii="Arial" w:cs="Arial" w:eastAsia="Arial" w:hAnsi="Arial"/>
                <w:sz w:val="18"/>
                <w:szCs w:val="18"/>
                <w:color w:val="auto"/>
                <w:w w:val="90"/>
              </w:rPr>
              <w:t>Three Months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Three Months</w:t>
            </w:r>
          </w:p>
        </w:tc>
        <w:tc>
          <w:tcPr>
            <w:tcW w:w="180" w:type="dxa"/>
            <w:vAlign w:val="bottom"/>
          </w:tcPr>
          <w:p>
            <w:pPr>
              <w:spacing w:after="0"/>
              <w:rPr>
                <w:sz w:val="18"/>
                <w:szCs w:val="18"/>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Six Months</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Six Months</w:t>
            </w:r>
          </w:p>
        </w:tc>
      </w:tr>
      <w:tr>
        <w:trPr>
          <w:trHeight w:val="230"/>
        </w:trPr>
        <w:tc>
          <w:tcPr>
            <w:tcW w:w="3900" w:type="dxa"/>
            <w:vAlign w:val="bottom"/>
          </w:tcPr>
          <w:p>
            <w:pPr>
              <w:spacing w:after="0"/>
              <w:rPr>
                <w:sz w:val="19"/>
                <w:szCs w:val="19"/>
                <w:color w:val="auto"/>
              </w:rPr>
            </w:pPr>
          </w:p>
        </w:tc>
        <w:tc>
          <w:tcPr>
            <w:tcW w:w="1320" w:type="dxa"/>
            <w:vAlign w:val="bottom"/>
          </w:tcPr>
          <w:p>
            <w:pPr>
              <w:jc w:val="center"/>
              <w:ind w:left="215"/>
              <w:spacing w:after="0"/>
              <w:rPr>
                <w:sz w:val="20"/>
                <w:szCs w:val="20"/>
                <w:color w:val="auto"/>
              </w:rPr>
            </w:pPr>
            <w:r>
              <w:rPr>
                <w:rFonts w:ascii="Arial" w:cs="Arial" w:eastAsia="Arial" w:hAnsi="Arial"/>
                <w:sz w:val="18"/>
                <w:szCs w:val="18"/>
                <w:color w:val="auto"/>
                <w:w w:val="88"/>
              </w:rPr>
              <w:t>Ended</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r>
      <w:tr>
        <w:trPr>
          <w:trHeight w:val="237"/>
        </w:trPr>
        <w:tc>
          <w:tcPr>
            <w:tcW w:w="3900" w:type="dxa"/>
            <w:vAlign w:val="bottom"/>
          </w:tcPr>
          <w:p>
            <w:pPr>
              <w:spacing w:after="0"/>
              <w:rPr>
                <w:sz w:val="20"/>
                <w:szCs w:val="20"/>
                <w:color w:val="auto"/>
              </w:rPr>
            </w:pPr>
          </w:p>
        </w:tc>
        <w:tc>
          <w:tcPr>
            <w:tcW w:w="1320" w:type="dxa"/>
            <w:vAlign w:val="bottom"/>
          </w:tcPr>
          <w:p>
            <w:pPr>
              <w:jc w:val="center"/>
              <w:ind w:left="195"/>
              <w:spacing w:after="0"/>
              <w:rPr>
                <w:sz w:val="20"/>
                <w:szCs w:val="20"/>
                <w:color w:val="auto"/>
              </w:rPr>
            </w:pPr>
            <w:r>
              <w:rPr>
                <w:rFonts w:ascii="Arial" w:cs="Arial" w:eastAsia="Arial" w:hAnsi="Arial"/>
                <w:sz w:val="18"/>
                <w:szCs w:val="18"/>
                <w:color w:val="auto"/>
                <w:w w:val="87"/>
              </w:rPr>
              <w:t>June 30, 2017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June 30, 2016</w:t>
            </w:r>
          </w:p>
        </w:tc>
        <w:tc>
          <w:tcPr>
            <w:tcW w:w="180" w:type="dxa"/>
            <w:vAlign w:val="bottom"/>
          </w:tcPr>
          <w:p>
            <w:pPr>
              <w:spacing w:after="0"/>
              <w:rPr>
                <w:sz w:val="20"/>
                <w:szCs w:val="20"/>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89"/>
              </w:rPr>
              <w:t>June 30, 2017</w:t>
            </w: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2016</w:t>
            </w:r>
          </w:p>
        </w:tc>
      </w:tr>
      <w:tr>
        <w:trPr>
          <w:trHeight w:val="216"/>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32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510</w:t>
            </w:r>
          </w:p>
        </w:tc>
        <w:tc>
          <w:tcPr>
            <w:tcW w:w="200" w:type="dxa"/>
            <w:vAlign w:val="bottom"/>
          </w:tcPr>
          <w:p>
            <w:pPr>
              <w:spacing w:after="0"/>
              <w:rPr>
                <w:sz w:val="18"/>
                <w:szCs w:val="18"/>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3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ind w:right="115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six months ended June 30, 2017 and 2016, the Company recognized $21 and $361, respectively, in expense amounts related to these agreements. Such amounts are included in cost of sales and sales and marketing expenses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Dr. Lindstrom was paid $50 during the three and six months ended June 30, 2017. Dr. Lindstrom is a member of the Company’s Board of Directors, chairman of its Compensation Committee and a member of its Nomination and Corporate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 – Precision Lens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2017, the Company entered into a Strategic Sales &amp; Marketing Agreement (the “Plens Agreement”) with Cameron Ehlen Group, Inc. dba Precision Lens (“Precision Lens”). Pursuant to the terms of the Plens Agreement, Precision Lens will provide exclusive sales and marketing representation services to Imprimis in select geographies in the U.S. Midwest, in connection with the our ophthalmic compounded formulation portfolio including our Dropless Therapy®, LessDrops® combination eye drops, Simple Drops™ preservative-free glaucoma drops, MKO Melt™ conscious sedation and other ocular-related formulations typically used for dilation, general inflammation and infection (the “Products”).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Plens Agreement, the Company is required to make commission payments to Precision Lens equal to 10% of each calendar year’s annual net sales for Products above and beyond the Company’s initial $1,500 in annual net sales for Products for each calendar year. In addition, the Company is required to make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 No payments have been made in relation to this agreement as of June 30,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Sales and Marketing Agreement – SightLife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2017, the Company entered into a Strategic Sales &amp; Marketing Agreement (the “SightLife Agreement”) with SightLife Surgical, Inc. (“SightLife”). Pursuant to the terms of the SightLife Agreement, SightLife will provide exclusive United States sales and marketing representation services to the Company in connection with the Company’s Serum Tears™ autologous serum tears formulation (the “ASED Products”) for dry eye disease.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SightLife Agreement, the Company is required to make commission payments to SightLife equal to 10% of each calendar year’s annual net sales for ASED Products. In addition, the Company is required to make periodic milestone payments to SightLife in shares of the Company’s restricted common stock including: (i) 5,000 shares if net sales for ASED Products reach $2,000 prior to December 31, 2017; (ii) 7,500 shares if net sales for ASED Products reach $2,500; (iii) 7,500 shares if net sales for ASED Products reach $5,000; (iv) 7,500 shares if net sales for ASED Products reach $7,500; and (v) 7,500 shares if net sales for ASED Products reach $10,000. No payments have been made in relation to this agreement as of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2017 and 2016 are attributed to the U.S. All long-lived assets at June 30, 2017 and December 31, 2016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six months ended June 30,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72% and 77% during the three and six months ended June 30, 2017, respectively, and 86% and 71% during the three and six months ended June 30, 2016, respectively, of active pharmaceutical ingredient 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2017 through the filing date of this Quarterly Report. Based on its evaluation, nothing other than the events described below needs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2017, the Company entered into a term loan and security agreement with SWK Funding LLC and its partners, and terminated all amounts due to LSAF in connection with the exiting term loan and security agreements as described in Note 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PA and Sinus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July 2017, the Company completed the disposition of substantially all its assets associated with its sinus related business as described in Note 7.</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2016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ImprimisRx CA, Inc. dba ImprimisRx, Imprimis Rx NJ, LLC dba ImprimisRx and Imprimis NJOF, LLC. In this discussion and analysis, we refer to our consolidated subsidiaries collectively as our “ImprimisRx compounding pharmacies.”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Except as otherwise noted, all dollar amounts in this discussion and analysis are expressed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specializing in the development, production and sale of innovative medications that offer unique competitive advantages and serve unmet needs in the marketplace. We are committed to our mission, vision and values to deliver high-quality novel medications to physicians and patients at affordable prices.</w:t>
      </w:r>
    </w:p>
    <w:p>
      <w:pPr>
        <w:spacing w:after="0" w:line="18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Our ophthalmology offerings address three of the largest markets in the space, cataract surgery, glaucoma and dry eye disease. Our objective is to partner with ophthalmic professionals to address their patients’ pharmaceutical needs. The cornerstone of our ophthalmology program consists of our</w:t>
      </w:r>
    </w:p>
    <w:p>
      <w:pPr>
        <w:jc w:val="both"/>
        <w:spacing w:after="0" w:line="234" w:lineRule="auto"/>
        <w:rPr>
          <w:sz w:val="20"/>
          <w:szCs w:val="20"/>
          <w:color w:val="auto"/>
        </w:rPr>
      </w:pPr>
      <w:r>
        <w:rPr>
          <w:rFonts w:ascii="Arial" w:cs="Arial" w:eastAsia="Arial" w:hAnsi="Arial"/>
          <w:sz w:val="16"/>
          <w:szCs w:val="16"/>
          <w:color w:val="auto"/>
        </w:rPr>
        <w:t>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 other compelling medical and economic benefits. We also offer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During 2017, we launched programs with innovative medications used for glaucoma and chronic dry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eye disease (DED). Our Simple Drops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campaign includes a series of preservative-free eye drops and combination eye drops for glaucoma patients. Within our DED platform, we have a portfolio of formulations that we began to roll out in the second half of 2017, including a patent-pending nutraceutical-</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antibiotic oral capsule formulation, Serum Tears</w:t>
      </w:r>
      <w:r>
        <w:rPr>
          <w:rFonts w:ascii="Arial" w:cs="Arial" w:eastAsia="Arial" w:hAnsi="Arial"/>
          <w:sz w:val="26"/>
          <w:szCs w:val="26"/>
          <w:color w:val="auto"/>
          <w:vertAlign w:val="superscript"/>
        </w:rPr>
        <w:t>TM</w:t>
      </w:r>
      <w:r>
        <w:rPr>
          <w:rFonts w:ascii="Arial" w:cs="Arial" w:eastAsia="Arial" w:hAnsi="Arial"/>
          <w:sz w:val="16"/>
          <w:szCs w:val="16"/>
          <w:color w:val="auto"/>
        </w:rPr>
        <w:t>, and Klarity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based eye drop formulations. Our integrative medicine business includes medications used in several therapeutic areas including oncology, autoimmunity, chronic infectious diseases, and endocrine and metabolic diseases. Our urology business includes a series of injectable erectile dysfunction formulations for patients that are refractory to or are otherwise unable to take phosphodiesterase type 5</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inhibitors such as sildenafil (Viagra</w:t>
      </w:r>
      <w:r>
        <w:rPr>
          <w:rFonts w:ascii="Arial" w:cs="Arial" w:eastAsia="Arial" w:hAnsi="Arial"/>
          <w:sz w:val="30"/>
          <w:szCs w:val="30"/>
          <w:color w:val="auto"/>
          <w:vertAlign w:val="superscript"/>
        </w:rPr>
        <w:t>®</w:t>
      </w:r>
      <w:r>
        <w:rPr>
          <w:rFonts w:ascii="Arial" w:cs="Arial" w:eastAsia="Arial" w:hAnsi="Arial"/>
          <w:sz w:val="18"/>
          <w:szCs w:val="18"/>
          <w:color w:val="auto"/>
        </w:rPr>
        <w:t>), tadalafil (Cialis</w:t>
      </w:r>
      <w:r>
        <w:rPr>
          <w:rFonts w:ascii="Arial" w:cs="Arial" w:eastAsia="Arial" w:hAnsi="Arial"/>
          <w:sz w:val="30"/>
          <w:szCs w:val="30"/>
          <w:color w:val="auto"/>
          <w:vertAlign w:val="superscript"/>
        </w:rPr>
        <w:t>®</w:t>
      </w:r>
      <w:r>
        <w:rPr>
          <w:rFonts w:ascii="Arial" w:cs="Arial" w:eastAsia="Arial" w:hAnsi="Arial"/>
          <w:sz w:val="18"/>
          <w:szCs w:val="18"/>
          <w:color w:val="auto"/>
        </w:rPr>
        <w:t>) and vardenafil (Levitra</w:t>
      </w:r>
      <w:r>
        <w:rPr>
          <w:rFonts w:ascii="Arial" w:cs="Arial" w:eastAsia="Arial" w:hAnsi="Arial"/>
          <w:sz w:val="30"/>
          <w:szCs w:val="30"/>
          <w:color w:val="auto"/>
          <w:vertAlign w:val="superscript"/>
        </w:rPr>
        <w:t>®</w:t>
      </w:r>
      <w:r>
        <w:rPr>
          <w:rFonts w:ascii="Arial" w:cs="Arial" w:eastAsia="Arial" w:hAnsi="Arial"/>
          <w:sz w:val="18"/>
          <w:szCs w:val="18"/>
          <w:color w:val="auto"/>
        </w:rPr>
        <w:t>).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Elmiron</w:t>
      </w:r>
      <w:r>
        <w:rPr>
          <w:rFonts w:ascii="Arial" w:cs="Arial" w:eastAsia="Arial" w:hAnsi="Arial"/>
          <w:sz w:val="30"/>
          <w:szCs w:val="30"/>
          <w:color w:val="auto"/>
          <w:vertAlign w:val="superscript"/>
        </w:rPr>
        <w:t>®</w:t>
      </w:r>
      <w:r>
        <w:rPr>
          <w:rFonts w:ascii="Arial" w:cs="Arial" w:eastAsia="Arial" w:hAnsi="Arial"/>
          <w:sz w:val="18"/>
          <w:szCs w:val="18"/>
          <w:color w:val="auto"/>
        </w:rPr>
        <w:t>, and Calcium Disodium Versenate, all FDA-approved drugs that have experienced significant price increases.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7"/>
          <w:szCs w:val="17"/>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fewer complications and at lower costs for our customers than traditional pharmaceutical company competitors.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$80,373 at June 30,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currently produce and dispense our medications directly to customers through our ImprimisRx facilities located in Ledgewood, New Jersey, and Irvine, California. Our New Jersey facility is comprised of two separate facilities, with one facility registered with the FDA as an outsourcing facility (“NJOF”) under Section 503B of the Federal Food, Drug &amp; Cosmetic Act (FDCA). The other New Jersey facility (“NJRX”), and our California facility, are licensed pharmacies operating under Sections 503A of the FDCA. All products that we produce and sell are made in the United States of America.</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are descriptions of our current programs. We also continue to evaluate and assess intellectual property and other assets we have developed or acquired, including provisional patent applications, in order to support our development and potential commercialization of additional medications focused in the ophthalmology market and in other therapeutic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2013, we acquired intellectual property trademarked as SSP Technology</w:t>
      </w:r>
      <w:r>
        <w:rPr>
          <w:rFonts w:ascii="Arial" w:cs="Arial" w:eastAsia="Arial" w:hAnsi="Arial"/>
          <w:sz w:val="28"/>
          <w:szCs w:val="28"/>
          <w:color w:val="auto"/>
          <w:vertAlign w:val="superscript"/>
        </w:rPr>
        <w:t>®</w:t>
      </w:r>
      <w:r>
        <w:rPr>
          <w:rFonts w:ascii="Arial" w:cs="Arial" w:eastAsia="Arial" w:hAnsi="Arial"/>
          <w:sz w:val="17"/>
          <w:szCs w:val="17"/>
          <w:color w:val="auto"/>
        </w:rPr>
        <w:t>, which allows for combination and administration of anti-inflammatory and anti-bacterial agents after the completion of ocular surgery. SSP Technology allows for increased solubility of active pharmaceutical ingredients and the creation of tunable, uniform particle sizes which enable these combined medications to be used as an intraoperative injectable or as a topical eye drop. Since our acquisition of this technology we have continued its development to include additional active pharmaceutical ingredients, such as NSAIDs. These combination medications have begun to impact the growing cataract surgery eye drop and refractive surgery eye drop markets. Based on our success and standing in the ophthalmology market, we have expanded further into additional ocular surgery and other markets where there is a risk of inflammation and infection and into other markets including glaucoma and dry eye disease. We plan to expand into additional ocular markets as well including wet age-related macular degeneration (wet AMD) and diabetic macular edema (DME).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color w:val="auto"/>
        </w:rPr>
        <w:t>Our proprietary ophthalmic medications provide physicians with the ability to address primary complications associated with ocular surgery including infection risk and post-operative inflammation due to patient non-compliance associated with traditional multiple bottle eye drop regimens. This is achieved by reducing the complexity of and in many cases altogether avoiding the need for post-operative eye drop regimens. We market these ophthalmic formulations as Dropless Therapy and LessDrops combination eye drops. We also package multiple ophthalmic medications, which may include our proprietary Dropless Therapy or LessDrops formulations, and other non-proprietary formulations as kits and dispensed to patients with needs for multiple ocular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Dropless Therapy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The National Eye Institute estimates that over 24 million Americans currently have cataracts and that this number will grow to 38 million by 2030 and reach more than 50 million by 2050. Transparency Market Research estimates that the ophthalmology drug market will reach an estimated $21.6 billion by 2018.</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post-surgery inflammation and infection.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Dropless Therapy medications are single, injectable intraocular doses that are administered during cataract surgery. Ophthalmologists have reported that Dropless Therapy has substantially reduced or eliminated the need for patient-administered eye drops following ocular surgery, thereby largely eliminating patient non-compliance and dosing errors associated with post-operative self-administered eye drop care regimens. Since launching Dropless Therapy in April 2014, multiple investigator initiated studies have been completed and their positive findings published in trade and peer-reviewed publications. A recently published study comparing Dropless Cataract Surgery to post-surgical topical drops found that 92 percent of the patients preferred Dropless Therapy over eye drops, and regarding post-operative visual outcome, 88 percent of patients preferred Dropless over topical drops. In a large peer-reviewed retrospective study of 1,541 patients receiving Dropless Therapy during cataract surgery, researchers reported that nearly 92 percent of the cases required no supplemental medication following surgery. A 2015 economic study with Cataract Surgeons for Improved Eyecare and conducted by Andrew Chang &amp; Co, LLC, demonstrated that, assuming a cost of $100 per dose (dollar amount not expressed in thousands), Dropless Therapy could provide collective savings to Medicare, Medicaid and patients of up to $13 billion, with a most likely savings estimate of $8.7 billion, over a 10-year period (dollar amounts not expressed in thousands). In July 2017, we announced that our Dropless formulations had surpassed 500,000 units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LessDrops Combination Eye Drops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cataract, refractive and other ocular surgeries. We estimate that our LessDrops combination eye drops may require the administration by patients of up to 50 percent fewer drops post-surgery and cost up to 75 percent less than other currently available post-surgery eye drop regimens. We plan to expand our LessDrops portfolio to provide additional eye drop choices for our ophthalmologist customers.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We believe we are capturing an estimated 10 percent of the U.S. post-surgery cataract eye drop market. Over 1,700 ophthalmologist customers have adopted Dropless and LessDrops medications and we have serviced over 600,000 cataract and refractive surgeries since April 2014. A growing number of high-volume cataract surgery practices, hospitals and ambulatory surgery centers throughout the U.S. have become customers.</w:t>
      </w:r>
    </w:p>
    <w:p>
      <w:pPr>
        <w:spacing w:after="0"/>
        <w:rPr>
          <w:sz w:val="20"/>
          <w:szCs w:val="20"/>
          <w:color w:val="auto"/>
        </w:rPr>
      </w:pPr>
      <w:r>
        <w:rPr>
          <w:rFonts w:ascii="Arial" w:cs="Arial" w:eastAsia="Arial" w:hAnsi="Arial"/>
          <w:sz w:val="18"/>
          <w:szCs w:val="18"/>
          <w:i w:val="1"/>
          <w:iCs w:val="1"/>
          <w:color w:val="auto"/>
        </w:rPr>
        <w:t>Glaucoma Eye Drops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May 2017, we launched a series of preservative-free eye drops and combination eye drops for glaucoma patients. According to the Glaucoma Research Foundation, there are over 3 million Americans with glaucoma but only half are aware they have it. Glaucoma is incurable, and if not managed can lead to blindness. Generally, the first line of treatment consists of a prostaglandin-analogue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 FDA has yet to approve a PGA</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combination product despite combination products including a PGA (Xalacom</w:t>
      </w:r>
      <w:r>
        <w:rPr>
          <w:rFonts w:ascii="Arial" w:cs="Arial" w:eastAsia="Arial" w:hAnsi="Arial"/>
          <w:sz w:val="30"/>
          <w:szCs w:val="30"/>
          <w:color w:val="auto"/>
          <w:vertAlign w:val="superscript"/>
        </w:rPr>
        <w:t>®</w:t>
      </w:r>
      <w:r>
        <w:rPr>
          <w:rFonts w:ascii="Arial" w:cs="Arial" w:eastAsia="Arial" w:hAnsi="Arial"/>
          <w:sz w:val="18"/>
          <w:szCs w:val="18"/>
          <w:color w:val="auto"/>
        </w:rPr>
        <w:t>, DuoTrav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Ganfort</w:t>
      </w:r>
      <w:r>
        <w:rPr>
          <w:rFonts w:ascii="Arial" w:cs="Arial" w:eastAsia="Arial" w:hAnsi="Arial"/>
          <w:sz w:val="30"/>
          <w:szCs w:val="30"/>
          <w:color w:val="auto"/>
          <w:vertAlign w:val="superscript"/>
        </w:rPr>
        <w:t>®</w:t>
      </w:r>
      <w:r>
        <w:rPr>
          <w:rFonts w:ascii="Arial" w:cs="Arial" w:eastAsia="Arial" w:hAnsi="Arial"/>
          <w:sz w:val="18"/>
          <w:szCs w:val="18"/>
          <w:color w:val="auto"/>
        </w:rPr>
        <w:t>) available outside of the U.S. Our glaucoma topical medications will include combinations of active pharmaceutical ingredients (APIs) that are similar to those formulations marketed and available in countries outside of the U.S. Our combination eye drops may require the administration of fewer drops by patients and cost significantly less than currently available glaucoma drop regimens.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use of combination products is rising because of two major advantages; improved patient compliance by avoiding separate administration of drops and prevention of washout effect by eliminating the need for consecutive dosing intervals.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 Eye Disease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2017, we acquired exclusive worldwide rights to Klarity, an innovative and patented ophthalmic topical solution and gel technology for patients with dry eye disease (DED). Klarity is designed to protect and rehabilitate the ocular surface following ophthalmic surgery, contact lens wear, or in patients with moderate to severe DED. The Klarity formulations are preservative-free and can be formulated to any viscosity, ranging from a topical drop or gel to a dispersive viscosurgical device. We expect the Klarity formulations will be the cornerstone of our new DED program, which we have launched in the second half of 2017.</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announced the upcoming launch of our compounded Serum Tears™ autologous serum eye drops and signing of an exclusive strategic sales and marketing agreement with SightLife Surgical, Inc. (“SightLife”). Under the agreement, SightLife Surgical will deploy a dedicated sales team to sell our Serum Tears™ compounded formulations to physicians, large practice groups, surgery centers, hospitals and healthcare organizations nationwide. Imprimis’ Serum Tears™ autologous serum compounded eye drops (ASEDs) are prescribed for chronic dry eye patients who do not respond to traditional dry eye treatments. Patients with dry eye severity typically do not respond to conventional therapy and may be considered candidates for autologous serum eye drops as a treatment option. Published data have demonstrated the benefits of using an individual’s serum, which contain antibodies and growth factors, as an eye drop therapy for chronic dry eye. Under the planned Imprimis ASEDs program, Serum Tears™ will be available in varying ranges of saline dilution combinations.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Dry eye is among the most common conditions seen by eye care professionals. Dry eye occurs when the eye does not produce enough tears, or when the tears are not of the correct consistency and evaporate too quickly. Inflammation of the surface of the eye may also occur. According to AARP (2015), it is reported that 20 to 30 million people suffer from mild dry eye, and nine to 12 million have moderate to severe dry eye. Although dry eye can impact people of any age, elderly people are frequently affected with a reported five million afflicted with 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MKO Melt</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Conscious Sedation</w:t>
      </w:r>
    </w:p>
    <w:p>
      <w:pPr>
        <w:spacing w:after="0" w:line="12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May 2016, we launched our patent-pending IV Free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formulation. Traditionally, sedation medications for ocular surgery are administered intravenously, which require IV medications and supplies, and the need for additional staff to assist in preparation, administration and monitoring related to this process. Our MKO Melt is administered sublingually and is an option to IV anesthetic to sedate patients undergoing ocular surgeries. The MKO Melt may have use in numerous other surgical procedures outside of ophthalmology including MRI procedures, dental procedures, colonoscopies, vasectomies, biopsies and women’s health.</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Integrative Medicine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integrative medicine business includes personalized medications used in several integrative areas including oncology, autoimmunity, chronic infectious diseases, and endocrine and metabolic diseases. The portfolio includes ascorbic acid (non-corn source), patent-pending curcumin emulsion, lyophilized artesunate and other medications used for various integrative therapies. In the past, we have sponsored the Integrative Therapies Institute (ITI) conferences that cover a multitude of integrative topics and feature speakers considered thought leaders in their respective fields.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injectable medications for the treatment of erectile dysfunction (ED). According to the American Urological Association (AUA) there are 20 to 30 million men in the U.S. with ED. The AUA indicates that intracavernous vasoactive injections, including Tri-Mix (phentolamine, papaverine and prostaglandin), are considered the most effective non-surgical treatment for ED. We are also developing additional formulations associated with ED, including a sublingual formulation. We currently have one managed care provider that consists of the majority of our Tri-Mix sales. We are currently marketing this large healthcare provider additional formulations, including our ophthalmic medications, and hope to grow our existing sales footprint and expand the relationship into other therapeutic areas.</w:t>
      </w:r>
    </w:p>
    <w:p>
      <w:pPr>
        <w:spacing w:after="0" w:line="19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May 2016, we introduced our patent-pending customizable delayed-release tiopronin medications that may be 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 chronic genetic disease that causes stones made of the amino acid cystine to form in the kidneys, bladder and/or urethra. In addition to the significantly lower cost, our tiopronin medications may allow for a reduction in the number of pills patients are required to consume daily.</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also produce and dispense PPS-DR (pentosan polysulfate sodium) oral medications as a lower-cost option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 for the treatment of symptoms associated with interstitial cystitis (IC). IC, also referred to as painful bladder syndrome and chronic pelvic pain, is a chronic bladder condition. According the Interstitial Cystitis Association, IC affects an estimated 4 to 12 million men and women in the U.S. There is no known cure for IC and a combination of therapies is recommended for most patients including medication, physical therapy and dietary changes. Our low-cost PPS-DR oral medications feature delayed-released capsules that may allow for reduced daily dosing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 Assets and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2017, we entered into two asset purchase and license agreements (the “Eton License Agreements”) with our previously wholly owned subsidiary, Eton Pharmaceuticals, Inc. (“Eton”). Pursuant to the terms of the Eton License Agreements, we assigned and licensed to Eton certain intellectual property and related rights to develop, formulate, make, sell, and sub-license our proprietary formulations of synthetic corticotropin and injectable pentoxifylline (collectively, the “Eton Products”). Eton intends to seek FDA approval for the commercialization of its drug candidates through the Section 505(b)(2) regulatory pathway under the Federal Food, Drug, and Cosmetic Act of 1938 (the “FDCA”), as amended, and in corresponding regulatory paths in other foreign jurisdictions. If approved, Eton is required to make royalty payments to us in the amount of six percent (6%) of net sales of the Eton Products while any patent rights remain outstanding and then three percent (3%) of net sales thereafter. In addition, Eton is required to make certain milestone payments to us including payments of $50 upon initial patent issuances for each Eton Product. Eton also has acquired two additional sterile injectable drug candidates that qualify under the Drug Efficacy Study Implementation (DESI) program which it plans to develop and commercialize through the 505(b)(2) pathway.</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Eton License Agreements became effective in June 2017, when Eton closed an offering of its Series A Preferred Stock for gross proceeds of approximately $20,000 (the “Series A Round”). At the time of closing we lost our controlling interest, and deconsolidated Eton from our consolidated financial statements. We own three million five hundred thousand (3,500,000) shares of Eton common stock, which is approximately 27% of the equity and voting interests of Eton following the close of the Series A Round.</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Mark L. Baum, our CEO is a member of the Eton board of directors, and Andrew R. Boll, our CFO, was a member of the Eton board of directors until his resignation in July 2017. Mr. Boll and Mr. Baum, along with other Imprimis employees have entered into consulting agreements with Eton.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Surface Pharmaceuticals,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own patented and patent-pending topical and oral formulations that have been used to treat symptoms associated with DED and meibomian gland dysfunction (MGD), and we believe these formulations may be candidates to be developed under the 505(b)(2) new drug application FDA approval pathway. Similar to the transactions completed with Eton, we are currently pursuing an opportunity to separately finance and develop these formulations through a wholly owned subsidiary, called Surface Pharmaceuticals, Inc. (“Surface”). We have established Surface, are transferring the assets to it and are negotiating for a senior management team to lead the company. Initially, we believe, Surface will develop topical and oral drug candidates for DED, targeting the high percentage of patients who do not respond to current FDA-approved topical prescription DED products. The arrangements to establish Surface will be contingent a successful initial round of equity financing. If we are successful in financing Surface, Imprimis would retain an equity position in Surface and a royalty on commercial sales of certain Surface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combination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2016, we announced the availability of our EDTA calcium disodium injectable formulation, a lower-cost alternative to FDA-approved Calcium Disodium Versenate, commonly used to stabilize and treat patients exposed to lead poisoning.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offer hormone replacement therapy, weight loss, dermatologic, and other personalized medications, which we believe may provide differentiating and potentially beneficial factors as compared to competing therapies.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own assets that we may continue to develop into a platform to serve institutional purchasers of FDA approved drugs.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innovative medications to a growing number of patients, physicians, hospitals, ambulatory surgery centers and pharmacy benefits managers (PBMs). In September 2016, we entered into a purchase and supply agreement with AmSurg Holdings, Inc. a leading national provider of multi-specialty outsourced physician services to more than 245 U.S. hospitals, ambulatory surgery centers and other healthcare facilities. Pursuant to the terms of the agreement, we will provide AmSurg with our core ophthalmic medications including our Dropless Therapy and LessDrops combination eye drops.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2016, we entered into a purchase and supply agreement with the specialty pharmacy division of a leading PBM covering more than 65 million Americans. Pursuant to the terms of the agreement, we will supply the network of specialty pharmacies with our complete formulary of medications. We believe the agreement represents a new approach to efficiently deliver medications from the manufacturer directly to the consumer, thereby eliminating several layers of inefficiencies for the millions of patients covered by this renowned PBM. We expect this agreement will help accelerate the adoption of several of our products we currently offer and others we expect to launch in 2017.</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2016, we announced the launch of Correct Compound™ program with FocusScript, LLC (FocusScript), the largest compounding claims management company in the U.S. Through the program, we will jointly offer FocusScript’s proprietary CDF-Logic program of a customizable compound formulary and our portfolio to PBMs, managed care organizations and other healthcare payors. FocusScript will manage and process Correct Compound claims across FocusScript’s preferred network of over 200 compounding pharmacies which are accredited and credentialed through the UCAP program, and administered in an exclusive partnership with the National Association of Boards of Pharmacy (NABP). FocusScript will also provide its custom, proprietary system for pre-processing claims for optimal pricing, broad analytics and real-time oversight of fraud, waste and abuse. We believe this partnership allows us to leverage the value we have built in our brand and maintain our focus and resources on our rapidly-growing ophthalmology business. FocusScript’s pharmacy network, relationships with payors and comprehensive prescription drug adjudication tools should help us increase our reach and lower costs that are typically associated with the billing and adjudication process of prescription medications.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In July 2017, we entered into a supply agreement with a large, nationwide provider of LASIK and PRK surgeries for our LessDrops formulations. This group has over 50 surgery centers nationwide. We have already made our first shipments to this customer and have had to increase our production capabilities to allow for the expected increase in orders that may be forthcoming.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of our key strategies is the use of compounding pharmacies to formulate our proprietary compounded drug formulations and distribute them directly to physicians and patients. Generally, compounding pharmacies combine different APIs, all of which are FDA-approved, to create specialized preparations prescribed by a physician to treat an individually identified patient. Physicians prescribe our products because a standard medication approved by the FDA is not appropriate for a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ImprimisRx compounding pharmacies make, dispense and sell our proprietary and non-proprietary compounded formulations and are collectively licensed to distribute to 50 states.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we registered NJOF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We estimate that our capital expenditures to build and equip the New Jersey facility were approximately $5,770. We have also finalized improvements to our California based pharmacy. We have invested approximately $530 and completed the improvement efforts at our California pharmacy in January 2017.</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our Texas facility was damaged related to a faulty sprinkler head. Although we started restoration of the facility, in September 2016, after consideration of the totality of circumstances of our collective facility infrastructure, including estimated production capacity and capabilities of NJOF, and the damage to our Texas facility, we decided to cease operations in Texas. In February 2017, we entered into a stock purchase agreement to sell our Texas entity for $10 and transfer the lease agreement to the new owners.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2017, we announced the sale of our Folcroft, Pennsylvania pharmacy and sinus related assets for $450, the transaction closed on July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currently make, dispense and sell our commercially available proprietary compounded formulations and certain other non-proprietary products through our compounding pharmacies pursuant to a prescription for an individually identified patient. Additionally, in November 2016, we registered part of our New Jersey facility as an outsourcing facility. We are working to further develop our facilities into a unified compounding network. For instance, during 2016 we developed “ImprimisRx” as a uniform brand for our compounding facilities and have renamed all of our compounding facilities under this or a similar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expanding our compounding pharmacy network strategy, including difficulties that arise as a result of our lack of experience, and we may be unsuccessful. Alternatively, we may seek to sell certain assets and businesses (such as the sale of our PA based pharmacy and sinus assets) as we grow and focus our business within ophthalmology.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business and the other on our non-ophthalmology business. In 2017, we entered into two sales and marketing agreements (described further below) that we believe will help expand the presence of our sales and marketing activities within ophthalmology. We believe these sales and marketing agreements will accelerate launches of our new ophthalmology programs in glaucoma and DED and limit our initial capital requirements commonly associated with new product launches and increased sizes of sales forces.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2017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Subsidiary Sale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13, 2017, we entered into a stock purchase agreement (the “SPA”) with Livernois &amp; London, LLC (“Livernois”). Pursuant to the terms of the SPA, we sold to Livernois one hundred percent (100%) of the issued and outstanding shares of common stock of our Texas based subsidiary, ImprimisRx TX, Inc. dba ImprimisRx (“Imprimis TX”). The SPA did not transfer to Livernois any our rights to intellectual property, products, clients, nor any of our existing business operations. As consideration for the purchase of Imprimis TX, Livernois paid the us $10 and the we assigned, and Livernois assumed, the remaining lease obligation totaling $113 for our Texas based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21, 2017, we entered into securities purchase agreements (the “Purchase Agreement”) with two accredited investors (the “Investors”), which provided for the sale by the Company of 1,312,500 shares of our common stock, at a price of $2.40 per share (the “Offering”). We received net proceeds of $2,941 after deducting the underwriter discount and other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Klarity License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 2017, we entered into a license agreement (the “Klarity License Agreement”) with Richard L. Lindstrom, M.D.,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our restricted common stock.</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 Lindstrom is a member of the Company’s Board of Directors, and chairman of its Compensation Committee and a member of its Nomination and Corporate Governance Committee. Our Board has reviewed the agreement and financials terms thereof, and does not expect total payments to Dr. Lindstrom will be in excess of $120,000 during the next twelve months. Furthermore, the Board has determined that entering into the Klarity License Agreement would not impair Dr. Lindstrom’s independence nor his ability to provide independent oversight of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Precision Lens Marketing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13, 2017, we entered into a Strategic Sales &amp; Marketing Agreement (the “Marketing Agreement”) with Cameron Ehlen Group, Inc. dba Precision Lens (“Precision Lens”). Pursuant to the terms of the Agreement, Precision Lens will provide exclusive sales and marketing representation services to Imprimis in select geographies in the U.S. Midwest, in connection with the our ophthalmic compounded formulation portfolio including our Dropless</w:t>
      </w:r>
    </w:p>
    <w:p>
      <w:pPr>
        <w:jc w:val="both"/>
        <w:spacing w:after="0" w:line="205" w:lineRule="auto"/>
        <w:rPr>
          <w:sz w:val="20"/>
          <w:szCs w:val="20"/>
          <w:color w:val="auto"/>
        </w:rPr>
      </w:pPr>
      <w:r>
        <w:rPr>
          <w:rFonts w:ascii="Arial" w:cs="Arial" w:eastAsia="Arial" w:hAnsi="Arial"/>
          <w:sz w:val="18"/>
          <w:szCs w:val="18"/>
          <w:color w:val="auto"/>
        </w:rPr>
        <w:t>Therapy®, LessDrops® combination eye drops, Simple Drops™ preservative-free glaucoma drops,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and other ocular-related formulations typically used for dilation, general inflammation and infection (the “Products”).</w:t>
      </w:r>
    </w:p>
    <w:p>
      <w:pPr>
        <w:spacing w:after="0" w:line="2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terms of the Marketing Agreement, we are required to make commission payments to Precision Lens equal to ten percent (10%) of each calendar year’s annual net sales for Products above and beyond the Company’s initial $1,500 in annual net sales for Products for each calendar year. In addition, we are required to make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SightLife Surgical Marketing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2017, we entered into a Strategic Sales &amp; Marketing Agreement (the “SightLife Agreement”) with SightLife Surgical, Inc. (“SightLife”). Pursuant to the terms of the SightLife Agreement, SightLife will provide exclusive U.S. sales and marketing representation services to us in connection with the our Serum Tears™ autologous serum tears formulation (the “ASED Products”) for dry eye disease.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SightLife Agreement, we are required to make commission payments to SightLife equal to ten percent (10%) of each calendar year’s annual net sales for ASED Products. In addition, we are required to make periodic milestone payments to SightLife in shares of the our restricted common stock including: (i) 5,000 shares if net sales for ASED Products reach $2,000 prior to December 31, 2017; (ii) 7,500 shares if net sales for ASED Products reach $2,500; (iii) 7,500 shares if net sales for ASED Products reach $5,000; (iv) 7,500 shares if net sales for ASED Products reach $7,500; and (v) 7,500 shares if net sales for ASED Products reach $10,000.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License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more fully above under the sub-heading “</w:t>
      </w:r>
      <w:r>
        <w:rPr>
          <w:rFonts w:ascii="Arial" w:cs="Arial" w:eastAsia="Arial" w:hAnsi="Arial"/>
          <w:sz w:val="18"/>
          <w:szCs w:val="18"/>
          <w:i w:val="1"/>
          <w:iCs w:val="1"/>
          <w:color w:val="auto"/>
        </w:rPr>
        <w:t>Eton Pharmaceuticals, Inc.</w:t>
      </w:r>
      <w:r>
        <w:rPr>
          <w:rFonts w:ascii="Arial" w:cs="Arial" w:eastAsia="Arial" w:hAnsi="Arial"/>
          <w:sz w:val="18"/>
          <w:szCs w:val="18"/>
          <w:color w:val="auto"/>
        </w:rPr>
        <w:t>”, in May 2017, we entered the Eton License Agreements with our previously wholly owned subsidiary, Eton. The Eton License Agreements were made effective in June 2017. Pursuant to the terms of the Eton License Agreements, we assigned and licensed to Eton certain intellectual property and related rights to develop, formulate, make, sell, and sub-license the Eton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Sinus Assets Sale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July 2017, we completed the disposition of substantially all its assets associated with our sinus related business, including but not limited to, certain intellectual property rights, trademarks, copyrights, inventories, equipment, customer lists, databases, permits, licenses, and assignment of our lease obligation for our Pennsylvania based pharmacy (the “PA Assets”) pursuant to an Asset Purchase Agreement (the “PA Purchase Agreement), dated June 27, 2017, by and among us and our wholly owned subsidiaries ImprimisRx PA, Inc. and ImprimisRx CA, Inc. (collectively the “Sellers”) and Creative Pharmacy Solutions Central, LLC (the “Buyer”), for a total sales price of approximately $450. In connection with the closing of the PA Purchase Agreement (the “PA Closing”), the Buyer paid to us an aggregate initial cash payment of $40. In addition, the Buyer is obligated to pay the remaining $410 in the form of a note that will bear interest at 6% per annum (the “Sellers Note”). The Buyer will make forty-eight (48) monthly cash payments to the Company of $10 each over the four years following the PA Closing, totaling $462; provided however, that the Buyer will have the option to make a one-time payment of $365 any time prior to December 31, 2017, and we will waive any remaining amounts due of the Seller Note. The principal amount of the Sellers Note may also be reduced by $125, if after a period of 60 days following the closing, certain revenues associated with the PA Assets are less than 60% of the revenues associated with the PA Assets 60 days prior to the close of the transaction.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2017, we entered into a term loan and security agreement in the principal amount of $16,000 (the “SWK Loan Agreement” or “SWK Loan”) with SWK Funding LLC and its partners (the “SWK Lender”), as lender and collateral agent. The SWK Loan Agreement was fully funded at closing with a five year term, however, such term may be reduced to four years if certain revenue requirements are not achieved. Concurrently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us and LSAF on May 11, 2015 (the “LSAF Loan”), which loan had a principal balance of $12,120 at the time of final payment.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SWK Loan bears interest at a variable rate equal to the three-month London Inter-Bank Offered Rate (subject to a minimum of 1.50% and maximum of 3.00%), plus an applicable margin of 10.50%. The SWK Loan Agreement permits us to pay interest only on the principal amount loaned thereunder for the first six payments (payments are due on a quarterly basis), which interest-only period may be reduced to four payments if we do not meet certain minimum revenue requirements. Following the interest-only period, we will be required to pay interest, plus repayments of the principal amount loaned under the SWK Loan Agreement, in quarterly payments, which shall not exceed $750 per quarter. All amounts owed under the SWK Loan Agreement, including a final fee equal to 5% of the aggregate principal amount loaned thereunder, will be due and payable on July 19, 2022, or if certain revenue requirements are not met, July 19, 2021. We may elect to prepay all, but not less than all, of the amounts owed under the SWK Loan Agreement prior to the maturity date at any time after July 19, 2019. If certain revenue requirements are not met, we may be allowed to prepay the loan from July 19, 2018 to July 19, 2019, provided that a prepayment fee equal to 6% of the principal amount of the loan will also be due.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obligations under the Loan Agreement are guaranteed on a secured basis by our wholly owned subsidiaries, ImprimisRx NJ, LLC, Imprimis NJOF, LLC and ImprimisRx CA, Inc. Each of the Company and its subsidiaries has granted the SWK Lender a security interest in substantially all of its personal property, rights and assets, including intellectual property rights and equity ownership, to secure the payment of all amounts owed under the SWK Loan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SWK Loan Agreement, we issued to the SWK Lender warrants to purchase up to 415,586 shares of the Company’s common stock (the “Lender Warrants”). The Lender Warrants are exercisable immediately, have an exercise price of $3.08 per share and maintain a term of 7 years. The Lender Warrants are subject to a cashless exercise feature, with the exercise price and number of shares issuable upon exercise subject to change in connection with stock splits, dividends, reclassifications and other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Curcumin Emulsion Statement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2017, FDA issued a MedWatch notification regarding our curcumin emulsion and two adverse events that had been associated with it. We issued a press release on August 7, 2017, clarifying certain facts regarding the notice which outlined our belief the adverse events associated with the two patients occurred due to an allergic reaction, the products had been inappropriately administered and obtained by the overseeing medical professional, no drugs or poisons including diethylene glycol [DEG] at a level greater than 0.1% by volume were identified in the IV bag contents administered to one of the patients, and our use of curcumin and excipients in our curcumin emulsion formulation met certain regulatory standards required for dispensing of the curcumin emulsion. As of the date of this report, the Company has not incurred a material change in its business, statement of operations, and financial position as a result of the MedWatch notification. Sales of our curcumin emulsion totaled less than 5% of total revenues for the three and six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260" w:type="dxa"/>
            <w:vAlign w:val="bottom"/>
            <w:gridSpan w:val="6"/>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Six Months Ended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Variance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3200" w:type="dxa"/>
            <w:vAlign w:val="bottom"/>
            <w:tcBorders>
              <w:top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b w:val="1"/>
                <w:bCs w:val="1"/>
                <w:color w:val="auto"/>
                <w:w w:val="83"/>
              </w:rPr>
              <w:t>Sales, net</w:t>
            </w: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6,849</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00" w:type="dxa"/>
            <w:vAlign w:val="bottom"/>
          </w:tcPr>
          <w:p>
            <w:pPr>
              <w:jc w:val="right"/>
              <w:ind w:right="1810"/>
              <w:spacing w:after="0"/>
              <w:rPr>
                <w:sz w:val="20"/>
                <w:szCs w:val="20"/>
                <w:color w:val="auto"/>
              </w:rPr>
            </w:pPr>
            <w:r>
              <w:rPr>
                <w:rFonts w:ascii="Arial" w:cs="Arial" w:eastAsia="Arial" w:hAnsi="Arial"/>
                <w:sz w:val="18"/>
                <w:szCs w:val="18"/>
                <w:b w:val="1"/>
                <w:bCs w:val="1"/>
                <w:color w:val="auto"/>
                <w:w w:val="84"/>
              </w:rPr>
              <w:t>License revenues</w:t>
            </w:r>
          </w:p>
        </w:tc>
        <w:tc>
          <w:tcPr>
            <w:tcW w:w="8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30"/>
        </w:trPr>
        <w:tc>
          <w:tcPr>
            <w:tcW w:w="3200" w:type="dxa"/>
            <w:vAlign w:val="bottom"/>
            <w:tcBorders>
              <w:top w:val="single" w:sz="8" w:color="CCEEFF"/>
              <w:bottom w:val="single" w:sz="8" w:color="CCEEFF"/>
            </w:tcBorders>
            <w:shd w:val="clear" w:color="auto" w:fill="CCEEFF"/>
          </w:tcPr>
          <w:p>
            <w:pPr>
              <w:jc w:val="right"/>
              <w:ind w:right="1810"/>
              <w:spacing w:after="0"/>
              <w:rPr>
                <w:sz w:val="20"/>
                <w:szCs w:val="20"/>
                <w:color w:val="auto"/>
              </w:rPr>
            </w:pPr>
            <w:r>
              <w:rPr>
                <w:rFonts w:ascii="Arial" w:cs="Arial" w:eastAsia="Arial" w:hAnsi="Arial"/>
                <w:sz w:val="18"/>
                <w:szCs w:val="18"/>
                <w:b w:val="1"/>
                <w:bCs w:val="1"/>
                <w:color w:val="auto"/>
              </w:rPr>
              <w:t>Total revenues</w:t>
            </w: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6,857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revenue between periods was largely attributable to increased sales of our proprietary formulations and furtherance of our ophthalmology related compounded formulations, including our LessDrops formulations. Our gross ophthalmology related sales were approximately $4,760 and $8,418 for the three and six months ended June 30, 2017, compared to $2,617 and $4,405 during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9"/>
                <w:szCs w:val="19"/>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For the Six Months Ended</w:t>
            </w:r>
          </w:p>
        </w:tc>
        <w:tc>
          <w:tcPr>
            <w:tcW w:w="120" w:type="dxa"/>
            <w:vAlign w:val="bottom"/>
          </w:tcPr>
          <w:p>
            <w:pPr>
              <w:spacing w:after="0"/>
              <w:rPr>
                <w:sz w:val="19"/>
                <w:szCs w:val="19"/>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 We also incurred some inefficiencies in our overall production processes during the six months ended June 30, 2017 as we shifted certain production efforts and requirements to new processes and systems, including cGMP requirements at our NJ based outsourcing facility which effected our overall gross margin percent.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1"/>
              </w:rPr>
              <w:t>For the Three Months Ended</w:t>
            </w:r>
          </w:p>
        </w:tc>
        <w:tc>
          <w:tcPr>
            <w:tcW w:w="220" w:type="dxa"/>
            <w:vAlign w:val="bottom"/>
          </w:tcPr>
          <w:p>
            <w:pPr>
              <w:spacing w:after="0"/>
              <w:rPr>
                <w:sz w:val="19"/>
                <w:szCs w:val="19"/>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For the Six Months Ended</w:t>
            </w:r>
          </w:p>
        </w:tc>
        <w:tc>
          <w:tcPr>
            <w:tcW w:w="120" w:type="dxa"/>
            <w:vAlign w:val="bottom"/>
          </w:tcPr>
          <w:p>
            <w:pPr>
              <w:spacing w:after="0"/>
              <w:rPr>
                <w:sz w:val="19"/>
                <w:szCs w:val="19"/>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Variance</w:t>
            </w: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Borders>
              <w:top w:val="single" w:sz="8" w:color="CCEEFF"/>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The increase in selling and marketing expenses during the six months ended June 30, 2017 compared to the same period last year, was primarily attributable to the expansion of our sales and marketing efforts which included additional commercialization personnel, increased presence at trade conferences and implementation of other various marketing activities, all related to our commercialization efforts for our proprietary and certain non-proprietary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For the Three Months ended</w:t>
            </w:r>
          </w:p>
        </w:tc>
        <w:tc>
          <w:tcPr>
            <w:tcW w:w="220" w:type="dxa"/>
            <w:vAlign w:val="bottom"/>
          </w:tcPr>
          <w:p>
            <w:pPr>
              <w:spacing w:after="0"/>
              <w:rPr>
                <w:sz w:val="19"/>
                <w:szCs w:val="19"/>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For the Six Months Ended</w:t>
            </w:r>
          </w:p>
        </w:tc>
        <w:tc>
          <w:tcPr>
            <w:tcW w:w="120" w:type="dxa"/>
            <w:vAlign w:val="bottom"/>
          </w:tcPr>
          <w:p>
            <w:pPr>
              <w:spacing w:after="0"/>
              <w:rPr>
                <w:sz w:val="19"/>
                <w:szCs w:val="19"/>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general and administrative expenses between periods was largely attributable to the general increase of our operations to support the launch of our NJ based outsourcing facility, growth in sales, including hiring additional personnel, obtaining and maintaining state pharmacy licenses, increased professional fees and other related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6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0"/>
              </w:rPr>
              <w:t>For the Three Months ended</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For the Six Months Ended</w:t>
            </w:r>
          </w:p>
        </w:tc>
        <w:tc>
          <w:tcPr>
            <w:tcW w:w="120" w:type="dxa"/>
            <w:vAlign w:val="bottom"/>
          </w:tcPr>
          <w:p>
            <w:pPr>
              <w:spacing w:after="0"/>
              <w:rPr>
                <w:sz w:val="19"/>
                <w:szCs w:val="19"/>
                <w:color w:val="auto"/>
              </w:rPr>
            </w:pPr>
          </w:p>
        </w:tc>
        <w:tc>
          <w:tcPr>
            <w:tcW w:w="9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research and development expenses between periods was primarily attributable to several formulation development studies we conducted on our core formulations during the six months ended June 30,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$2 and $5 for the three and six months ended June 30, 2017, respectively, compared to $6 and $8 for the same periods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$769 and $1,560 for the three and six months ended June 30, 2017, compared to $637 and $1,268 during the same period last year, respectively. The increase was primarily due to interest expense recognition related to the LSAF Loan,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and six months ended June 30, 2017, we recorded a loss of $216,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Deconsolidation of Eton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2017, we recorded a gain of $5,725, on the deconsolidation of Eton, see Note 2 and Note 3 in the Notes to the condensed consolidated financial statements for a more detailed explanation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Assets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and six months ended June 30, 2017, we recorded a loss of $269 and $284, respectively, related to assets associated with the sale of Imprimis TX and our sinus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benefit was $28 and $56 for the three and six months ended June 30, 2017, respectively, which was related to the net change in our deferred tax liabilities and assets, specifically those related to the Park acquisition and its identifiable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income (loss) for the three and six months ended June 30,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For the</w:t>
            </w:r>
          </w:p>
        </w:tc>
        <w:tc>
          <w:tcPr>
            <w:tcW w:w="26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For the</w:t>
            </w:r>
          </w:p>
        </w:tc>
        <w:tc>
          <w:tcPr>
            <w:tcW w:w="2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Three Months</w:t>
            </w:r>
          </w:p>
        </w:tc>
        <w:tc>
          <w:tcPr>
            <w:tcW w:w="18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Three Months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Ended</w:t>
            </w:r>
          </w:p>
        </w:tc>
        <w:tc>
          <w:tcPr>
            <w:tcW w:w="18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Ended</w:t>
            </w:r>
          </w:p>
        </w:tc>
        <w:tc>
          <w:tcPr>
            <w:tcW w:w="18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5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19"/>
                <w:szCs w:val="19"/>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260" w:type="dxa"/>
            <w:vAlign w:val="bottom"/>
          </w:tcPr>
          <w:p>
            <w:pPr>
              <w:spacing w:after="0"/>
              <w:rPr>
                <w:sz w:val="19"/>
                <w:szCs w:val="19"/>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June 30,</w:t>
            </w:r>
          </w:p>
        </w:tc>
        <w:tc>
          <w:tcPr>
            <w:tcW w:w="2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2017</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2017</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Basic net income (loss) per share of common stock</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3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income (loss) per share of common stock</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cash on hand (including restricted cash) at June 30, 2017 was $4,365, compared to $9,053 at December 31, 2016. Since inception through June 30, 2017 we have incurred aggregate losses to common stockholders of $(80,373).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the date of this Quarterly Report, we believe that cash and cash equivalents and restricted investments of approximately $4,365 at June 30, 2017, along with net proceeds from the SWK Loan entered into in July 2017 and proceeds from the sale of certain assets,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and six months ended June 30,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For the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r>
      <w:tr>
        <w:trPr>
          <w:trHeight w:val="216"/>
        </w:trPr>
        <w:tc>
          <w:tcPr>
            <w:tcW w:w="5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546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gridSpan w:val="2"/>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(5,980)</w:t>
            </w: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13,804</w:t>
            </w:r>
          </w:p>
        </w:tc>
        <w:tc>
          <w:tcPr>
            <w:tcW w:w="80" w:type="dxa"/>
            <w:vAlign w:val="bottom"/>
            <w:shd w:val="clear" w:color="auto" w:fill="CCEEFF"/>
          </w:tcPr>
          <w:p>
            <w:pPr>
              <w:spacing w:after="0"/>
              <w:rPr>
                <w:sz w:val="21"/>
                <w:szCs w:val="21"/>
                <w:color w:val="auto"/>
              </w:rPr>
            </w:pPr>
          </w:p>
        </w:tc>
      </w:tr>
      <w:tr>
        <w:trPr>
          <w:trHeight w:val="203"/>
        </w:trPr>
        <w:tc>
          <w:tcPr>
            <w:tcW w:w="5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6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(4,688)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21"/>
                <w:szCs w:val="21"/>
                <w:color w:val="auto"/>
              </w:rPr>
            </w:pPr>
          </w:p>
        </w:tc>
      </w:tr>
      <w:tr>
        <w:trPr>
          <w:trHeight w:val="217"/>
        </w:trPr>
        <w:tc>
          <w:tcPr>
            <w:tcW w:w="5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6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$(6,285) in 2017, as compared to $(5,068)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in 2017 and 2016 was $(515) and $(5,980), respectively. Cash used in investing activities in 2017, were primarily associated with equipment purchases and upgrades and investments in our intellectual property portfolio. Cash used in investing activities in 2016 was primarily related to construction efforts and equipment purchases for our New Jersey, California and Texas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in 2017 and 2016 was $2,112 and $13,804, respectively. The cash provided by financing activities during 2017 is primarily attributable to proceeds from the registered direct offering and sale of shares of common stock in March 2017. Cash provided by financing activities in 2016 was primarily attributable to proceeds received in January 2016 from the LSAF Convertible Note, proceeds received from the underwritten public offering and sale of shares of common stock in March 2016 and proceeds received from the private placement of common stock and warrants in December 2016.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principal sources of cash consist of cash provided by financing activities, including $2,940 in net proceeds related to a registered direct offering of our common stock in March 2017, proceeds related to $16,000 SWK Loan in July 2017 (less the concurrent retirement of our then existing term loan), and from ongoing product and formulation sales. We do not currently receive sufficient revenues to support our operations.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are eligible to receive additional proceeds from future sales of our common stock under our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with Cantor Fitzgerald &amp; Co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2017. Based on this evaluation, our principal executive officer and principal financial officer have concluded that our disclosure controls and procedures were effective to achieve their stated purpose as of June 30, 2017,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June 30, 2017,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incurred losses in every year of our operations, including net losses of $(19,087) and $(15,899) for the years ended December 31, 2016 and 2015, respectively, and net income (losses) of $1,484 and $(3,522) for the three and six months ended June 30, 2017 and $(4,639) and $(9,135) for the three and six months ended June 30, 2016, respectively. As of June 30, 2017, our accumulated deficit was $(80,373). We expect to decrease our operating losses during 2017,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and use external sales companies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We currently operate from compounding facilities in New Jersey and California.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87"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efforts to expand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the formulations by our compounding facilities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 at the time of final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$55,000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and/or license 26 U.S. patents or patent applications and we own seven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August 9, 2017, approximately 13%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2016 Annual Report, our management concluded that our internal controls over financial reporting were effective as of December 31, 2016.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ind w:left="1040" w:hanging="1025"/>
        <w:spacing w:after="0" w:line="264" w:lineRule="auto"/>
        <w:tabs>
          <w:tab w:leader="none" w:pos="10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License Agreement dated April 1, 2017 between Imprimis Pharmaceuticals, Inc. and Richard L. Lindstrom, M.D. (incorporated herein by reference to Exhibit 10.1 to the Current Report on Form 8-K of Imprimis Pharmaceuticals, Inc. filed with the Securities and Exchange Commission on April 6,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Arial" w:cs="Arial" w:eastAsia="Arial" w:hAnsi="Arial"/>
                <w:sz w:val="18"/>
                <w:szCs w:val="18"/>
                <w:b w:val="1"/>
                <w:bCs w:val="1"/>
                <w:color w:val="auto"/>
              </w:rPr>
              <w:t>10.2</w:t>
            </w:r>
          </w:p>
        </w:tc>
        <w:tc>
          <w:tcPr>
            <w:tcW w:w="10700" w:type="dxa"/>
            <w:vAlign w:val="bottom"/>
          </w:tcPr>
          <w:p>
            <w:pPr>
              <w:ind w:left="320"/>
              <w:spacing w:after="0"/>
              <w:rPr>
                <w:sz w:val="20"/>
                <w:szCs w:val="20"/>
                <w:color w:val="auto"/>
              </w:rPr>
            </w:pPr>
            <w:r>
              <w:rPr>
                <w:rFonts w:ascii="Arial" w:cs="Arial" w:eastAsia="Arial" w:hAnsi="Arial"/>
                <w:sz w:val="18"/>
                <w:szCs w:val="18"/>
                <w:color w:val="auto"/>
                <w:w w:val="97"/>
              </w:rPr>
              <w:t>Strategic Sales &amp; Marketing Agreement dated April 13, 2017 between Imprimis Pharmaceuticals, Inc. and Cameron Ehlen Group, Inc.</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10.1 to the Current Report on Form 8-K of Imprimis Pharmaceuticals, Inc. filed with the Securities</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and Exchange Commission on April 17, 2017)</w:t>
            </w:r>
          </w:p>
        </w:tc>
      </w:tr>
      <w:tr>
        <w:trPr>
          <w:trHeight w:val="418"/>
        </w:trPr>
        <w:tc>
          <w:tcPr>
            <w:tcW w:w="720" w:type="dxa"/>
            <w:vAlign w:val="bottom"/>
          </w:tcPr>
          <w:p>
            <w:pPr>
              <w:spacing w:after="0"/>
              <w:rPr>
                <w:sz w:val="20"/>
                <w:szCs w:val="20"/>
                <w:color w:val="auto"/>
              </w:rPr>
            </w:pPr>
            <w:r>
              <w:rPr>
                <w:rFonts w:ascii="Arial" w:cs="Arial" w:eastAsia="Arial" w:hAnsi="Arial"/>
                <w:sz w:val="18"/>
                <w:szCs w:val="18"/>
                <w:b w:val="1"/>
                <w:bCs w:val="1"/>
                <w:color w:val="auto"/>
              </w:rPr>
              <w:t>10.3</w:t>
            </w:r>
          </w:p>
        </w:tc>
        <w:tc>
          <w:tcPr>
            <w:tcW w:w="10700" w:type="dxa"/>
            <w:vAlign w:val="bottom"/>
          </w:tcPr>
          <w:p>
            <w:pPr>
              <w:ind w:left="320"/>
              <w:spacing w:after="0"/>
              <w:rPr>
                <w:sz w:val="20"/>
                <w:szCs w:val="20"/>
                <w:color w:val="auto"/>
              </w:rPr>
            </w:pPr>
            <w:r>
              <w:rPr>
                <w:rFonts w:ascii="Arial" w:cs="Arial" w:eastAsia="Arial" w:hAnsi="Arial"/>
                <w:sz w:val="18"/>
                <w:szCs w:val="18"/>
                <w:color w:val="auto"/>
              </w:rPr>
              <w:t>Strategic Sales &amp; Marketing Agreement dated April 28, 2017 between Imprimis Pharmaceuticals, Inc. and SightLife Surgical, Inc.</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(incorporated herein by reference to Exhibit 10.1 to the Current Report on Form 8-K of Imprimis Pharmaceuticals, Inc. filed with the Securities</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and Exchange Commission on May 2, 2017)</w:t>
            </w:r>
          </w:p>
        </w:tc>
      </w:tr>
      <w:tr>
        <w:trPr>
          <w:trHeight w:val="418"/>
        </w:trPr>
        <w:tc>
          <w:tcPr>
            <w:tcW w:w="720" w:type="dxa"/>
            <w:vAlign w:val="bottom"/>
          </w:tcPr>
          <w:p>
            <w:pPr>
              <w:spacing w:after="0"/>
              <w:rPr>
                <w:sz w:val="20"/>
                <w:szCs w:val="20"/>
                <w:color w:val="auto"/>
              </w:rPr>
            </w:pPr>
            <w:r>
              <w:rPr>
                <w:rFonts w:ascii="Arial" w:cs="Arial" w:eastAsia="Arial" w:hAnsi="Arial"/>
                <w:sz w:val="18"/>
                <w:szCs w:val="18"/>
                <w:b w:val="1"/>
                <w:bCs w:val="1"/>
                <w:color w:val="auto"/>
              </w:rPr>
              <w:t>10.4</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Asset Purchase and License Agreement (pentoxifylline) dated May 9, 2017 between Imprimis Pharmaceuticals, Inc. and Eton Pharmaceuticals,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Inc. (incorporated herein by reference to Exhibit 10.1 to the Current Report on Form 8-K of Imprimis Pharmaceuticals, Inc. filed with the</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Securities and Exchange Commission on June 20, 2017)</w:t>
            </w:r>
          </w:p>
        </w:tc>
      </w:tr>
      <w:tr>
        <w:trPr>
          <w:trHeight w:val="418"/>
        </w:trPr>
        <w:tc>
          <w:tcPr>
            <w:tcW w:w="720" w:type="dxa"/>
            <w:vAlign w:val="bottom"/>
          </w:tcPr>
          <w:p>
            <w:pPr>
              <w:spacing w:after="0"/>
              <w:rPr>
                <w:sz w:val="20"/>
                <w:szCs w:val="20"/>
                <w:color w:val="auto"/>
              </w:rPr>
            </w:pPr>
            <w:r>
              <w:rPr>
                <w:rFonts w:ascii="Arial" w:cs="Arial" w:eastAsia="Arial" w:hAnsi="Arial"/>
                <w:sz w:val="18"/>
                <w:szCs w:val="18"/>
                <w:b w:val="1"/>
                <w:bCs w:val="1"/>
                <w:color w:val="auto"/>
              </w:rPr>
              <w:t>10.5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Asset Purchase and License Agreement (corticotropin) dated May 9, 2017 between Imprimis Pharmaceuticals, Inc. and Eton Pharmaceuticals,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Inc. (incorporated herein by reference to Exhibit 10.2 to the Current Report on Form 8-K of Imprimis Pharmaceuticals, Inc. filed with the</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Securities and Exchange Commission on June 20, 2017)</w:t>
            </w:r>
          </w:p>
        </w:tc>
      </w:tr>
      <w:tr>
        <w:trPr>
          <w:trHeight w:val="418"/>
        </w:trPr>
        <w:tc>
          <w:tcPr>
            <w:tcW w:w="720" w:type="dxa"/>
            <w:vAlign w:val="bottom"/>
          </w:tcPr>
          <w:p>
            <w:pPr>
              <w:spacing w:after="0"/>
              <w:rPr>
                <w:sz w:val="20"/>
                <w:szCs w:val="20"/>
                <w:color w:val="auto"/>
              </w:rPr>
            </w:pPr>
            <w:r>
              <w:rPr>
                <w:rFonts w:ascii="Arial" w:cs="Arial" w:eastAsia="Arial" w:hAnsi="Arial"/>
                <w:sz w:val="18"/>
                <w:szCs w:val="18"/>
                <w:b w:val="1"/>
                <w:bCs w:val="1"/>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Management Services Agreement dated May 1, 2017 between Imprimis Pharmaceuticals, Inc. and Eton Pharmaceuticals, Inc. (incorporated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herein by reference to Exhibit 10.4 to the Current Report on Form 8-K of Imprimis Pharmaceuticals, Inc. filed with the Securities and Exchange</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Commission on June 20, 2017)</w:t>
            </w:r>
          </w:p>
        </w:tc>
      </w:tr>
      <w:tr>
        <w:trPr>
          <w:trHeight w:val="418"/>
        </w:trPr>
        <w:tc>
          <w:tcPr>
            <w:tcW w:w="720" w:type="dxa"/>
            <w:vAlign w:val="bottom"/>
          </w:tcPr>
          <w:p>
            <w:pPr>
              <w:spacing w:after="0"/>
              <w:rPr>
                <w:sz w:val="20"/>
                <w:szCs w:val="20"/>
                <w:color w:val="auto"/>
              </w:rPr>
            </w:pPr>
            <w:r>
              <w:rPr>
                <w:rFonts w:ascii="Arial" w:cs="Arial" w:eastAsia="Arial" w:hAnsi="Arial"/>
                <w:sz w:val="18"/>
                <w:szCs w:val="18"/>
                <w:b w:val="1"/>
                <w:bCs w:val="1"/>
                <w:color w:val="auto"/>
              </w:rPr>
              <w:t>10.7*</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Asset Purchase Agreement dated June 27, 2017 between Imprimis Pharmaceuticals, Inc. and its wholly owned subsidiaries ImprimisRx PA,</w:t>
            </w:r>
          </w:p>
        </w:tc>
      </w:tr>
      <w:tr>
        <w:trPr>
          <w:trHeight w:val="230"/>
        </w:trPr>
        <w:tc>
          <w:tcPr>
            <w:tcW w:w="720" w:type="dxa"/>
            <w:vAlign w:val="bottom"/>
          </w:tcPr>
          <w:p>
            <w:pPr>
              <w:spacing w:after="0"/>
              <w:rPr>
                <w:sz w:val="20"/>
                <w:szCs w:val="20"/>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Inc. and ImprimisRx CA, Inc. and Creative Pharmacy Solutions Central, LLC</w:t>
            </w:r>
          </w:p>
        </w:tc>
      </w:tr>
      <w:tr>
        <w:trPr>
          <w:trHeight w:val="432"/>
        </w:trPr>
        <w:tc>
          <w:tcPr>
            <w:tcW w:w="720" w:type="dxa"/>
            <w:vAlign w:val="bottom"/>
          </w:tcPr>
          <w:p>
            <w:pPr>
              <w:spacing w:after="0"/>
              <w:rPr>
                <w:sz w:val="20"/>
                <w:szCs w:val="20"/>
                <w:color w:val="auto"/>
              </w:rPr>
            </w:pPr>
            <w:r>
              <w:rPr>
                <w:rFonts w:ascii="Arial" w:cs="Arial" w:eastAsia="Arial" w:hAnsi="Arial"/>
                <w:sz w:val="18"/>
                <w:szCs w:val="18"/>
                <w:b w:val="1"/>
                <w:bCs w:val="1"/>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rPr>
              <w:t>Consulting Agreement dated May 1, 2017 between Eton Pharmaceuticals, Inc. and Mark L. Baum</w:t>
            </w:r>
          </w:p>
        </w:tc>
      </w:tr>
      <w:tr>
        <w:trPr>
          <w:trHeight w:val="466"/>
        </w:trPr>
        <w:tc>
          <w:tcPr>
            <w:tcW w:w="720" w:type="dxa"/>
            <w:vAlign w:val="bottom"/>
            <w:tcBorders>
              <w:bottom w:val="single" w:sz="8" w:color="auto"/>
            </w:tcBorders>
          </w:tcPr>
          <w:p>
            <w:pPr>
              <w:spacing w:after="0"/>
              <w:rPr>
                <w:sz w:val="24"/>
                <w:szCs w:val="24"/>
                <w:color w:val="auto"/>
              </w:rPr>
            </w:pPr>
          </w:p>
        </w:tc>
        <w:tc>
          <w:tcPr>
            <w:tcW w:w="10700" w:type="dxa"/>
            <w:vAlign w:val="bottom"/>
            <w:tcBorders>
              <w:bottom w:val="single" w:sz="8" w:color="auto"/>
            </w:tcBorders>
          </w:tcPr>
          <w:p>
            <w:pPr>
              <w:ind w:left="4920"/>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420"/>
          </w:cols>
          <w:pgMar w:left="240" w:top="661" w:right="239" w:bottom="1440" w:gutter="0" w:footer="0" w:header="0"/>
        </w:sectPr>
      </w:pPr>
    </w:p>
    <w:bookmarkStart w:id="51" w:name="page52"/>
    <w:bookmarkEnd w:id="51"/>
    <w:p>
      <w:pPr>
        <w:spacing w:after="0"/>
        <w:tabs>
          <w:tab w:leader="none" w:pos="102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color w:val="auto"/>
        </w:rPr>
        <w:t>Consulting Agreement dated May 1, 2017 between Eton Pharmaceuticals, Inc. and Andrew R. Boll</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color w:val="auto"/>
        </w:rPr>
        <w:t>Consulting Agreement dated May 1, 2017 between Eton Pharmaceuticals, Inc. and John P. Saharek</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6"/>
          <w:szCs w:val="16"/>
          <w:color w:val="auto"/>
        </w:rPr>
        <w:t>Consulting Agreement dated May 1, 2017 between Eton Pharmaceuticals, Inc. and Clayton Edwards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color w:val="auto"/>
        </w:rPr>
        <w:t>Certification of Mark L. Baum, principal executive officer, pursuant to Rule 13a-14(a) or 15d-14(a) of the Securities and Exchange Act of</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1934, as adopted pursuant to Section 302 of the Sarbanes- Oxley Act of 2002.</w:t>
      </w:r>
    </w:p>
    <w:p>
      <w:pPr>
        <w:spacing w:after="0" w:line="207" w:lineRule="exact"/>
        <w:rPr>
          <w:sz w:val="20"/>
          <w:szCs w:val="20"/>
          <w:color w:val="auto"/>
        </w:rPr>
      </w:pPr>
    </w:p>
    <w:p>
      <w:pPr>
        <w:ind w:left="1040" w:right="20" w:hanging="1025"/>
        <w:spacing w:after="0" w:line="277" w:lineRule="auto"/>
        <w:tabs>
          <w:tab w:leader="none" w:pos="10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Certification of Andrew R. Boll, principal financial and accounting officer, pursuant to Rule 13a-14(a) or 15d-14(a) of the Securities and Exchange Act of 1934, as adopted pursuant to Section 302 of the Sarbanes- Oxley Act of 2002.</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XBRL Taxonomy Extension Schema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10,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ASSET PURCHASE AGREEMENT (the “Agreement”), is made as of June 27, 2017, (the “Effective Date”) by and among Imprimis Pharmaceuticals, Inc., a Delaware corporation (“Company”), ImprimisRx CA, Inc., a California corporation (“RxCA”), ImprimisRx PA, Inc., a Delaware corporation (“RxPA” and together with RxCA, collectively, “Subsidiaries” and each a “Subsidiary”; and together with Company, RxPA and RxCA, collectively, “Sellers” and each, individually, a “Seller”), and Creative Pharmacy Solutions Central, LLC, a Delaware limited liability company doing business as Pharmacy Innovations (“Buyer”).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is the owner of ImprimisRx CA, Inc., a California corporation and licensed pharmacy doing business as ImprimisRx located at 9257 Research Drive, Irvine, CA 92618 (the “RxCA Premises”) and ImprimisRx PA, Inc., a Delaware corporation and licensed pharmacy doing business as ImprimisRx located at 780 Primos Ave., Unit E, Folcroft, PA 19032 (the “RxPA Premises”).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upon the terms and subject to the conditions set forth herein, Buyer desires to purchase from Seller, and Seller desires to sell to Buyer, certain Assets (as defined below) of the Company and Subsidiaries in exchange for the consideration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agreements, representations, and warranties contained herein, the parties hereto agree as follows:</w:t>
      </w:r>
    </w:p>
    <w:p>
      <w:pPr>
        <w:spacing w:after="0" w:line="166" w:lineRule="exact"/>
        <w:rPr>
          <w:sz w:val="20"/>
          <w:szCs w:val="20"/>
          <w:color w:val="auto"/>
        </w:rPr>
      </w:pPr>
    </w:p>
    <w:p>
      <w:pPr>
        <w:jc w:val="both"/>
        <w:ind w:firstLine="8"/>
        <w:spacing w:after="0" w:line="281"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b w:val="1"/>
          <w:bCs w:val="1"/>
          <w:u w:val="single" w:color="auto"/>
          <w:color w:val="auto"/>
        </w:rPr>
        <w:t>Sale and Transfer of the Assets</w:t>
      </w:r>
      <w:r>
        <w:rPr>
          <w:rFonts w:ascii="Arial" w:cs="Arial" w:eastAsia="Arial" w:hAnsi="Arial"/>
          <w:sz w:val="17"/>
          <w:szCs w:val="17"/>
          <w:color w:val="auto"/>
        </w:rPr>
        <w:t>. Subject to the terms and conditions of this Agreement, on the Closing Date (as defined in Section 8.1), Seller will sell,</w:t>
      </w:r>
      <w:r>
        <w:rPr>
          <w:rFonts w:ascii="Arial" w:cs="Arial" w:eastAsia="Arial" w:hAnsi="Arial"/>
          <w:sz w:val="17"/>
          <w:szCs w:val="17"/>
          <w:b w:val="1"/>
          <w:bCs w:val="1"/>
          <w:color w:val="auto"/>
        </w:rPr>
        <w:t xml:space="preserve"> </w:t>
      </w:r>
      <w:r>
        <w:rPr>
          <w:rFonts w:ascii="Arial" w:cs="Arial" w:eastAsia="Arial" w:hAnsi="Arial"/>
          <w:sz w:val="17"/>
          <w:szCs w:val="17"/>
          <w:color w:val="auto"/>
        </w:rPr>
        <w:t>convey, assign, transfer, and deliver to Buyer, and Buyer will purchase, accept and take from Seller, the Assets (as defined in Section 13.1), free and clear of any Encumbrances (as defined in Section 13.1). As further outlined in Section 13.7, Seller shall have no obligation in the physical transfer of any of the Assets to another location, other than to reasonably assist any subcontractors of Buyer with the packing of the same.</w:t>
      </w:r>
    </w:p>
    <w:p>
      <w:pPr>
        <w:spacing w:after="0" w:line="164" w:lineRule="exact"/>
        <w:rPr>
          <w:rFonts w:ascii="Arial" w:cs="Arial" w:eastAsia="Arial" w:hAnsi="Arial"/>
          <w:sz w:val="17"/>
          <w:szCs w:val="17"/>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Price</w:t>
      </w:r>
      <w:r>
        <w:rPr>
          <w:rFonts w:ascii="Arial" w:cs="Arial" w:eastAsia="Arial" w:hAnsi="Arial"/>
          <w:sz w:val="16"/>
          <w:szCs w:val="16"/>
          <w:color w:val="auto"/>
        </w:rPr>
        <w:t>. The purchase price (the “Purchase Price”) for the Assets shall be the aggregate of the consideration set forth in Section 2.1 and Section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2.1.4 below.</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Cash Consideration</w:t>
      </w:r>
      <w:r>
        <w:rPr>
          <w:rFonts w:ascii="Arial" w:cs="Arial" w:eastAsia="Arial" w:hAnsi="Arial"/>
          <w:sz w:val="18"/>
          <w:szCs w:val="18"/>
          <w:b w:val="1"/>
          <w:bCs w:val="1"/>
          <w:color w:val="auto"/>
        </w:rPr>
        <w:t>.</w:t>
      </w:r>
      <w:r>
        <w:rPr>
          <w:rFonts w:ascii="Arial" w:cs="Arial" w:eastAsia="Arial" w:hAnsi="Arial"/>
          <w:sz w:val="18"/>
          <w:szCs w:val="18"/>
          <w:color w:val="auto"/>
        </w:rPr>
        <w:t xml:space="preserve"> As consideration for the sale, conveyance, assignment, transfer and delivery to Buyer of the Assets, Buyer shall pay to Company, by wire transfer of funds to an account or accounts designated by Company, the sum of Four Hundred Fifty Thousand Dollars ($450,000.00) payable as follows: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Initial Cash Payment</w:t>
      </w:r>
      <w:r>
        <w:rPr>
          <w:rFonts w:ascii="Arial" w:cs="Arial" w:eastAsia="Arial" w:hAnsi="Arial"/>
          <w:sz w:val="16"/>
          <w:szCs w:val="16"/>
          <w:color w:val="auto"/>
        </w:rPr>
        <w:t>. Forty Thousand Dollars ($40,000.00 and the “Initial Cash Payment”) within five (5) days of the Closing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both"/>
        <w:ind w:firstLine="1297"/>
        <w:spacing w:after="0" w:line="29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Balance Cash Payment</w:t>
      </w:r>
      <w:r>
        <w:rPr>
          <w:rFonts w:ascii="Arial" w:cs="Arial" w:eastAsia="Arial" w:hAnsi="Arial"/>
          <w:sz w:val="16"/>
          <w:szCs w:val="16"/>
          <w:color w:val="auto"/>
        </w:rPr>
        <w:t>. Four Hundred Ten Thousand Dollars ($410,000.00 and the “Balance Cash Payment”, which shall bear an interest rate of 6% and together with the Initial Cash Payment the “Purchase Price”) payable in forty-eight (48) equal monthly installment payments of Nine</w:t>
      </w:r>
    </w:p>
    <w:p>
      <w:pPr>
        <w:jc w:val="both"/>
        <w:spacing w:after="0" w:line="205" w:lineRule="auto"/>
        <w:rPr>
          <w:sz w:val="20"/>
          <w:szCs w:val="20"/>
          <w:color w:val="auto"/>
        </w:rPr>
      </w:pPr>
      <w:r>
        <w:rPr>
          <w:rFonts w:ascii="Arial" w:cs="Arial" w:eastAsia="Arial" w:hAnsi="Arial"/>
          <w:sz w:val="18"/>
          <w:szCs w:val="18"/>
          <w:color w:val="auto"/>
        </w:rPr>
        <w:t>Thousand Six Hundred Twenty Eight Dollars and Eighty Six Cents ($9,628.86 and each a “Monthly Payment”), with each Monthly Payment due by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subsequent month. The first Monthly Payment will be due by August 5, 2017.</w:t>
      </w:r>
    </w:p>
    <w:p>
      <w:pPr>
        <w:spacing w:after="0" w:line="20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Discount to Balance Cash Payment</w:t>
      </w:r>
      <w:r>
        <w:rPr>
          <w:rFonts w:ascii="Arial" w:cs="Arial" w:eastAsia="Arial" w:hAnsi="Arial"/>
          <w:sz w:val="18"/>
          <w:szCs w:val="18"/>
          <w:color w:val="auto"/>
        </w:rPr>
        <w:t>. In the event the Buyer elects to make advanced payments such that Buyer delivers to Seller a total of Three Hundred Sixty Five Thousand Dollars ($365,000.00) of the Balance Cash Payment prior to December 31, 2017, Seller shall waive the additional remaining amounts due of the Balance Cash Payment. After December 31, 2017, in the event the Buyer elects to make an advanced payment in full of the Balance Cash Payment the amount paid by the Seller shall be made according to the amortization table provided in Exhibit D and with no prepayment penalty.</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Post-Closing Adjustment(s)</w:t>
      </w:r>
      <w:r>
        <w:rPr>
          <w:rFonts w:ascii="Arial" w:cs="Arial" w:eastAsia="Arial" w:hAnsi="Arial"/>
          <w:sz w:val="16"/>
          <w:szCs w:val="16"/>
          <w:color w:val="auto"/>
        </w:rPr>
        <w:t xml:space="preserve">. Sixty (60) days after Closing, Buyer will account for all sales associated with the Assets and with the Business (as defined in Section 13.1) located at or about Unit E, 780 Primos Avenue, Folcroft Borough, Pennsylvania (“PA Location”). In the event said sales are less than Sixty Percent (60.00%) of Seller’s sales associated with the Assets and the Business of the PA Location in the sixty (60) days preceding the Effective Date, the Balance Cash Payment will be reduced by $125,000, and the amortization of the balance Cash Payment described in 2.1.2 will be adjusted accordingly for all remaining payments; </w:t>
      </w:r>
      <w:r>
        <w:rPr>
          <w:rFonts w:ascii="Arial" w:cs="Arial" w:eastAsia="Arial" w:hAnsi="Arial"/>
          <w:sz w:val="16"/>
          <w:szCs w:val="16"/>
          <w:i w:val="1"/>
          <w:iCs w:val="1"/>
          <w:color w:val="auto"/>
        </w:rPr>
        <w:t>provided, however</w:t>
      </w:r>
      <w:r>
        <w:rPr>
          <w:rFonts w:ascii="Arial" w:cs="Arial" w:eastAsia="Arial" w:hAnsi="Arial"/>
          <w:sz w:val="16"/>
          <w:szCs w:val="16"/>
          <w:color w:val="auto"/>
        </w:rPr>
        <w:t>, Buyer shall use reasonable diligence, efforts and care to continue to operate the Business of the PA Location following the Closing Date as it was operated by the Seller prior to the Effective Date. In the event Buyer claims that the post-Closing Date sales are less than Sixty Percent (60.00%) of Seller’s pre-Effective Date sales as outlined in the previous sentence, Buyer shall permit Seller to have full access during normal business hours to such records of Buyer as may be reasonably necessary to verify the proper operations and sales of the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Assumption of Liabilities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2.2.1 As additional consideration for the sale, conveyance, assignment, transfer and delivery to Buyer of the Assets, Buyer, as of the Closing Date, shall assume the lease of real property entered into by Company with respect to the RxPA Premises (the “Lease” or “Assumed Liabilities”), provided that, in connection with the assumption of the Lease, at Closing Buyer shall reimburse Company for, and thereafter Buyer shall be entitled to all benefits of and any right to receive a return of, the Twelve Thousand Five Hundred Twenty Nine Dollars and Ninety Eight Cents ($12,529.98) deposit held in connection with and pursuant to the terms of the Lease (the “Lease Deposit Reimbursement”).</w:t>
      </w:r>
    </w:p>
    <w:p>
      <w:pPr>
        <w:spacing w:after="0" w:line="17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2.2.2 Notwithstanding any provision in any Transaction Agreements (as defined in Section 13.1) to the contrary, except for assumption of the Assumed Liabilities, Buyer shall not assume or be deemed to have assumed any liabilities of Seller or any Subsidiaries or affiliates of Seller (or any predecessor owner of all or part of Seller’s respective businesses or assets), whether as transferee or successor, by contract or otherwise, and Seller shall remain liable for, any and all liabilities of Seller of any kind whatsoever, whether known, unknown, liquidated or contingent, whether presently in existence or arising or asserted hereafter, including, without limitation, any accounts payable of Seller (collectively, the “Excluded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648"/>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Purchase Price Allocation</w:t>
      </w:r>
      <w:r>
        <w:rPr>
          <w:rFonts w:ascii="Arial" w:cs="Arial" w:eastAsia="Arial" w:hAnsi="Arial"/>
          <w:sz w:val="17"/>
          <w:szCs w:val="17"/>
          <w:b w:val="1"/>
          <w:bCs w:val="1"/>
          <w:color w:val="auto"/>
        </w:rPr>
        <w:t>.</w:t>
      </w:r>
      <w:r>
        <w:rPr>
          <w:rFonts w:ascii="Arial" w:cs="Arial" w:eastAsia="Arial" w:hAnsi="Arial"/>
          <w:sz w:val="17"/>
          <w:szCs w:val="17"/>
          <w:color w:val="auto"/>
        </w:rPr>
        <w:t xml:space="preserve"> Within thirty (30) days after Closing, Buyer shall deliver to Seller an allocation of the sum of the Purchase Price and Assumed Liabilities (and any adjustments thereof) among the Assets as of the Closing (the “Allocation”) in accordance with Section 1060 of the Internal Revenue Code of 1986, as amended, and the Treasury Regulations thereunder. Seller shall have an opportunity to review the Allocation for a period of not more than ten (10) days after receipt of the Allocation (the “Review Period”). If Seller delivers notice to Buyer prior to the expiration of the Review Period that Seller’s calculation of any item in the Allocation varies by twenty percent (20%) or more from the amount for such item set forth in the Allocation delivered by Buyer, Buyer and Seller shall attempt in good faith to agree on an adjustment to the Allocation that is mutually agreeable to Buyer and Seller for a period not to exceed ten (10) days and the Allocation as adjusted by the parties mutual agreement shall be binding on both Buyer and Seller. If Seller does not provide notice of any dispute prior to the expiration of the Review Period, the Allocation shall be deemed to be final and binding on both Buyer and Seller. Buyer and Seller shall cooperate in connection with the preparation of Internal Revenue Service Form 8594 for its timely filing. Except as otherwise required by applicable law, Buyer and Seller shall report for all tax purposes all transactions contemplated by this Agreement in a manner consistent with the Allocation and shall not take any position inconsistent therewith in any tax return, in any refund claim, in any litigation, or otherwise. If Buyer and Seller are unable to agree on the Allocation, Buyer and Seller shall each be permitted to file any returns reflecting an allocation of the purchase price as each shall independently determine.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Assets Acquired on “As Is,” “Where Is” Basis</w:t>
      </w:r>
      <w:r>
        <w:rPr>
          <w:rFonts w:ascii="Arial" w:cs="Arial" w:eastAsia="Arial" w:hAnsi="Arial"/>
          <w:sz w:val="18"/>
          <w:szCs w:val="18"/>
          <w:color w:val="auto"/>
        </w:rPr>
        <w:t>. Notwithstanding anything contained herein to the contrary, it is understood and agreed that, except as expressly set forth in this Agreement, including without limitation, the representations and warranties set forth in Section 4 of this Agreement, Seller disclaim all warranties or representations of any kind or character, expressed or implied. Buyer is acquiring the Assets and will accept the Assets in an “as is,” “where is” condition with all faults, provided, however, all Assets will be delivered to Buyer at Seller’s existing location at or about Unit E, 780 Primos Avenue, Folcroft Borough, Pennsylvania. Buyer agrees that Buyer has not relied upon, and will not rely upon, either directly or indirectly, any representation or warranty of Seller, or any representation or warranty of any agent or employee of Seller, except such representations and warranties as expressly set forth in this Agreement.</w:t>
      </w:r>
    </w:p>
    <w:p>
      <w:pPr>
        <w:spacing w:after="0" w:line="189" w:lineRule="exact"/>
        <w:rPr>
          <w:sz w:val="20"/>
          <w:szCs w:val="20"/>
          <w:color w:val="auto"/>
        </w:rPr>
      </w:pPr>
    </w:p>
    <w:p>
      <w:pPr>
        <w:jc w:val="both"/>
        <w:ind w:firstLine="8"/>
        <w:spacing w:after="0" w:line="266" w:lineRule="auto"/>
        <w:tabs>
          <w:tab w:leader="none" w:pos="221"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Seller</w:t>
      </w:r>
      <w:r>
        <w:rPr>
          <w:rFonts w:ascii="Arial" w:cs="Arial" w:eastAsia="Arial" w:hAnsi="Arial"/>
          <w:sz w:val="18"/>
          <w:szCs w:val="18"/>
          <w:color w:val="auto"/>
        </w:rPr>
        <w:t>. As a material inducement to Buyer to enter into this Agreement and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except as set forth in the corresponding sections or subsections of the disclosure schedule attached hereto (the “Disclosure Schedule”), Seller represents and warrants to Buyer as of the Closing Date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The Company is a corporation, duly formed, validly existing, and in good standing under the laws of the State of Delaware. RxCA is a corporation, duly formed, validly existing, and in good standing under the laws of the State of California. RxPA is a corporation, duly formed, validly existing, and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both"/>
        <w:ind w:firstLine="648"/>
        <w:spacing w:after="0" w:line="29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Buyer has full power and authority to enter into and consummate the transactions contemplated by this Agreement. The execution and delivery of this Agreement and the consummation of the transactions contemplated hereby have been duly and validly authorized by the board of directors or managers, as applicable, of the Buyer and no other corporate, limited liability company, or other proceedings on the part of any Seller are/e necessary to authorize this Agreement or to consummate the transactions contemplated hereby. This Agreement has been duly and validly executed and delivered by , and, assuming that this Agreement constitutes a valid and binding agreement of Buyer, constitutes the legal, valid and binding agreement and obligation of , enforceable in accordance with its terms, except as such enforcement may be limited by bankruptcy laws, laws affecting creditors’ rights generally, and equitable principles. No relationship or contract, order, or any other document or relationship prohibits or limits the transfers contemplated by this Agreement. Other than for compliance with the provisions of applicable statutes and regulations, no notice to, filing with, or authorization, consent, or approval of any domestic or foreign public body or authority is necessary for the consummation of the transactions contemplated by this Agreement.</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No Violation to Result</w:t>
      </w:r>
      <w:r>
        <w:rPr>
          <w:rFonts w:ascii="Arial" w:cs="Arial" w:eastAsia="Arial" w:hAnsi="Arial"/>
          <w:sz w:val="16"/>
          <w:szCs w:val="16"/>
          <w:color w:val="auto"/>
        </w:rPr>
        <w:t>. The execution, delivery and performance by Seller of this Agreement and the other documents contemplated hereby and the consummation by Seller of the transactions contemplated hereby and thereby and the fulfillment by Seller of the terms hereof and thereof, do not and will not (i) violate, breach or constitute a default under the respective organizational documents of Seller, any contract of any Seller, or any law applicable to Seller, (ii) give any governmental authority or any other person the right to prohibit any of the transactions contemplated by this Agreement, or (iii) result in the creation or imposition of any Encumbrance upon the Assets. Except as set forth on Section 3.3 of the Disclosure Schedule, no notice to, filing with, or consent of, any person is necessary in connection with the authorization, approval, execution, delivery or performance by Seller of this Agreement and the other documents contemplated hereby or the consummation by any Seller of the transactions contemplated hereby or thereby.</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Title to Subject Assets</w:t>
      </w:r>
      <w:r>
        <w:rPr>
          <w:rFonts w:ascii="Arial" w:cs="Arial" w:eastAsia="Arial" w:hAnsi="Arial"/>
          <w:sz w:val="17"/>
          <w:szCs w:val="17"/>
          <w:color w:val="auto"/>
        </w:rPr>
        <w:t>. Seller has good and marketable title to, are the exclusive legal and equitable owners of, and have the unrestricted power and right to sell, assign and deliver the Assets. At the Closing Date, Seller will deliver the Assets free and clear of all Encumbrances of any kind or nature other than Permitted Encumbrances. Upon Closing, Buyer will acquire exclusive, good and marketable title to the Assets or a valid leasehold interest in the RxPA Premises and no restrictions arising out of Seller’s ownership of the Assets or rental of the RxPA Premises will exist with respect to Buyer’s right to resell, license, or sublicense any of the Assets or Assumed Liabilities or engage in the Business in compliance with all laws.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Seller have complied in all material respects with, and are not in material violation of, and have not received any written or oral notices of violation with respect to, any laws applicable to Seller, the Assets 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jc w:val="both"/>
        <w:ind w:firstLine="648"/>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No Intent</w:t>
      </w:r>
      <w:r>
        <w:rPr>
          <w:rFonts w:ascii="Arial" w:cs="Arial" w:eastAsia="Arial" w:hAnsi="Arial"/>
          <w:sz w:val="18"/>
          <w:szCs w:val="18"/>
          <w:color w:val="auto"/>
        </w:rPr>
        <w:t>. Seller is not entering into this Agreement with the intent to hinder, delay, or defraud any person to which any Seller is, or may become, indebted. The Purchase Price is not less than the reasonably equivalent value of the Assets.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u w:val="single" w:color="auto"/>
          <w:color w:val="auto"/>
        </w:rPr>
        <w:t>Licenses and Permits</w:t>
      </w:r>
      <w:r>
        <w:rPr>
          <w:rFonts w:ascii="Arial" w:cs="Arial" w:eastAsia="Arial" w:hAnsi="Arial"/>
          <w:sz w:val="18"/>
          <w:szCs w:val="18"/>
          <w:color w:val="auto"/>
        </w:rPr>
        <w:t>. All licenses held by RxPA are listed in Section 3.7 of the Disclosure Schedule and there currently are no criminal, administrative, disciplinary proceedings, or other suits or proceedings pending or threatened against RxPA nor does Seller have any knowledge of any such proceedings.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u w:val="single" w:color="auto"/>
          <w:color w:val="auto"/>
        </w:rPr>
        <w:t>No Other Agreements</w:t>
      </w:r>
      <w:r>
        <w:rPr>
          <w:rFonts w:ascii="Arial" w:cs="Arial" w:eastAsia="Arial" w:hAnsi="Arial"/>
          <w:sz w:val="18"/>
          <w:szCs w:val="18"/>
          <w:color w:val="auto"/>
        </w:rPr>
        <w:t>. Neither Seller nor any Representatives (as defined in Section 13.1) of Seller have entered into any other agreements or arrangements with respect to the sale or other disposition of the Assets (except for non-binding letters of intent or similar such instruments that would in no way affect the transferability of the Assets pursuant to this Agreement) other than with respect to sales of assets in the ordinary course of business consistent with past practice.</w:t>
      </w:r>
    </w:p>
    <w:p>
      <w:pPr>
        <w:spacing w:after="0" w:line="180" w:lineRule="exact"/>
        <w:rPr>
          <w:sz w:val="20"/>
          <w:szCs w:val="20"/>
          <w:color w:val="auto"/>
        </w:rPr>
      </w:pPr>
    </w:p>
    <w:p>
      <w:pPr>
        <w:ind w:firstLine="8"/>
        <w:spacing w:after="0" w:line="282"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of Buyer</w:t>
      </w:r>
      <w:r>
        <w:rPr>
          <w:rFonts w:ascii="Arial" w:cs="Arial" w:eastAsia="Arial" w:hAnsi="Arial"/>
          <w:sz w:val="18"/>
          <w:szCs w:val="18"/>
          <w:color w:val="auto"/>
        </w:rPr>
        <w:t>. Buyer represents and warrants to Seller as follows, the truth and accuracy of each of which shall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to the obligations of Seller: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 Buyer is a corporation, duly formed, validly existing, and in good standing under the laws of the State of Delaware.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Buyer has full power and authority to execute and deliver this Agreement and consummate the transactions contemplated hereby. The execution and delivery of this Agreement and the consummation of the transactions contemplated hereby have been duly and validly authorized by the board of directors of Buyer and no other corporate or other proceedings on the part of Buyer are necessary to authorize this Agreement or to consummate the transactions contemplated hereby. This Agreement has been duly and validly executed and delivered by Buyer, and, assuming that this Agreement constitutes a valid and binding agreement of Seller, constitutes the legal, valid, and binding agreement and obligation of Buyer, enforceable in accordance with its terms, except as such enforcement may be limited by bankruptcy laws, laws affecting creditors’ rights generally, and equitable principles. No relationship of Buyer or contract, order, or any other agreement to which Buyer is a party prohibits or limits the transactions contemplated by this Agreement. Other than for compliance with the provisions of applicable statutes and regulations, Buyer is not required to provide any notice to, make any filing with, or obtain the authorization, consent or approval of, any domestic or foreign governmental authority in order to consummate the transactions contemplated by this Agreement.</w:t>
      </w:r>
    </w:p>
    <w:p>
      <w:pPr>
        <w:spacing w:after="0" w:line="1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No Violation to Result</w:t>
      </w:r>
      <w:r>
        <w:rPr>
          <w:rFonts w:ascii="Arial" w:cs="Arial" w:eastAsia="Arial" w:hAnsi="Arial"/>
          <w:sz w:val="16"/>
          <w:szCs w:val="16"/>
          <w:color w:val="auto"/>
        </w:rPr>
        <w:t>. The execution, delivery and performance by Buyer of this Agreement and the other documents contemplated hereby and the consummation by Buyer of the transactions contemplated hereby and thereby and the fulfillment by Buyer of the terms hereof and thereof, do not and will not (i) violate, breach or constitute a default under the organizational documents of Buyer, any contract of Buyer, or any law applicable to Buyer or (ii) give any governmental authority or any other person the right to prohibit any of the transactions contemplated by this Agreement. No notice to, filing with, or consent of, any person is necessary in connection with the authorization, approval, execution, delivery or performance by Buyer of this Agreement and the other documents contemplated hereby or the consummation by Buyer of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Buyer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Buyer Filing of Change of Ownership Paperwork</w:t>
      </w:r>
      <w:r>
        <w:rPr>
          <w:rFonts w:ascii="Arial" w:cs="Arial" w:eastAsia="Arial" w:hAnsi="Arial"/>
          <w:sz w:val="17"/>
          <w:szCs w:val="17"/>
          <w:color w:val="auto"/>
        </w:rPr>
        <w:t>. After the Closing Date, Buyer will cause to be timely filed all notices and applications necessary for Buyer to acquire or, to the extent permissible under applicable law, transfer to Buyer any permits or contracts held by RxPA in connection with the operation of the pharmacy and shall change the name of the pharmacy with the Pennsylvania Board of Pharmacy and all other non-resident Boards of Pharmacy RxPA hold licenses with. In addition, Buyer shall notify all other necessary third parties of the change in name and ownership including, where applicable, all insurance providers and pharmacy benefit managers (“PBM”). Following the Closing Date, Buyer shall not use the name ImprimisRx PA, Inc., ImprimisRx, Imprimis or any other trademark or tradename currently owned by, used by or associated with Seller.</w:t>
      </w:r>
    </w:p>
    <w:p>
      <w:pPr>
        <w:spacing w:after="0" w:line="17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Buyer Response to PBM and Other Audits</w:t>
      </w:r>
      <w:r>
        <w:rPr>
          <w:rFonts w:ascii="Arial" w:cs="Arial" w:eastAsia="Arial" w:hAnsi="Arial"/>
          <w:sz w:val="17"/>
          <w:szCs w:val="17"/>
          <w:color w:val="auto"/>
        </w:rPr>
        <w:t>. After the Closing Date and for a period of six (6) months, Buyer shall timely respond to any PBM or similar audits with respect to RxPA that are received by Buyer, and shall promptly give written notice to Seller of any such audits.</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Maintenance of Pharmacy Records</w:t>
      </w:r>
      <w:r>
        <w:rPr>
          <w:rFonts w:ascii="Arial" w:cs="Arial" w:eastAsia="Arial" w:hAnsi="Arial"/>
          <w:sz w:val="18"/>
          <w:szCs w:val="18"/>
          <w:color w:val="auto"/>
        </w:rPr>
        <w:t>. After the Closing Date and receipt from Seller of all prescription files and records relating to RxPA (the “Pharmacy Records”), Buyer, at Buyer’s expense, will transfer the Pharmacy Records to Buyer’s central repository of records. Buyer agrees to preserve all Pharmacy Records, to respond to any inquires received with reference thereto, to provide Seller with reasonable access thereto and permit Seller to make copies thereof during normal business hours for a period of seven (7) years following the Closing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Employer Identification Number (EIN); Provider Numbers; License Applications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5.4.1 From and after the Closing Date, for income tax reporting purposes all activities with respect to RxPA shall be reportable under Buyer’s EIN, and Buyer will have no responsibility for filing tax returns under the Seller’ EINs for RxPA nor for any tax, interest, penalty or other assessment arising therefrom.</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5.4.2 Within fifteen (15) days after Closing, Buyer will submit all change of ownership notices, applications, fees, and other documentation necessary to obtain any required licenses from the Pennsylvania Board of Pharmacy and other Boards of Pharmacy with respect to Buyer’s ownership of RxPA (the “RxPA Licensure”).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5.4.3 Buyer will obtain new NPI and NCPDP numbers to be used in connection with Buyer’s pharmacy and shall activate such new NPI and NCPDP numbers within fifteen (15) days after Buyers receipt of RxPA Licensure.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0" w:name="page61"/>
    <w:bookmarkEnd w:id="60"/>
    <w:p>
      <w:pPr>
        <w:jc w:val="both"/>
        <w:ind w:firstLine="1297"/>
        <w:spacing w:after="0" w:line="259" w:lineRule="auto"/>
        <w:rPr>
          <w:sz w:val="20"/>
          <w:szCs w:val="20"/>
          <w:color w:val="auto"/>
        </w:rPr>
      </w:pPr>
      <w:r>
        <w:rPr>
          <w:rFonts w:ascii="Arial" w:cs="Arial" w:eastAsia="Arial" w:hAnsi="Arial"/>
          <w:sz w:val="18"/>
          <w:szCs w:val="18"/>
          <w:color w:val="auto"/>
        </w:rPr>
        <w:t>5.4.4 Within ninety (90) days after Closing, Buyer will submit (i) all change of ownership notices, applications, fees, and other documentation necessary to obtain required licenses in any jurisdiction other than Pennsylvania with respect to Buyer’s ownership of RxPA (“Other Licensure”); and (ii) all change of ownership and other documentation necessary in connection with all PBM and payer contracts (together with Other Licensure, collectively “Required Approvals”).</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Actions Under Power of Attorney</w:t>
      </w:r>
      <w:r>
        <w:rPr>
          <w:rFonts w:ascii="Arial" w:cs="Arial" w:eastAsia="Arial" w:hAnsi="Arial"/>
          <w:sz w:val="18"/>
          <w:szCs w:val="18"/>
          <w:color w:val="auto"/>
        </w:rPr>
        <w:t xml:space="preserve">. All powers granted to Buyer pursuant to the power of attorney (as outlined herein) delivered to Buyer pursuant to Section 8.2.4(d) of this Agreement shall expire upon the earliest to occur of (i) Buyer’s receipt of all Required Approvals; and (ii) ninety (90) days after Closing (the “POA Term”);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POA Term may be extended for one or more additional sixty (60) day periods with the written consent of Seller. Upon expiration of the POA Term, Buyer (i) shall not exercise any powers granted to Buyer pursuant to such power of attorney; and (ii) shall either deliver the original of such power of attorney to Seller or provide written confirmation to Seller that the original of such power of attorney has been destroyed.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u w:val="single" w:color="auto"/>
          <w:color w:val="auto"/>
        </w:rPr>
        <w:t>Security Agreement</w:t>
      </w:r>
      <w:r>
        <w:rPr>
          <w:rFonts w:ascii="Arial" w:cs="Arial" w:eastAsia="Arial" w:hAnsi="Arial"/>
          <w:sz w:val="17"/>
          <w:szCs w:val="17"/>
          <w:color w:val="auto"/>
        </w:rPr>
        <w:t>. To secure all of Buyer’s liabilities to Seller and its affiliates pursuant to this Agreement, including the Purchase Price and Balance Cash Payments or otherwise (collectively, the “Obligations”), Buyer grants to Seller a security interest in all Assets (to the extent allowed by applicable law) and a lien upon and security interest in all its personal property and any and all additions, substitutions, and proceeds thereto or thereof, wherever located and now owned or hereafter acquired or arising, relating to the Assets (collectively, the “Collateral”). All capitalized terms used herein and not defined have the meaning set forth in the Uniform Commercial Code as in effect in any jurisdiction in which any of the Collateral may at the time be located (the “UCC”). Seller reserves the right, in its sole discretion, and Buyer authorizes Seller, upon such election, to file a UCC financing statement describing the Collateral as “all assets.” Buyer also ratifies its authorization for Seller to have filed, in its sole discretion, any UCC financing statement or amendment thereto describing the Collateral as “all assets” in effect in any jurisdiction if filed prior to the date hereof. Upon full and final payment by Buyer to Seller of the Balance Cash Payment, Seller will, within five (5) calendar days of receipt of such full and final payment, file at Seller’s expense such document(s) as are necessary to terminate any such UCC financing statement(s). Buyer will cooperate with Seller or any successor secured party in obtaining control with respect to the Collateral. Buyer hereby grants to Seller an irrevocable power of attorney coupled with an interest for the purpose of exercising and perfecting any and all rights and remedies available to Seller at law and in equity, including such rights and remedies available to Seller pursuant to this Agreement. Seller may at any time enforce its rights against Buyer.</w:t>
      </w:r>
    </w:p>
    <w:p>
      <w:pPr>
        <w:spacing w:after="0" w:line="17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Purchased Assets</w:t>
      </w:r>
      <w:r>
        <w:rPr>
          <w:rFonts w:ascii="Arial" w:cs="Arial" w:eastAsia="Arial" w:hAnsi="Arial"/>
          <w:sz w:val="18"/>
          <w:szCs w:val="18"/>
          <w:color w:val="auto"/>
        </w:rPr>
        <w:t>. In the event that, at any time or from time to time following the Closing, any party identifies any asset that is included within the definition of “Assets” that was not transferred as of Closing, then Seller shall promptly transfer, or cause to be transferred, such asset to Buyer for no additional consideration. Prior to any such transfer, Seller shall hold such asset in trust for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both"/>
        <w:ind w:firstLine="648"/>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Interim Medication and Devices Inventory and Reconciliation</w:t>
      </w:r>
      <w:r>
        <w:rPr>
          <w:rFonts w:ascii="Arial" w:cs="Arial" w:eastAsia="Arial" w:hAnsi="Arial"/>
          <w:sz w:val="18"/>
          <w:szCs w:val="18"/>
          <w:color w:val="auto"/>
        </w:rPr>
        <w:t xml:space="preserve">. On the Closing Date, Seller shall deliver to Buyer an inventory of all Assets on hand at the RxPA Premises and RxCA Premises as of the Closing Date (“Closing Inventory”) as outlined in </w:t>
      </w:r>
      <w:r>
        <w:rPr>
          <w:rFonts w:ascii="Arial" w:cs="Arial" w:eastAsia="Arial" w:hAnsi="Arial"/>
          <w:sz w:val="18"/>
          <w:szCs w:val="18"/>
          <w:b w:val="1"/>
          <w:bCs w:val="1"/>
          <w:i w:val="1"/>
          <w:iCs w:val="1"/>
          <w:color w:val="auto"/>
        </w:rPr>
        <w:t>Exhibit C.</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auto"/>
        </w:rPr>
        <w:t>Limited Power of Attorney</w:t>
      </w:r>
      <w:r>
        <w:rPr>
          <w:rFonts w:ascii="Arial" w:cs="Arial" w:eastAsia="Arial" w:hAnsi="Arial"/>
          <w:sz w:val="17"/>
          <w:szCs w:val="17"/>
          <w:color w:val="auto"/>
        </w:rPr>
        <w:t>. Effective upon the Closing, the Seller hereby irrevocably appoint Buyer and its successors, agents and assigns as its true and lawful attorney, in its name, place and stead, with power of substitution, to take any action and to execute any instrument which Buyer may deem necessary or advisable for the purposes of: (i) demanding and receiving any and all Assets not held by Seller and to make endorsements and give receipts and releases for and in respect of the same; (ii) to institute, prosecute, defend, compromise, or settle any and all proceedings with respect to the Assets and the Lease; (iii) to receive and open all mail, packages and other communications addressed to RxPA relating to the Business; and (iv) conveying to Buyer the right to use, among other required numbers, but not limited to, RxPA’s state licenses, Board of Pharmacy registrations, DEA registrations, Medicaid Provider Numbers, Medicare Provider Numbers, and NCPDP and NPI numbers.</w:t>
      </w:r>
    </w:p>
    <w:p>
      <w:pPr>
        <w:spacing w:after="0" w:line="172" w:lineRule="exact"/>
        <w:rPr>
          <w:sz w:val="20"/>
          <w:szCs w:val="20"/>
          <w:color w:val="auto"/>
        </w:rPr>
      </w:pPr>
    </w:p>
    <w:p>
      <w:pPr>
        <w:jc w:val="both"/>
        <w:ind w:firstLine="8"/>
        <w:spacing w:after="0" w:line="266" w:lineRule="auto"/>
        <w:tabs>
          <w:tab w:leader="none" w:pos="194"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color w:val="auto"/>
        </w:rPr>
        <w:t>. Except for the representations and warranties of Seller set forth in Sections 3.1, 3.2, and 3.4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of Buyer set forth in Section 4.1 and 4.2, which warranties shall survive indefinitely, all representations and warranties made under this Agreement will survive the Closing for a period of one (1) year.</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Closing</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The transactions contemplated by this Agreement shall close by electronic exchange of documents (the “Closing”) as soon as practicable after the date on which the document deliveries and actions referenced in this Section 8 are completed, in no case later than July 17, 2017 (the “Closing Date”).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Conditions to Buyer’s Obligations</w:t>
      </w:r>
      <w:r>
        <w:rPr>
          <w:rFonts w:ascii="Arial" w:cs="Arial" w:eastAsia="Arial" w:hAnsi="Arial"/>
          <w:sz w:val="18"/>
          <w:szCs w:val="18"/>
          <w:color w:val="auto"/>
        </w:rPr>
        <w:t>. The obligations of Buyer to consummate the transactions contemplated under this Agreement and the other Transaction Agreements are subject to the fulfillment and satisfaction, prior to or at the time of the Closing, of each of the following conditions precedent (the “Buyer Conditions”), any one or more of which may be waived, in part or in full, by Buyer in writing:</w:t>
      </w:r>
    </w:p>
    <w:p>
      <w:pPr>
        <w:spacing w:after="0" w:line="18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8.2.1 The representations and warranties of contained in this Agreement (and in any other Transaction Agreement delivered by any Seller pursuant hereto) shall be true, correct, and complete in all material respects on and as of the Closing.</w:t>
      </w:r>
    </w:p>
    <w:p>
      <w:pPr>
        <w:spacing w:after="0" w:line="17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8.2.2 All of the terms, covenants, agreements and obligations of this Agreement to be complied with, performed, or satisfied by any Seller on or before the Closing Date shall have been duly complied with, performed, or satisfied in all material respects on or before such date.</w:t>
      </w:r>
    </w:p>
    <w:p>
      <w:pPr>
        <w:spacing w:after="0" w:line="14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8.2.3 Any lenders to Seller who are required to approve or consent to the sale of the Assets to Buyer pursuant to this Agreement shall have delivered an approval or consent, including assurance that Buyer will not be liable for any claims such lenders may have against Seller or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2" w:name="page63"/>
    <w:bookmarkEnd w:id="62"/>
    <w:p>
      <w:pPr>
        <w:ind w:left="1300"/>
        <w:spacing w:after="0"/>
        <w:rPr>
          <w:sz w:val="20"/>
          <w:szCs w:val="20"/>
          <w:color w:val="auto"/>
        </w:rPr>
      </w:pPr>
      <w:r>
        <w:rPr>
          <w:rFonts w:ascii="Arial" w:cs="Arial" w:eastAsia="Arial" w:hAnsi="Arial"/>
          <w:sz w:val="18"/>
          <w:szCs w:val="18"/>
          <w:color w:val="auto"/>
        </w:rPr>
        <w:t>8.2.4 On or prior to the Closing, Seller shall have delivered or made available to Buyer the following:</w:t>
      </w:r>
    </w:p>
    <w:p>
      <w:pPr>
        <w:spacing w:after="0" w:line="225" w:lineRule="exact"/>
        <w:rPr>
          <w:sz w:val="20"/>
          <w:szCs w:val="20"/>
          <w:color w:val="auto"/>
        </w:rPr>
      </w:pPr>
    </w:p>
    <w:p>
      <w:pPr>
        <w:ind w:left="2200" w:hanging="247"/>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Pharmacy Records.</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Bill of Sale duly executed by in the form attached hereto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unconditional consent to assignment of the Lease to Buyer from the landlord set forth in the Lease;</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Power of Attorney duly executed by RxPA in the form attached hereto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duly executed counterparts to this Agreement and all other Transaction Agreements to which is a party; and</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other bills of sale, assignments, certificates of title and other documents of transfer as may be reasonably requested by Buyer in order to convey to Buyer good and marketable title to all of the Assets, free and clear of all Encumbrances other than Permitted Encumbrances, and in order to carry out the intentions and purposes of this Agreement and the other Transaction Agreements and the transactions contemplated hereby and thereby.</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8.2.5 Buyer shall have secured to Buyer’s reasonable satisfaction such assurance(s) and agreement(s) for as sought by Buyer with the current licensed pharmacist in charge (“PIC”) employed at Seller’s existing location at or about Unit E, 780 Primos Avenue, Folcroft Borough, Pennsylvania for said PIC’s employment with Buyer following the Closing; </w:t>
      </w:r>
      <w:r>
        <w:rPr>
          <w:rFonts w:ascii="Arial" w:cs="Arial" w:eastAsia="Arial" w:hAnsi="Arial"/>
          <w:sz w:val="18"/>
          <w:szCs w:val="18"/>
          <w:i w:val="1"/>
          <w:iCs w:val="1"/>
          <w:color w:val="auto"/>
        </w:rPr>
        <w:t>provided, however</w:t>
      </w:r>
      <w:r>
        <w:rPr>
          <w:rFonts w:ascii="Arial" w:cs="Arial" w:eastAsia="Arial" w:hAnsi="Arial"/>
          <w:sz w:val="18"/>
          <w:szCs w:val="18"/>
          <w:color w:val="auto"/>
        </w:rPr>
        <w:t>, Buyer shall offer PIC, within five (5) business days of the execution of this Agreement and made effective upon Closing, a compensation package (including salary and benefits).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Conditions to Seller’s Obligations</w:t>
      </w:r>
      <w:r>
        <w:rPr>
          <w:rFonts w:ascii="Arial" w:cs="Arial" w:eastAsia="Arial" w:hAnsi="Arial"/>
          <w:sz w:val="18"/>
          <w:szCs w:val="18"/>
          <w:color w:val="auto"/>
        </w:rPr>
        <w:t>. The obligations of the Seller to consummate the transactions contemplated under this Agreement and the Transaction Agreements are subject to the fulfillment and satisfaction, prior to or at the time of the Closing, of each of the following conditions precedent, any one or more of which may be waived, in part or in full, by the Company in writing:</w:t>
      </w:r>
    </w:p>
    <w:p>
      <w:pPr>
        <w:spacing w:after="0" w:line="18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8.3.1 The representations and warranties of Buyer contained in this Agreement (and in any other Transaction Agreement delivered by Buyer pursuant hereto) shall be true, correct and complete in all material respects on and as of the Closing.</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8.3.2 All of the terms, covenants, agreements and obligations of this Agreement to be complied with, performed or satisfied by Buyer on or before the Closing Date shall have been duly complied with, performed or satisfied in all material respects on or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ind w:left="1300"/>
        <w:spacing w:after="0"/>
        <w:rPr>
          <w:sz w:val="20"/>
          <w:szCs w:val="20"/>
          <w:color w:val="auto"/>
        </w:rPr>
      </w:pPr>
      <w:r>
        <w:rPr>
          <w:rFonts w:ascii="Arial" w:cs="Arial" w:eastAsia="Arial" w:hAnsi="Arial"/>
          <w:sz w:val="18"/>
          <w:szCs w:val="18"/>
          <w:color w:val="auto"/>
        </w:rPr>
        <w:t>8.3.3 Buyers shall have delivered to Seller, directly or through an intermediary, to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the Initial Cash Payment, the Lease Deposit Reimbursement, and, if any, the Apportioned Obligations Reimbursement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defined in Section 13.5);</w:t>
      </w:r>
    </w:p>
    <w:p>
      <w:pPr>
        <w:spacing w:after="0" w:line="211" w:lineRule="exact"/>
        <w:rPr>
          <w:sz w:val="20"/>
          <w:szCs w:val="20"/>
          <w:color w:val="auto"/>
        </w:rPr>
      </w:pPr>
    </w:p>
    <w:p>
      <w:pPr>
        <w:ind w:left="2200" w:hanging="247"/>
        <w:spacing w:after="0"/>
        <w:tabs>
          <w:tab w:leader="none" w:pos="22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document or instrument reasonably requested by Seller to evidence Buyer’s assumption of all obligations under the Lease;</w:t>
      </w:r>
    </w:p>
    <w:p>
      <w:pPr>
        <w:spacing w:after="0" w:line="248" w:lineRule="exact"/>
        <w:rPr>
          <w:rFonts w:ascii="Arial" w:cs="Arial" w:eastAsia="Arial" w:hAnsi="Arial"/>
          <w:sz w:val="16"/>
          <w:szCs w:val="16"/>
          <w:color w:val="auto"/>
        </w:rPr>
      </w:pPr>
    </w:p>
    <w:p>
      <w:pPr>
        <w:ind w:left="2200" w:hanging="247"/>
        <w:spacing w:after="0"/>
        <w:tabs>
          <w:tab w:leader="none" w:pos="22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duly executed counterparts to this Agreement and all other Transaction Agreements to which such Buyer is a party; and</w:t>
      </w:r>
    </w:p>
    <w:p>
      <w:pPr>
        <w:spacing w:after="0" w:line="236" w:lineRule="exact"/>
        <w:rPr>
          <w:rFonts w:ascii="Arial" w:cs="Arial" w:eastAsia="Arial" w:hAnsi="Arial"/>
          <w:sz w:val="17"/>
          <w:szCs w:val="17"/>
          <w:color w:val="auto"/>
        </w:rPr>
      </w:pPr>
    </w:p>
    <w:p>
      <w:pPr>
        <w:jc w:val="both"/>
        <w:ind w:firstLine="1953"/>
        <w:spacing w:after="0" w:line="286" w:lineRule="auto"/>
        <w:tabs>
          <w:tab w:leader="none" w:pos="2217" w:val="left"/>
        </w:tabs>
        <w:numPr>
          <w:ilvl w:val="1"/>
          <w:numId w:val="12"/>
        </w:numPr>
        <w:rPr>
          <w:rFonts w:ascii="Arial" w:cs="Arial" w:eastAsia="Arial" w:hAnsi="Arial"/>
          <w:sz w:val="17"/>
          <w:szCs w:val="17"/>
          <w:color w:val="auto"/>
        </w:rPr>
      </w:pPr>
      <w:r>
        <w:rPr>
          <w:rFonts w:ascii="Arial" w:cs="Arial" w:eastAsia="Arial" w:hAnsi="Arial"/>
          <w:sz w:val="17"/>
          <w:szCs w:val="17"/>
          <w:color w:val="auto"/>
        </w:rPr>
        <w:t>such other bills of sale, assignments, certificates of title and other documents of transfer as may be reasonably requested by Seller in order to convey to Buyer good and marketable title to all of the Assets and in order to carry out the intentions and purposes of this Agreement and the other Transaction Agreements and the transactions contemplated hereby and thereby all as duly executed by Buyer.</w:t>
      </w:r>
    </w:p>
    <w:p>
      <w:pPr>
        <w:spacing w:after="0" w:line="161" w:lineRule="exact"/>
        <w:rPr>
          <w:rFonts w:ascii="Arial" w:cs="Arial" w:eastAsia="Arial" w:hAnsi="Arial"/>
          <w:sz w:val="17"/>
          <w:szCs w:val="17"/>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 and Indemnification.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9.1 Each of Buyer, on one hand, and Seller, jointly and severally, but in each case subject to Section 9.5 of this Agreement, on the other hand, hereby covenant and agree to indemnify, defend, protect and hold harmless the other party and such party’s affiliated parties, agents, successors, and assigns from, against and in respect of all Damages (defined below) suffered, sustained, incurred or paid by the other party, in each case in connection with, resulting from or arising out of (whether or not involved in a third party claim): (i) the breach of any representation or warranty made by such party; (ii) the breach of any covenant or agreement on the part of such party; and (iii) enforcing the indemnification rights of the Indemnified Party (as defined below).</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9.2 Subject to Section 9.5 of this Agreement, Buyer shall indemnify, defend, protect and hold harmless Seller and Seller’s respective agents, successors, and assigns, from and against any and all Damages arising, resulting from, or relating to the ownership of the Assets and the operation of the Business, in each instance arising after the Closing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9.3 Seller, subject to Section 9.5 of this Agreement, shall indemnify, defend, protect and hold harmless Buyer, and Buyer’s agents, successors, and assigns, from and against any and all Damages arising, resulting from or relating to the ownership of the Assets and operation of the Business, in each instance arising on or prior to the Closing Date.</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9.4 In the event any claim for indemnification hereunder arises, including, without limitation, on account of a claim or action made or instituted by a third party, the party to this Agreement seeking indemnification (the “Indemnified Party”) hereunder shall notify in writing the party hereto from which it seeks indemnification (the “Indemnifying Party”) as soon as reasonably practicable, but in no event later than fifteen (15) days, after the Indemnified Party has actual knowledge of any claim that it has under this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ind w:firstLine="648"/>
        <w:spacing w:after="0" w:line="273" w:lineRule="auto"/>
        <w:rPr>
          <w:sz w:val="20"/>
          <w:szCs w:val="20"/>
          <w:color w:val="auto"/>
        </w:rPr>
      </w:pPr>
      <w:r>
        <w:rPr>
          <w:rFonts w:ascii="Arial" w:cs="Arial" w:eastAsia="Arial" w:hAnsi="Arial"/>
          <w:sz w:val="17"/>
          <w:szCs w:val="17"/>
          <w:color w:val="auto"/>
        </w:rPr>
        <w:t>9.5 Notwithstanding any provisions of this Agreement to the contrary, each party expressly agrees that (i) in no event shall any indemnifying party’s aggregate liability for any Damages payable to the indemnified parties pursuant to the indemnification provisions of this Section 9 exceed an amount equal to Purchase Price; (ii) in the absence of fraud, gross negligence, or intentional misconduct (a) recourse for any Damages payable to the indemnified parties pursuant to the indemnification provisions of this Section 9 shall be limited to assets then held by the applicable indemnifying party; and (b) no party shall seek to recover Damages from any employee, officer, director, manager, stockholder, member, any affiliate (or any employee, officer, director, manager, stockholder, or member of any affiliate) of the indemnifying party.</w:t>
      </w:r>
    </w:p>
    <w:p>
      <w:pPr>
        <w:spacing w:after="0" w:line="174" w:lineRule="exact"/>
        <w:rPr>
          <w:sz w:val="20"/>
          <w:szCs w:val="20"/>
          <w:color w:val="auto"/>
        </w:rPr>
      </w:pPr>
    </w:p>
    <w:p>
      <w:pPr>
        <w:jc w:val="both"/>
        <w:ind w:firstLine="656"/>
        <w:spacing w:after="0" w:line="289" w:lineRule="auto"/>
        <w:tabs>
          <w:tab w:leader="none" w:pos="918"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Seller’s Accounts Receivable</w:t>
      </w:r>
      <w:r>
        <w:rPr>
          <w:rFonts w:ascii="Arial" w:cs="Arial" w:eastAsia="Arial" w:hAnsi="Arial"/>
          <w:sz w:val="16"/>
          <w:szCs w:val="16"/>
          <w:color w:val="auto"/>
        </w:rPr>
        <w:t>. All accounts receivable of RxPA, including third-party receivables, which accrue prior to the Closing Date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the property of Seller. For a period of ninety (90) days from and after the Closing Date, Buyer agrees to accept payment of accounts receivable for and on behalf of Seller, and shall make an accounting of and transmit such collected receivables to the Company on Friday of each week, whether received during</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such 90-day period or thereafter (“A/R Payments”). On the 91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the Closing Date, Buyer shall return all records of A/R Payments to the Company. A/R Payments received, unless otherwise specified by any payer, shall be allocated on a first in first out basis. Notwithstanding any of the above, Buyer shall have no duty actively to attempt to collect such receivables, but will cooperate with Seller in such collection.</w:t>
      </w:r>
    </w:p>
    <w:p>
      <w:pPr>
        <w:spacing w:after="0" w:line="200"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Publicity and Disclosure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11.1 Buyer and the Company shall mutually determine the form and substance of any press release, publicity or other public communication related to this Agreement or the transactions contemplated hereby. Each party shall use commercially reasonable efforts to provide the other with the opportunity to comment on the initial press release announcing this Agreement and the transactions contemplated hereby prior to its release. No party shall make any disclosure of this Agreement or the existence, terms and conditions hereof (whether or not in response to an inquiry about the existence or subject matter of this Agreement), unless previously approved by Buyer and the Company. Notwithstanding the foregoing, nothing contained herein shall prohibit any party from making any disclosure which the party in good faith believes is required by, or advisable according to, applicable laws, regulations or stock market rules.</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11.2 Buyer hereby agree that each shall hold, and shall use its commercially reasonable efforts to cause its Representatives to hold, in strict confidence from any Person (other than such Representatives), and shall not (and shall use commercially reasonable efforts to cause its Representatives not to) disclose, transfer, transmit or use, any and all Buyer Confidential Information (defined below), except to the extent: (i) compelled to disclosure by judicial or administrative process or by other requirements of law upon the advice of counsel and following prompt notice to Buyer of any related proceeding thereby allowing Buyer reasonable opportunity to seek an appropriate protective order or other assurance that Buyer Confidential Information shall be afforded confidential treatment, (ii) previously known by the Person receiving such Buyer Confidential Information or (iii) in the public domain through no fault of the receiving person. After the Closing, shall, and shall use commercially reasonable efforts to cause their Representatives to, at the request and option of Buyer, deliver all tangible embodiments (and all copies) of Buyer Confidential Information that are in such party’s possession or under such party’s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u w:val="single" w:color="auto"/>
          <w:color w:val="auto"/>
        </w:rPr>
        <w:t>Covenant Not to Compete</w:t>
      </w:r>
      <w:r>
        <w:rPr>
          <w:rFonts w:ascii="Arial" w:cs="Arial" w:eastAsia="Arial" w:hAnsi="Arial"/>
          <w:sz w:val="17"/>
          <w:szCs w:val="17"/>
          <w:color w:val="auto"/>
        </w:rPr>
        <w:t>. For the period commencing with the Closing and ending on the second anniversary of the Closing, each of Seller and their respective directors, officers, managers, affiliates, agents, successors and assigns (except, in each instance, for any stockholder of the Company or any directors, officers, managers, affiliates (other than the Subsidiaries), agents, successors, and assigns of any stockholder of the Company), shall not, for any reason whatsoever, directly or indirectly, for themselves, as a principal, or for another’s account, on behalf of or in conjunction with any other person or through any form of ownership in any person, anywhere in the continental United States: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12.1.1 engage in participate, sponsor, organize, encourage, lend to, or invest in any activity competitive with any aspect of the Business,;</w:t>
      </w:r>
    </w:p>
    <w:p>
      <w:pPr>
        <w:spacing w:after="0" w:line="2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12.1.2 cause, induce, solicit or encourage any contractor, vendor, service provider, strategic partner or actual or prospective customer of the Business (the “Covered Persons”) to terminate such status or advise any person against entering into such status;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12.1.3 otherwise intentionally disrupt or interfere with, or attempt to disrupt or interfere with, the relations of Buyer with any Covered Person as such relations relate to the Assets or Business; or</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12.1.4 disparage or make any false or inaccurate statements (whether in oral, written, electronic or other form) to any media source, industry member, company, or group, financial institution or Covered Person regarding Buyer as they relate to the Assets or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provided, that the foregoing shall not prohibit any such persons from, collectively, owning as a passive investment ten percent (10%) or less of the equity of any publicly-traded or privately held entity. For purposes of the foregoing, a person who is not a customer of the Business shall be considered a “prospective customer” if any Subsidiaries made a presentation or written proposal to such person during the twenty-four (24) month period preceding the date hereof or was preparing to make such a presentation or proposal on the date hereof.</w:t>
      </w:r>
    </w:p>
    <w:p>
      <w:pPr>
        <w:spacing w:after="0" w:line="183"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13.1.1 “Assets” means all of Seller’s respective right, title and, interest in and to all assets properties, interests, and other rights of Seller directly related to the Business other than Excluded Assets, including without limitation: (i) all intellectual property rights directly relating to the Business (including, without limitation, all patent rights, trademarks, copyrights, inventions, trade secrets, and other intellectual property and proprietary rights owned by Seller relating to the Business) of Seller and all rights thereunder or in respect thereof; (ii) all training materials, presentation materials, and sales or promotional materials of each Seller relating to the Business; (iii) all tangible and intangible assets relating to the Business, including the Closing Inventory and all other inventory, equipment, and fixed assets; (iv) copies of all Pharmacy Records, customer lists, books, files, papers, ledgers, correspondence, databases, information systems, programs, materials, documents and records of each Seller relating to the Business as physically maintained or maintained on any other medium; (v) to the extent transferable, all permits of RxPA; and (vi) all claims, causes of action, rights to tender claims, or other rights against any person related to the Assets, including, without limitation, those assets set forth on the asset schedule, dated as of the Effective Date, delivered by Buyer to Seller, but excluding, in all instances, the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13.1.2 “Business” means and is specifically limited to the Seller’s topical sinusitis line of business.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13.1.3 “Buyer Confidential Information” means all: (i) documents and information concerning Buyer or any of its respective Representatives furnished in connection with this Agreement, any of the other Transaction Agreements or the transactions contemplated hereby or thereby (including, without limitation, any claim or dispute arising out of or related to this Agreement or the transactions contemplated hereby, or the interpretation, making, performance, breach or termination thereof); and (ii) all information concerning the Agreement, the Business and the Assets that is not generally available to the public and including, without limitation, any information provided or made available to the Company following the Closing pursuant to the Agreement.</w:t>
      </w:r>
    </w:p>
    <w:p>
      <w:pPr>
        <w:sectPr>
          <w:pgSz w:w="11900" w:h="16838" w:orient="portrait"/>
          <w:cols w:equalWidth="0" w:num="1">
            <w:col w:w="11420"/>
          </w:cols>
          <w:pgMar w:left="240" w:top="692" w:right="239" w:bottom="1440" w:gutter="0" w:footer="0" w:header="0"/>
        </w:sectPr>
      </w:pP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13.1.4 “Company Confidential Information” means all documents and information concerning Representatives or affiliates furnished in connection with this Agreement or the transactions contemplated hereby; Confidential Information shall not include the Assets.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hanging="29"/>
        <w:spacing w:after="0" w:line="308" w:lineRule="auto"/>
        <w:rPr>
          <w:sz w:val="20"/>
          <w:szCs w:val="20"/>
          <w:color w:val="auto"/>
        </w:rPr>
      </w:pPr>
      <w:r>
        <w:rPr>
          <w:rFonts w:ascii="Arial" w:cs="Arial" w:eastAsia="Arial" w:hAnsi="Arial"/>
          <w:sz w:val="17"/>
          <w:szCs w:val="17"/>
          <w:color w:val="auto"/>
        </w:rPr>
        <w:t xml:space="preserve">Seller or any of their respective </w:t>
      </w:r>
      <w:r>
        <w:rPr>
          <w:rFonts w:ascii="Arial" w:cs="Arial" w:eastAsia="Arial" w:hAnsi="Arial"/>
          <w:sz w:val="17"/>
          <w:szCs w:val="17"/>
          <w:i w:val="1"/>
          <w:iCs w:val="1"/>
          <w:color w:val="auto"/>
        </w:rPr>
        <w:t>provided, however</w:t>
      </w:r>
      <w:r>
        <w:rPr>
          <w:rFonts w:ascii="Arial" w:cs="Arial" w:eastAsia="Arial" w:hAnsi="Arial"/>
          <w:sz w:val="17"/>
          <w:szCs w:val="17"/>
          <w:color w:val="auto"/>
        </w:rPr>
        <w:t>, that Company</w:t>
      </w:r>
    </w:p>
    <w:p>
      <w:pPr>
        <w:spacing w:after="0" w:line="362" w:lineRule="exact"/>
        <w:rPr>
          <w:sz w:val="20"/>
          <w:szCs w:val="20"/>
          <w:color w:val="auto"/>
        </w:rPr>
      </w:pPr>
    </w:p>
    <w:p>
      <w:pPr>
        <w:sectPr>
          <w:pgSz w:w="11900" w:h="16838" w:orient="portrait"/>
          <w:cols w:equalWidth="0" w:num="2">
            <w:col w:w="8760" w:space="80"/>
            <w:col w:w="2580"/>
          </w:cols>
          <w:pgMar w:left="240" w:top="692" w:right="239" w:bottom="1440" w:gutter="0" w:footer="0" w:header="0"/>
          <w:type w:val="continuous"/>
        </w:sectPr>
      </w:pPr>
    </w:p>
    <w:p>
      <w:pPr>
        <w:jc w:val="both"/>
        <w:ind w:firstLine="1297"/>
        <w:spacing w:after="0" w:line="264" w:lineRule="auto"/>
        <w:rPr>
          <w:sz w:val="20"/>
          <w:szCs w:val="20"/>
          <w:color w:val="auto"/>
        </w:rPr>
      </w:pPr>
      <w:r>
        <w:rPr>
          <w:rFonts w:ascii="Arial" w:cs="Arial" w:eastAsia="Arial" w:hAnsi="Arial"/>
          <w:sz w:val="18"/>
          <w:szCs w:val="18"/>
          <w:color w:val="auto"/>
        </w:rPr>
        <w:t>13.1.5 “Damages” means all liabilities, losses, claims, damages, causes of actions, lawsuits, administrative proceedings (including informal proceedings), investigations, audits, demands, assessments, adjustments, judgments, settlement payments, deficiencies, penalties, fines, taxes, and costs and expenses (including, without limitation, reasonable and documented attorneys’ fees).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13.1.6 “Encumbrance” means any claim, lien, pledge, assignment, option, charge, easement, license, restraint, security interest, right-of-way, encumbrance, mortgage or other right or obligation (including, without limitation, with respect to any securities, any preemptive right, right of first refusal, put, call or other restriction on transfer, and, with respect to intellectual property rights, any license, covenant, release or immunity), other than encumbrances created by or through Buyer.</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13.1.7 “Excluded Assets” means, with respect to each Seller, any cash on hand, cash in banks, accounts receivable, any contracts and contract rights with respect to all contracts, anticipated or actual tax refunds, any and all refunds payable to Seller, and rights under insurance policies, including any refunds of prepaid insurance or refunds upon termination.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13.1.8 “Permitted Encumbrance” means (a) liens imposed by law for taxes that are not yet due; (b) carriers’, warehousemen’s, mechanics’, materialmen’s, repairmen’s and other like liens imposed by law, securing obligations that are not overdue; (c) rights reserved to or vested in any governmental authority to control or regulate, or obligations or duties to any governmental authority with respect to, any right, power, franchise, grant, license, permit or use of any property; and (d) any extension, renewal or replacement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67" w:name="page68"/>
    <w:bookmarkEnd w:id="67"/>
    <w:p>
      <w:pPr>
        <w:jc w:val="both"/>
        <w:ind w:firstLine="1297"/>
        <w:spacing w:after="0" w:line="312" w:lineRule="auto"/>
        <w:rPr>
          <w:sz w:val="20"/>
          <w:szCs w:val="20"/>
          <w:color w:val="auto"/>
        </w:rPr>
      </w:pPr>
      <w:r>
        <w:rPr>
          <w:rFonts w:ascii="Arial" w:cs="Arial" w:eastAsia="Arial" w:hAnsi="Arial"/>
          <w:sz w:val="16"/>
          <w:szCs w:val="16"/>
          <w:color w:val="auto"/>
        </w:rPr>
        <w:t>13.1.9 “Representatives”, with respect to any person (which shall include any person, limited liability company, partnership, trust, unincorporated organization, corporation, association, joint stock company, business, governmental authority or other entity), means the directors, officers, employees, consultants, agents or other representatives thereof (including legal counsel, accountants, financial advisors, investment bankers and brokers).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13.1.10 “Transaction Agreements” means this Agreement, the Bill of Sale delivered pursuant to Section 8.2.4(b) and any other documents or instruments delivered pursuant to Section 8.2.4(f).</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After the Closing Date, Seller shall execute and deliver all such further instruments, documents, deeds, bills of sale, assignments and assurances and shall take and perform all other acts which the other may reasonably request in order to further effect or perfect the sale and transfer of the Assets to Buyer as contemplated in this Agreement. Following the Closing: (i) Buyer shall promptly deliver to the Company any mail or other communications received by Buyer relating to the Excluded Assets or the Excluded Liabilities; (ii) each Seller, as applicable, shall promptly forward to Buyer any payments received by such Seller on account of any Purchased Assets; and (iii) each Seller shall promptly deliver to Buyer any mail or other communications received by such Seller relating to the Assets or the Lease.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This Agreement may be terminated be terminated and abandoned at any time prior to the Closing Date by (i) mutual written agreement of Seller and Buyer, (ii) by written notice from Seller to Buyer or Buyer to Seller if the Closing shall not have occurred on or before August 30, 2017;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shall not seek to terminate because of its breach or violation of any representation, warranty, or covenant contained herein having caused or resulted in a failure of the Closing to occur by such date, (iii) by Seller’s written notice to Buyer in the event of a material breach by Buyer, provided, Seller are not then in material breach of any of the provisions of this Agreement, (iv) by Buyer’s written notice to Seller in the event of a material breach by any Seller, provided Buyer is not then in material breach of any of the provisions of this Agreement, or (v) by the Buyer if a third party initiates a claim or proceeding which has or is reasonably likely to have a material adverse effect on the Assets or the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to the performance of the parties under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u w:val="single" w:color="auto"/>
          <w:color w:val="auto"/>
        </w:rPr>
        <w:t>Sales Tax; Property Taxes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13.5.1 Buyer and Company shall each pay one-half of all sales and use taxes arising out of transfer of the Assets, if any.</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13.5.2 Liability for all personal property taxes and any real property taxes payable in connection with the Lease, and similar ad valorem obligations levied with respect to the Assets or the Lease for a taxable period that includes (but does not end on) the Closing Date (the “Apportioned Obligations”) shall be apportioned between Seller and Buyer based on the number of days of such taxable period included in the period ending on the Closing Date (the “Pre-Closing Tax Period”) and the number of days of such taxable period included in the period after the Pre-Closing Tax Period (the “Post-Closing Tax Period”). Seller shall be liable for the proportionate amount of such Apportioned Obligations that is attributable to the Pre-Closing Tax Period and Buyer shall be liable for the proportionate amount of such Apportioned Obligations that is attributable to the Post-Closing Tax Period. At the Closing, the amount of any unpaid Apportioned Obligations payable by Seller with respect to the Pre-Closing Period, if any, shall be set off against the Purchase Price payable by Buyer and if any portion of the Apportioned Obligations payable with respect to the Post-Closing Period were paid by Seller, Buyer shall reimburse Seller for such amount (the “Apportioned Obligations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jc w:val="both"/>
        <w:ind w:firstLine="648"/>
        <w:spacing w:after="0" w:line="261"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u w:val="single" w:color="auto"/>
          <w:color w:val="auto"/>
        </w:rPr>
        <w:t>License and Permit Transfer; Fees and Costs</w:t>
      </w:r>
      <w:r>
        <w:rPr>
          <w:rFonts w:ascii="Arial" w:cs="Arial" w:eastAsia="Arial" w:hAnsi="Arial"/>
          <w:sz w:val="18"/>
          <w:szCs w:val="18"/>
          <w:b w:val="1"/>
          <w:bCs w:val="1"/>
          <w:color w:val="auto"/>
        </w:rPr>
        <w:t>.</w:t>
      </w:r>
      <w:r>
        <w:rPr>
          <w:rFonts w:ascii="Arial" w:cs="Arial" w:eastAsia="Arial" w:hAnsi="Arial"/>
          <w:sz w:val="18"/>
          <w:szCs w:val="18"/>
          <w:color w:val="auto"/>
        </w:rPr>
        <w:t xml:space="preserve"> Buyer will be responsible for any and all fees and costs associated with the assumption or transfer to Buyer, or any company owned by Buyer, of any licenses or permits held by RxPA. Seller shall provide reasonable cooperation and support to Buyer in the transfer of any licenses or permits held by RxPA into Buyer’s name; </w:t>
      </w:r>
      <w:r>
        <w:rPr>
          <w:rFonts w:ascii="Arial" w:cs="Arial" w:eastAsia="Arial" w:hAnsi="Arial"/>
          <w:sz w:val="18"/>
          <w:szCs w:val="18"/>
          <w:i w:val="1"/>
          <w:iCs w:val="1"/>
          <w:color w:val="auto"/>
        </w:rPr>
        <w:t>provided, however</w:t>
      </w:r>
      <w:r>
        <w:rPr>
          <w:rFonts w:ascii="Arial" w:cs="Arial" w:eastAsia="Arial" w:hAnsi="Arial"/>
          <w:sz w:val="18"/>
          <w:szCs w:val="18"/>
          <w:color w:val="auto"/>
        </w:rPr>
        <w:t>, such additional cooperation and support shall not exceed a total of ten (10) hours.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u w:val="single" w:color="auto"/>
          <w:color w:val="auto"/>
        </w:rPr>
        <w:t>Transfer/Shipping/Delivery Fees and Costs</w:t>
      </w:r>
      <w:r>
        <w:rPr>
          <w:rFonts w:ascii="Arial" w:cs="Arial" w:eastAsia="Arial" w:hAnsi="Arial"/>
          <w:sz w:val="18"/>
          <w:szCs w:val="18"/>
          <w:b w:val="1"/>
          <w:bCs w:val="1"/>
          <w:color w:val="auto"/>
        </w:rPr>
        <w:t>.</w:t>
      </w:r>
      <w:r>
        <w:rPr>
          <w:rFonts w:ascii="Arial" w:cs="Arial" w:eastAsia="Arial" w:hAnsi="Arial"/>
          <w:sz w:val="18"/>
          <w:szCs w:val="18"/>
          <w:color w:val="auto"/>
        </w:rPr>
        <w:t xml:space="preserve"> Any and all shipping costs related to the delivery of the Assets to be acquired from RxPA Premises and RxCA Premises shall be at Buyer’s sole cost and expense and Buyer shall remove all such Assets from any premises of Seller on or before July 31, 2017.</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statements or demands shall be in writing and shall be served in person, by facsimile, by e-mail, by express mail, by certified mail or by private overnight delivery. Service shall be deemed conclusively made: (i) at the time of service, if personally served; (ii) at the time of receipt, if served by facsimile or e-mail; (iii) twenty four (24) hours after deposit in the United States mail, properly addressed and postage prepaid, if served by express mail; (iv) five (5) days after deposit in the United States mail, properly addressed and postage prepaid, return receipt requested, if served by certified mail; and (v) twenty four (24) hours after delivery by the party giving the notice, statement or demand to the private overnight deliverer, if served by private overnight delivery.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ind w:left="340"/>
              <w:spacing w:after="0"/>
              <w:rPr>
                <w:sz w:val="20"/>
                <w:szCs w:val="20"/>
                <w:color w:val="auto"/>
              </w:rPr>
            </w:pPr>
            <w:r>
              <w:rPr>
                <w:rFonts w:ascii="Arial" w:cs="Arial" w:eastAsia="Arial" w:hAnsi="Arial"/>
                <w:sz w:val="18"/>
                <w:szCs w:val="18"/>
                <w:color w:val="auto"/>
              </w:rPr>
              <w:t>Notices to Seller shall be given to:</w:t>
            </w:r>
          </w:p>
        </w:tc>
        <w:tc>
          <w:tcPr>
            <w:tcW w:w="7260" w:type="dxa"/>
            <w:vAlign w:val="bottom"/>
          </w:tcPr>
          <w:p>
            <w:pPr>
              <w:ind w:left="1320"/>
              <w:spacing w:after="0"/>
              <w:rPr>
                <w:sz w:val="20"/>
                <w:szCs w:val="20"/>
                <w:color w:val="auto"/>
              </w:rPr>
            </w:pPr>
            <w:r>
              <w:rPr>
                <w:rFonts w:ascii="Arial" w:cs="Arial" w:eastAsia="Arial" w:hAnsi="Arial"/>
                <w:sz w:val="18"/>
                <w:szCs w:val="18"/>
                <w:color w:val="auto"/>
              </w:rPr>
              <w:t>Imprimis Pharmaceuticals</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Attn:</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12264 El Camino Real, Suite 350</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San Diego, CA 92130</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Phone:</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Fax:</w:t>
            </w:r>
          </w:p>
        </w:tc>
      </w:tr>
      <w:tr>
        <w:trPr>
          <w:trHeight w:val="230"/>
        </w:trPr>
        <w:tc>
          <w:tcPr>
            <w:tcW w:w="4160" w:type="dxa"/>
            <w:vAlign w:val="bottom"/>
          </w:tcPr>
          <w:p>
            <w:pPr>
              <w:spacing w:after="0"/>
              <w:rPr>
                <w:sz w:val="20"/>
                <w:szCs w:val="20"/>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E-mail:</w:t>
            </w:r>
          </w:p>
        </w:tc>
      </w:tr>
      <w:tr>
        <w:trPr>
          <w:trHeight w:val="418"/>
        </w:trPr>
        <w:tc>
          <w:tcPr>
            <w:tcW w:w="4160" w:type="dxa"/>
            <w:vAlign w:val="bottom"/>
          </w:tcPr>
          <w:p>
            <w:pPr>
              <w:ind w:left="340"/>
              <w:spacing w:after="0"/>
              <w:rPr>
                <w:sz w:val="20"/>
                <w:szCs w:val="20"/>
                <w:color w:val="auto"/>
              </w:rPr>
            </w:pPr>
            <w:r>
              <w:rPr>
                <w:rFonts w:ascii="Arial" w:cs="Arial" w:eastAsia="Arial" w:hAnsi="Arial"/>
                <w:sz w:val="18"/>
                <w:szCs w:val="18"/>
                <w:color w:val="auto"/>
              </w:rPr>
              <w:t>Notices to Buyer shall be given to:</w:t>
            </w:r>
          </w:p>
        </w:tc>
        <w:tc>
          <w:tcPr>
            <w:tcW w:w="7260" w:type="dxa"/>
            <w:vAlign w:val="bottom"/>
          </w:tcPr>
          <w:p>
            <w:pPr>
              <w:ind w:left="1320"/>
              <w:spacing w:after="0"/>
              <w:rPr>
                <w:sz w:val="20"/>
                <w:szCs w:val="20"/>
                <w:color w:val="auto"/>
              </w:rPr>
            </w:pPr>
            <w:r>
              <w:rPr>
                <w:rFonts w:ascii="Arial" w:cs="Arial" w:eastAsia="Arial" w:hAnsi="Arial"/>
                <w:sz w:val="18"/>
                <w:szCs w:val="18"/>
                <w:color w:val="auto"/>
              </w:rPr>
              <w:t>Creative Pharmacy Solutions Central, LLC</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Attn:</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2535 Johns Place</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Jamestown, NY 14738</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Phone:</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Fax:</w:t>
            </w:r>
          </w:p>
        </w:tc>
      </w:tr>
      <w:tr>
        <w:trPr>
          <w:trHeight w:val="230"/>
        </w:trPr>
        <w:tc>
          <w:tcPr>
            <w:tcW w:w="4160" w:type="dxa"/>
            <w:vAlign w:val="bottom"/>
          </w:tcPr>
          <w:p>
            <w:pPr>
              <w:spacing w:after="0"/>
              <w:rPr>
                <w:sz w:val="20"/>
                <w:szCs w:val="20"/>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E-mail:</w:t>
            </w:r>
          </w:p>
        </w:tc>
      </w:tr>
      <w:tr>
        <w:trPr>
          <w:trHeight w:val="418"/>
        </w:trPr>
        <w:tc>
          <w:tcPr>
            <w:tcW w:w="4160" w:type="dxa"/>
            <w:vAlign w:val="bottom"/>
          </w:tcPr>
          <w:p>
            <w:pPr>
              <w:ind w:left="340"/>
              <w:spacing w:after="0"/>
              <w:rPr>
                <w:sz w:val="20"/>
                <w:szCs w:val="20"/>
                <w:color w:val="auto"/>
              </w:rPr>
            </w:pPr>
            <w:r>
              <w:rPr>
                <w:rFonts w:ascii="Arial" w:cs="Arial" w:eastAsia="Arial" w:hAnsi="Arial"/>
                <w:sz w:val="18"/>
                <w:szCs w:val="18"/>
                <w:color w:val="auto"/>
              </w:rPr>
              <w:t>With a copy to:</w:t>
            </w:r>
          </w:p>
        </w:tc>
        <w:tc>
          <w:tcPr>
            <w:tcW w:w="7260" w:type="dxa"/>
            <w:vAlign w:val="bottom"/>
          </w:tcPr>
          <w:p>
            <w:pPr>
              <w:ind w:left="1320"/>
              <w:spacing w:after="0"/>
              <w:rPr>
                <w:sz w:val="20"/>
                <w:szCs w:val="20"/>
                <w:color w:val="auto"/>
              </w:rPr>
            </w:pPr>
            <w:r>
              <w:rPr>
                <w:rFonts w:ascii="Arial" w:cs="Arial" w:eastAsia="Arial" w:hAnsi="Arial"/>
                <w:sz w:val="18"/>
                <w:szCs w:val="18"/>
                <w:color w:val="auto"/>
              </w:rPr>
              <w:t>Lundberg Price P.C.</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Attn:</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202 West Fourth Street</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Jamestown, NY 14701</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Phone:</w:t>
            </w:r>
          </w:p>
        </w:tc>
      </w:tr>
      <w:tr>
        <w:trPr>
          <w:trHeight w:val="216"/>
        </w:trPr>
        <w:tc>
          <w:tcPr>
            <w:tcW w:w="4160" w:type="dxa"/>
            <w:vAlign w:val="bottom"/>
          </w:tcPr>
          <w:p>
            <w:pPr>
              <w:spacing w:after="0"/>
              <w:rPr>
                <w:sz w:val="18"/>
                <w:szCs w:val="18"/>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Fax:</w:t>
            </w:r>
          </w:p>
        </w:tc>
      </w:tr>
      <w:tr>
        <w:trPr>
          <w:trHeight w:val="230"/>
        </w:trPr>
        <w:tc>
          <w:tcPr>
            <w:tcW w:w="4160" w:type="dxa"/>
            <w:vAlign w:val="bottom"/>
          </w:tcPr>
          <w:p>
            <w:pPr>
              <w:spacing w:after="0"/>
              <w:rPr>
                <w:sz w:val="20"/>
                <w:szCs w:val="20"/>
                <w:color w:val="auto"/>
              </w:rPr>
            </w:pPr>
          </w:p>
        </w:tc>
        <w:tc>
          <w:tcPr>
            <w:tcW w:w="7260" w:type="dxa"/>
            <w:vAlign w:val="bottom"/>
          </w:tcPr>
          <w:p>
            <w:pPr>
              <w:ind w:left="1320"/>
              <w:spacing w:after="0"/>
              <w:rPr>
                <w:sz w:val="20"/>
                <w:szCs w:val="20"/>
                <w:color w:val="auto"/>
              </w:rPr>
            </w:pPr>
            <w:r>
              <w:rPr>
                <w:rFonts w:ascii="Arial" w:cs="Arial" w:eastAsia="Arial" w:hAnsi="Arial"/>
                <w:sz w:val="18"/>
                <w:szCs w:val="18"/>
                <w:color w:val="auto"/>
              </w:rPr>
              <w:t>E-mail:</w:t>
            </w:r>
          </w:p>
        </w:tc>
      </w:tr>
      <w:tr>
        <w:trPr>
          <w:trHeight w:val="439"/>
        </w:trPr>
        <w:tc>
          <w:tcPr>
            <w:tcW w:w="41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9" w:name="page70"/>
    <w:bookmarkEnd w:id="69"/>
    <w:p>
      <w:pPr>
        <w:jc w:val="both"/>
        <w:ind w:right="20"/>
        <w:spacing w:after="0" w:line="277" w:lineRule="auto"/>
        <w:rPr>
          <w:sz w:val="20"/>
          <w:szCs w:val="20"/>
          <w:color w:val="auto"/>
        </w:rPr>
      </w:pPr>
      <w:r>
        <w:rPr>
          <w:rFonts w:ascii="Arial" w:cs="Arial" w:eastAsia="Arial" w:hAnsi="Arial"/>
          <w:sz w:val="18"/>
          <w:szCs w:val="18"/>
          <w:color w:val="auto"/>
        </w:rPr>
        <w:t>Either party may, by virtue of written notice in compliance with this paragraph, alter or change the address or the identity of the person to whom any notice, or copy thereof, is to be sent.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u w:val="single" w:color="auto"/>
          <w:color w:val="auto"/>
        </w:rPr>
        <w:t>Waivers</w:t>
      </w:r>
      <w:r>
        <w:rPr>
          <w:rFonts w:ascii="Arial" w:cs="Arial" w:eastAsia="Arial" w:hAnsi="Arial"/>
          <w:sz w:val="18"/>
          <w:szCs w:val="18"/>
          <w:color w:val="auto"/>
        </w:rPr>
        <w:t>. A waiver by any party of any of the terms and conditions of this Agreement in any one instance shall not be deemed or construed to be a waiver of such term or condition for the future, or of any subsequent breach thereof, nor shall it be deemed a waiver of performance of any other obligation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the successors and assignees of the parties.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subject headings of the paragraphs and subparagraphs of this Agreement are for convenience only and shall not in any way affect the construction or interpretation of any provision of this Agreement.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contains the entire understanding of the parties hereto relating to the subject matter hereof and supersedes all prior and collateral agreements, understandings, statements and negotiations of the parties. Each party acknowledges that no representations, inducements promises, or agreements, oral or written, with reference to the subject matter hereof have been made other than as expressly set forth herein.</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as applied to any party or to any circumstance, shall be found by a court of competent jurisdiction to be void, invalid or unenforceable, the same shall in no way affect any other provision of this Agreement, the application of any such provision in any other circumstance, or the validity or enforceability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b w:val="1"/>
          <w:bCs w:val="1"/>
          <w:u w:val="single" w:color="auto"/>
          <w:color w:val="auto"/>
        </w:rPr>
        <w:t>Governing Law/Interpretation</w:t>
      </w:r>
      <w:r>
        <w:rPr>
          <w:rFonts w:ascii="Arial" w:cs="Arial" w:eastAsia="Arial" w:hAnsi="Arial"/>
          <w:sz w:val="18"/>
          <w:szCs w:val="18"/>
          <w:color w:val="auto"/>
        </w:rPr>
        <w:t>. This Agreement shall be governed by, construed in accordance with and enforced under the internal laws of the State of Delaware. Words used herein, regardless of the number and gender specifically used, shall be deemed and construed to include any other number, singular or plural, and any other gender, masculine, feminine or neuter,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ind w:firstLine="648"/>
        <w:spacing w:after="0" w:line="347" w:lineRule="auto"/>
        <w:rPr>
          <w:sz w:val="20"/>
          <w:szCs w:val="20"/>
          <w:color w:val="auto"/>
        </w:rPr>
      </w:pPr>
      <w:r>
        <w:rPr>
          <w:rFonts w:ascii="Arial" w:cs="Arial" w:eastAsia="Arial" w:hAnsi="Arial"/>
          <w:sz w:val="16"/>
          <w:szCs w:val="16"/>
          <w:color w:val="auto"/>
        </w:rPr>
        <w:t xml:space="preserve">13.15 </w:t>
      </w:r>
      <w:r>
        <w:rPr>
          <w:rFonts w:ascii="Arial" w:cs="Arial" w:eastAsia="Arial" w:hAnsi="Arial"/>
          <w:sz w:val="16"/>
          <w:szCs w:val="16"/>
          <w:b w:val="1"/>
          <w:bCs w:val="1"/>
          <w:u w:val="single" w:color="auto"/>
          <w:color w:val="auto"/>
        </w:rPr>
        <w:t>Disputes</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a dispute should arise between the Sellers, on the one hand, and Buyer, on the other, whether based on contract, tort, statute, or other legal theory, arising out of this Agreement, such dispute shall be resolved by binding arbitration to take place in the State of California.</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The respective rights and obligations of the parties to this Agreement may not be assigned by any party without the prior written consent of the other, which consent may not be unreasonably withheld or delayed.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13.17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terms and provisions of this Agreement shall be binding on and inure to the benefit of the successors and assigns of the parties.</w:t>
      </w:r>
    </w:p>
    <w:p>
      <w:pPr>
        <w:spacing w:after="0" w:line="16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13.18 </w:t>
      </w:r>
      <w:r>
        <w:rPr>
          <w:rFonts w:ascii="Arial" w:cs="Arial" w:eastAsia="Arial" w:hAnsi="Arial"/>
          <w:sz w:val="17"/>
          <w:szCs w:val="17"/>
          <w:b w:val="1"/>
          <w:bCs w:val="1"/>
          <w:u w:val="single" w:color="auto"/>
          <w:color w:val="auto"/>
        </w:rPr>
        <w:t>Modification and Waiver</w:t>
      </w:r>
      <w:r>
        <w:rPr>
          <w:rFonts w:ascii="Arial" w:cs="Arial" w:eastAsia="Arial" w:hAnsi="Arial"/>
          <w:sz w:val="17"/>
          <w:szCs w:val="17"/>
          <w:color w:val="auto"/>
        </w:rPr>
        <w:t>. This Agreement may not be amended, modified, or supplemented except by written agreement signed by each of the parties hereto. No waiver of any of the provisions of this Agreement shall be deemed, or shall constitute, a waiver of any other provision.</w:t>
      </w:r>
    </w:p>
    <w:p>
      <w:pPr>
        <w:spacing w:after="0" w:line="13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13.19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which when taken together, whether or not including any transmitted by email or facsimile, shall constitute a single, signed, final, original edition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on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SELLERS:</w:t>
            </w:r>
          </w:p>
        </w:tc>
        <w:tc>
          <w:tcPr>
            <w:tcW w:w="12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BUYER:</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12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Creative Pharmacy Solutions Central, LLC</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a Delaware limited liability company</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2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Richard Moon</w:t>
            </w:r>
          </w:p>
        </w:tc>
      </w:tr>
      <w:tr>
        <w:trPr>
          <w:trHeight w:val="202"/>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Moon</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Its:  Chief Executive Officer</w:t>
            </w:r>
          </w:p>
        </w:tc>
        <w:tc>
          <w:tcPr>
            <w:tcW w:w="12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Its: President</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ImprimisRx CA, Inc.</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California corporation</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Its:  Chief Executive Officer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ImprimisRx PA, Inc.</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5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1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Its:  Chief Executive Officer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Mark L. Baum, an individual (“Consultant”) and Eton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770"/>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110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1100" w:hanging="770"/>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1100" w:hanging="770"/>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1100" w:hanging="770"/>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760" w:hanging="658"/>
        <w:spacing w:after="0" w:line="308" w:lineRule="auto"/>
        <w:tabs>
          <w:tab w:leader="none" w:pos="17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760" w:hanging="658"/>
        <w:spacing w:after="0" w:line="277" w:lineRule="auto"/>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760" w:hanging="658"/>
        <w:spacing w:after="0"/>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760" w:hanging="658"/>
        <w:spacing w:after="0"/>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760" w:right="20" w:hanging="658"/>
        <w:spacing w:after="0" w:line="286" w:lineRule="auto"/>
        <w:tabs>
          <w:tab w:leader="none" w:pos="17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-5116195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74" w:name="page75"/>
    <w:bookmarkEnd w:id="74"/>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100" w:hanging="769"/>
        <w:spacing w:after="0" w:line="264" w:lineRule="auto"/>
        <w:tabs>
          <w:tab w:leader="none" w:pos="10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1100" w:hanging="769"/>
        <w:spacing w:after="0" w:line="277" w:lineRule="auto"/>
        <w:tabs>
          <w:tab w:leader="none" w:pos="10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1100" w:hanging="769"/>
        <w:spacing w:after="0" w:line="277" w:lineRule="auto"/>
        <w:tabs>
          <w:tab w:leader="none" w:pos="10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1100" w:hanging="769"/>
        <w:spacing w:after="0" w:line="302" w:lineRule="auto"/>
        <w:tabs>
          <w:tab w:leader="none" w:pos="10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54" w:lineRule="exact"/>
        <w:rPr>
          <w:sz w:val="20"/>
          <w:szCs w:val="20"/>
          <w:color w:val="auto"/>
        </w:rPr>
      </w:pPr>
    </w:p>
    <w:p>
      <w:pPr>
        <w:jc w:val="both"/>
        <w:ind w:left="340" w:hanging="332"/>
        <w:spacing w:after="0" w:line="26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Consulting Agreement as of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ectPr>
          <w:pgSz w:w="11900" w:h="16847" w:orient="portrait"/>
          <w:cols w:equalWidth="0" w:num="1">
            <w:col w:w="11420"/>
          </w:cols>
          <w:pgMar w:left="240" w:top="125" w:right="239" w:bottom="0" w:gutter="0" w:footer="0" w:header="0"/>
        </w:sectPr>
      </w:pPr>
    </w:p>
    <w:bookmarkStart w:id="75" w:name="page76"/>
    <w:bookmarkEnd w:id="75"/>
    <w:p>
      <w:pPr>
        <w:ind w:left="572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 individual</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1,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1,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L. Baum and Eton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senior management advisory services to the Company relating to its establishment, financing activities, patent applications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730,000 shares (the “Shares”) of the Company’s restricted common stock, par value $0.001 (“Common Stock”) under the terms of the Company’s 2017 Equity Incentive Plan (the “Plan”) and a Restricted Stock Award Grant Notice and Agreement thereunder to be provided to Consultant by the Company (collectively with the Plan, the “Restricted Stock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vest upon the earlier of:</w:t>
      </w:r>
    </w:p>
    <w:p>
      <w:pPr>
        <w:spacing w:after="0" w:line="225" w:lineRule="exact"/>
        <w:rPr>
          <w:sz w:val="20"/>
          <w:szCs w:val="20"/>
          <w:color w:val="auto"/>
        </w:rPr>
      </w:pPr>
    </w:p>
    <w:p>
      <w:pPr>
        <w:ind w:left="900" w:hanging="51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00" w:right="20" w:hanging="514"/>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00" w:hanging="51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closing of any Company financing in excess of $10,000,000 (“Subsequent Financing”); or</w:t>
      </w:r>
    </w:p>
    <w:p>
      <w:pPr>
        <w:spacing w:after="0" w:line="225" w:lineRule="exact"/>
        <w:rPr>
          <w:rFonts w:ascii="Arial" w:cs="Arial" w:eastAsia="Arial" w:hAnsi="Arial"/>
          <w:sz w:val="18"/>
          <w:szCs w:val="18"/>
          <w:color w:val="auto"/>
        </w:rPr>
      </w:pPr>
    </w:p>
    <w:p>
      <w:pPr>
        <w:ind w:left="900" w:hanging="514"/>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“Grant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in any case of (1), (2), (3) and (4), which occurs following the Bridge Financing (as defined below), subject to Consultant’s Continuous Service (as defined in the Plan)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the Consultant’s Continuous Service is terminated by the Company (other than for Cause (as defined in the Plan)) prior to the completion of the Term (as outlined below), the Shares shall vest immediately upon such termination. The “Bridge Financing” shall mean closing of a bona-fide equity financing with third party investors resulting in cash gross proceeds to the Company of at least $10,000,000 which occurs within one year of the Grant 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understands that that the receipt of the Shares hereunder will trigger tax consequences to Consultant for which Consultant will be solely responsible and that the Shares have not been registered under the Securities Act of 1933, as amended, or any applicable state securities law. Consultant must execute the Restricted Stock Documents as a condition to receipt of the Shares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April 26, 2017 and shall provide the Services through the earlier of (i) one year from the Grant Date,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Andrew R. Boll, an individual (“Consultant”) and Eton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86" w:lineRule="auto"/>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7"/>
          <w:szCs w:val="17"/>
          <w:color w:val="auto"/>
        </w:rPr>
        <w:t xml:space="preserve">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312"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 xml:space="preserve">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6"/>
          <w:szCs w:val="16"/>
          <w:b w:val="1"/>
          <w:bCs w:val="1"/>
          <w:i w:val="1"/>
          <w:iCs w:val="1"/>
          <w:color w:val="auto"/>
        </w:rPr>
        <w:t>Appendix A</w:t>
      </w:r>
      <w:r>
        <w:rPr>
          <w:rFonts w:ascii="Arial" w:cs="Arial" w:eastAsia="Arial" w:hAnsi="Arial"/>
          <w:sz w:val="16"/>
          <w:szCs w:val="16"/>
          <w:color w:val="auto"/>
        </w:rPr>
        <w:t>) unless: (i) this Agreement is sooner terminated as provided in Section 2.2 below; or (ii) the parties agree in writing to extend the Term for a mutually agreed upon period.</w:t>
      </w:r>
    </w:p>
    <w:p>
      <w:pPr>
        <w:spacing w:after="0" w:line="146"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2.2.The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648"/>
        <w:spacing w:after="0" w:line="277" w:lineRule="auto"/>
        <w:rPr>
          <w:rFonts w:ascii="Arial" w:cs="Arial" w:eastAsia="Arial" w:hAnsi="Arial"/>
          <w:sz w:val="18"/>
          <w:szCs w:val="18"/>
          <w:color w:val="auto"/>
        </w:rPr>
      </w:pPr>
      <w:r>
        <w:rPr>
          <w:rFonts w:ascii="Arial" w:cs="Arial" w:eastAsia="Arial" w:hAnsi="Arial"/>
          <w:sz w:val="18"/>
          <w:szCs w:val="18"/>
          <w:color w:val="auto"/>
        </w:rPr>
        <w:t>3.1.In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980" w:right="20" w:hanging="648"/>
        <w:spacing w:after="0" w:line="277" w:lineRule="auto"/>
        <w:rPr>
          <w:rFonts w:ascii="Arial" w:cs="Arial" w:eastAsia="Arial" w:hAnsi="Arial"/>
          <w:sz w:val="18"/>
          <w:szCs w:val="18"/>
          <w:color w:val="auto"/>
        </w:rPr>
      </w:pPr>
      <w:r>
        <w:rPr>
          <w:rFonts w:ascii="Arial" w:cs="Arial" w:eastAsia="Arial" w:hAnsi="Arial"/>
          <w:sz w:val="18"/>
          <w:szCs w:val="18"/>
          <w:color w:val="auto"/>
        </w:rPr>
        <w:t>3.2.Consultant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both"/>
        <w:ind w:left="340" w:hanging="332"/>
        <w:spacing w:after="0" w:line="29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980" w:hanging="648"/>
        <w:spacing w:after="0" w:line="277" w:lineRule="auto"/>
        <w:rPr>
          <w:rFonts w:ascii="Arial" w:cs="Arial" w:eastAsia="Arial" w:hAnsi="Arial"/>
          <w:sz w:val="16"/>
          <w:szCs w:val="16"/>
          <w:color w:val="auto"/>
        </w:rPr>
      </w:pPr>
      <w:r>
        <w:rPr>
          <w:rFonts w:ascii="Arial" w:cs="Arial" w:eastAsia="Arial" w:hAnsi="Arial"/>
          <w:sz w:val="18"/>
          <w:szCs w:val="18"/>
          <w:color w:val="auto"/>
        </w:rPr>
        <w:t>4.1.to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w:t>
      </w:r>
      <w:r>
        <w:rPr>
          <w:rFonts w:ascii="Arial" w:cs="Arial" w:eastAsia="Arial" w:hAnsi="Arial"/>
          <w:sz w:val="16"/>
          <w:szCs w:val="16"/>
          <w:color w:val="auto"/>
        </w:rPr>
        <w:t>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980" w:hanging="648"/>
        <w:spacing w:after="0" w:line="277" w:lineRule="auto"/>
        <w:rPr>
          <w:rFonts w:ascii="Arial" w:cs="Arial" w:eastAsia="Arial" w:hAnsi="Arial"/>
          <w:sz w:val="16"/>
          <w:szCs w:val="16"/>
          <w:color w:val="auto"/>
        </w:rPr>
      </w:pPr>
      <w:r>
        <w:rPr>
          <w:rFonts w:ascii="Arial" w:cs="Arial" w:eastAsia="Arial" w:hAnsi="Arial"/>
          <w:sz w:val="18"/>
          <w:szCs w:val="18"/>
          <w:color w:val="auto"/>
        </w:rPr>
        <w:t>4.3.to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4.4.</w:t>
      </w:r>
      <w:r>
        <w:rPr>
          <w:rFonts w:ascii="Arial" w:cs="Arial" w:eastAsia="Arial" w:hAnsi="Arial"/>
          <w:sz w:val="16"/>
          <w:szCs w:val="16"/>
          <w:color w:val="auto"/>
        </w:rPr>
        <w:t>not to make copies of the Confidential Information except to the extent that the copies are reasonably necessary for providing the Services;</w:t>
      </w:r>
    </w:p>
    <w:p>
      <w:pPr>
        <w:spacing w:after="0" w:line="225" w:lineRule="exact"/>
        <w:rPr>
          <w:rFonts w:ascii="Arial" w:cs="Arial" w:eastAsia="Arial" w:hAnsi="Arial"/>
          <w:sz w:val="16"/>
          <w:szCs w:val="16"/>
          <w:color w:val="auto"/>
        </w:rPr>
      </w:pPr>
    </w:p>
    <w:p>
      <w:pPr>
        <w:ind w:left="980" w:hanging="648"/>
        <w:spacing w:after="0" w:line="264" w:lineRule="auto"/>
        <w:rPr>
          <w:rFonts w:ascii="Arial" w:cs="Arial" w:eastAsia="Arial" w:hAnsi="Arial"/>
          <w:sz w:val="16"/>
          <w:szCs w:val="16"/>
          <w:color w:val="auto"/>
        </w:rPr>
      </w:pPr>
      <w:r>
        <w:rPr>
          <w:rFonts w:ascii="Arial" w:cs="Arial" w:eastAsia="Arial" w:hAnsi="Arial"/>
          <w:sz w:val="18"/>
          <w:szCs w:val="18"/>
          <w:color w:val="auto"/>
        </w:rPr>
        <w:t>4.5.to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4.6.</w:t>
      </w:r>
      <w:r>
        <w:rPr>
          <w:rFonts w:ascii="Arial" w:cs="Arial" w:eastAsia="Arial" w:hAnsi="Arial"/>
          <w:sz w:val="16"/>
          <w:szCs w:val="16"/>
          <w:color w:val="auto"/>
        </w:rPr>
        <w:t>that Confidential Information excludes information that:</w:t>
      </w:r>
    </w:p>
    <w:p>
      <w:pPr>
        <w:spacing w:after="0" w:line="225" w:lineRule="exact"/>
        <w:rPr>
          <w:rFonts w:ascii="Arial" w:cs="Arial" w:eastAsia="Arial" w:hAnsi="Arial"/>
          <w:sz w:val="16"/>
          <w:szCs w:val="16"/>
          <w:color w:val="auto"/>
        </w:rPr>
      </w:pPr>
    </w:p>
    <w:p>
      <w:pPr>
        <w:ind w:left="1560" w:hanging="647"/>
        <w:spacing w:after="0" w:line="308" w:lineRule="auto"/>
        <w:tabs>
          <w:tab w:leader="none" w:pos="15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46" w:lineRule="exact"/>
        <w:rPr>
          <w:rFonts w:ascii="Arial" w:cs="Arial" w:eastAsia="Arial" w:hAnsi="Arial"/>
          <w:sz w:val="17"/>
          <w:szCs w:val="17"/>
          <w:color w:val="auto"/>
        </w:rPr>
      </w:pPr>
    </w:p>
    <w:p>
      <w:pPr>
        <w:ind w:left="1560" w:hanging="647"/>
        <w:spacing w:after="0" w:line="277" w:lineRule="auto"/>
        <w:tabs>
          <w:tab w:leader="none" w:pos="15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560" w:hanging="647"/>
        <w:spacing w:after="0"/>
        <w:tabs>
          <w:tab w:leader="none" w:pos="15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560" w:hanging="647"/>
        <w:spacing w:after="0"/>
        <w:tabs>
          <w:tab w:leader="none" w:pos="15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560" w:hanging="647"/>
        <w:spacing w:after="0" w:line="286" w:lineRule="auto"/>
        <w:tabs>
          <w:tab w:leader="none" w:pos="15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jc w:val="both"/>
        <w:ind w:left="980" w:hanging="647"/>
        <w:spacing w:after="0" w:line="264" w:lineRule="auto"/>
        <w:tabs>
          <w:tab w:leader="none" w:pos="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980" w:hanging="647"/>
        <w:spacing w:after="0" w:line="277" w:lineRule="auto"/>
        <w:tabs>
          <w:tab w:leader="none" w:pos="9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980" w:hanging="647"/>
        <w:spacing w:after="0" w:line="277" w:lineRule="auto"/>
        <w:tabs>
          <w:tab w:leader="none" w:pos="9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980" w:hanging="647"/>
        <w:spacing w:after="0" w:line="279" w:lineRule="auto"/>
        <w:tabs>
          <w:tab w:leader="none" w:pos="9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40" w:hanging="332"/>
        <w:spacing w:after="0" w:line="26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ind w:left="4260"/>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ANDREW R. BOLL</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Andrew R. Boll</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individual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 2017</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jc w:val="right"/>
        <w:ind w:right="2559"/>
        <w:spacing w:after="0"/>
        <w:tabs>
          <w:tab w:leader="none" w:pos="3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Date: May 1, 2017</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1"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R. Boll and Eton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senior management advisory services to the Company relating to its establishment, financing activities, patent applications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365,000 shares (the “Shares”) of the Company’s restricted common stock, par value $0.001 (“Common Stock”) under the terms of the Company’s 2017 Equity Incentive Plan (the “Plan”) and a Restricted Stock Award Grant Notice and Agreement thereunder to be provided to Consultant by the Company (collectively with the Plan, the “Restricted Stock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Shares shall vest upon the earlier of:</w:t>
      </w:r>
    </w:p>
    <w:p>
      <w:pPr>
        <w:spacing w:after="0" w:line="225" w:lineRule="exact"/>
        <w:rPr>
          <w:sz w:val="20"/>
          <w:szCs w:val="20"/>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closing of any Company financing in excess of $10,000,000 (“Subsequent Financing”); or</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prior to the one year anniversary of the date of grant of the Shares (as indicated in the Restricted Stock Documents) (the “Grant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in any case of (1), (2), (3) and (4), which occurs following the Bridge Financing (as defined below), subject to Consultant’s Continuous Service (as defined in the Plan)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the Consultant’s Continuous Service is terminated by the Company (other than for Cause (as defined in the Plan)) prior to the completion of the Term (as outlined below), the Shares shall vest immediately upon such termination. The “Bridge Financing” shall mean closing of a bona-fide equity financing with third party investors resulting in cash gross proceeds to the Company of at least $10,000,000 which occurs within one year of the Grant 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understands that that the receipt of the Shares hereunder will trigger tax consequences to Consultant for which Consultant will be solely responsible and that the Shares have not been registered under the Securities Act of 1933, as amended, or any applicable state securities law. Consultant must execute the Restricted Stock Documents as a condition to receipt of the Shares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April 26, 2017 and shall provide the Services through the earlier of (i) one year from the Grant Date,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John Saharek, an individual (“Consultant”) and Eton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1.1. 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2.1. 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unless: (i) this Agreement is sooner terminated as provided in Section 2.2 below; or (ii) the parties agree in writing to extend the Term for a mutually agreed upon period.</w:t>
      </w:r>
    </w:p>
    <w:p>
      <w:pPr>
        <w:spacing w:after="0" w:line="165"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2.2. 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3.1. 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660" w:hanging="324"/>
        <w:spacing w:after="0" w:line="277" w:lineRule="auto"/>
        <w:rPr>
          <w:rFonts w:ascii="Arial" w:cs="Arial" w:eastAsia="Arial" w:hAnsi="Arial"/>
          <w:sz w:val="18"/>
          <w:szCs w:val="18"/>
          <w:color w:val="auto"/>
        </w:rPr>
      </w:pPr>
      <w:r>
        <w:rPr>
          <w:rFonts w:ascii="Arial" w:cs="Arial" w:eastAsia="Arial" w:hAnsi="Arial"/>
          <w:sz w:val="18"/>
          <w:szCs w:val="18"/>
          <w:color w:val="auto"/>
        </w:rPr>
        <w:t>3.2. 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both"/>
        <w:ind w:left="332" w:hanging="332"/>
        <w:spacing w:after="0" w:line="297" w:lineRule="auto"/>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652" w:hanging="324"/>
        <w:spacing w:after="0" w:line="277" w:lineRule="auto"/>
        <w:rPr>
          <w:rFonts w:ascii="Arial" w:cs="Arial" w:eastAsia="Arial" w:hAnsi="Arial"/>
          <w:sz w:val="16"/>
          <w:szCs w:val="16"/>
          <w:color w:val="auto"/>
        </w:rPr>
      </w:pPr>
      <w:r>
        <w:rPr>
          <w:rFonts w:ascii="Arial" w:cs="Arial" w:eastAsia="Arial" w:hAnsi="Arial"/>
          <w:sz w:val="18"/>
          <w:szCs w:val="18"/>
          <w:color w:val="auto"/>
        </w:rPr>
        <w:t>4.1. 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4.2. 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652" w:hanging="324"/>
        <w:spacing w:after="0" w:line="277" w:lineRule="auto"/>
        <w:rPr>
          <w:rFonts w:ascii="Arial" w:cs="Arial" w:eastAsia="Arial" w:hAnsi="Arial"/>
          <w:sz w:val="16"/>
          <w:szCs w:val="16"/>
          <w:color w:val="auto"/>
        </w:rPr>
      </w:pPr>
      <w:r>
        <w:rPr>
          <w:rFonts w:ascii="Arial" w:cs="Arial" w:eastAsia="Arial" w:hAnsi="Arial"/>
          <w:sz w:val="18"/>
          <w:szCs w:val="18"/>
          <w:color w:val="auto"/>
        </w:rPr>
        <w:t>4.3. 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7"/>
          <w:szCs w:val="17"/>
          <w:color w:val="auto"/>
        </w:rPr>
        <w:t>4.4. not to make copies of the Confidential Information except to the extent that the copies are reasonably necessary for providing the Services;</w:t>
      </w:r>
    </w:p>
    <w:p>
      <w:pPr>
        <w:spacing w:after="0" w:line="236" w:lineRule="exact"/>
        <w:rPr>
          <w:rFonts w:ascii="Arial" w:cs="Arial" w:eastAsia="Arial" w:hAnsi="Arial"/>
          <w:sz w:val="16"/>
          <w:szCs w:val="16"/>
          <w:color w:val="auto"/>
        </w:rPr>
      </w:pPr>
    </w:p>
    <w:p>
      <w:pPr>
        <w:ind w:left="652" w:hanging="324"/>
        <w:spacing w:after="0" w:line="264" w:lineRule="auto"/>
        <w:rPr>
          <w:rFonts w:ascii="Arial" w:cs="Arial" w:eastAsia="Arial" w:hAnsi="Arial"/>
          <w:sz w:val="16"/>
          <w:szCs w:val="16"/>
          <w:color w:val="auto"/>
        </w:rPr>
      </w:pPr>
      <w:r>
        <w:rPr>
          <w:rFonts w:ascii="Arial" w:cs="Arial" w:eastAsia="Arial" w:hAnsi="Arial"/>
          <w:sz w:val="18"/>
          <w:szCs w:val="18"/>
          <w:color w:val="auto"/>
        </w:rPr>
        <w:t>4.5. 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4.6. that Confidential Information excludes information that:</w:t>
      </w:r>
    </w:p>
    <w:p>
      <w:pPr>
        <w:spacing w:after="0" w:line="225" w:lineRule="exact"/>
        <w:rPr>
          <w:rFonts w:ascii="Arial" w:cs="Arial" w:eastAsia="Arial" w:hAnsi="Arial"/>
          <w:sz w:val="16"/>
          <w:szCs w:val="16"/>
          <w:color w:val="auto"/>
        </w:rPr>
      </w:pPr>
    </w:p>
    <w:p>
      <w:pPr>
        <w:ind w:left="1032" w:right="20" w:hanging="384"/>
        <w:spacing w:after="0" w:line="277" w:lineRule="auto"/>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70" w:lineRule="exact"/>
        <w:rPr>
          <w:rFonts w:ascii="Arial" w:cs="Arial" w:eastAsia="Arial" w:hAnsi="Arial"/>
          <w:sz w:val="18"/>
          <w:szCs w:val="18"/>
          <w:color w:val="auto"/>
        </w:rPr>
      </w:pPr>
    </w:p>
    <w:p>
      <w:pPr>
        <w:ind w:left="1032" w:hanging="384"/>
        <w:spacing w:after="0" w:line="277" w:lineRule="auto"/>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032" w:hanging="384"/>
        <w:spacing w:after="0"/>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032" w:hanging="384"/>
        <w:spacing w:after="0" w:line="264" w:lineRule="auto"/>
        <w:tabs>
          <w:tab w:leader="none" w:pos="10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5" w:name="page86"/>
    <w:bookmarkEnd w:id="85"/>
    <w:p>
      <w:pPr>
        <w:jc w:val="both"/>
        <w:ind w:left="692" w:hanging="364"/>
        <w:spacing w:after="0" w:line="264" w:lineRule="auto"/>
        <w:rPr>
          <w:sz w:val="20"/>
          <w:szCs w:val="20"/>
          <w:color w:val="auto"/>
        </w:rPr>
      </w:pPr>
      <w:r>
        <w:rPr>
          <w:rFonts w:ascii="Arial" w:cs="Arial" w:eastAsia="Arial" w:hAnsi="Arial"/>
          <w:sz w:val="18"/>
          <w:szCs w:val="18"/>
          <w:color w:val="auto"/>
        </w:rPr>
        <w:t>4.7. 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692" w:hanging="364"/>
        <w:spacing w:after="0" w:line="277" w:lineRule="auto"/>
        <w:rPr>
          <w:sz w:val="20"/>
          <w:szCs w:val="20"/>
          <w:color w:val="auto"/>
        </w:rPr>
      </w:pPr>
      <w:r>
        <w:rPr>
          <w:rFonts w:ascii="Arial" w:cs="Arial" w:eastAsia="Arial" w:hAnsi="Arial"/>
          <w:sz w:val="18"/>
          <w:szCs w:val="18"/>
          <w:color w:val="auto"/>
        </w:rPr>
        <w:t>4.8. 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692" w:hanging="364"/>
        <w:spacing w:after="0" w:line="277" w:lineRule="auto"/>
        <w:rPr>
          <w:sz w:val="20"/>
          <w:szCs w:val="20"/>
          <w:color w:val="auto"/>
        </w:rPr>
      </w:pPr>
      <w:r>
        <w:rPr>
          <w:rFonts w:ascii="Arial" w:cs="Arial" w:eastAsia="Arial" w:hAnsi="Arial"/>
          <w:sz w:val="18"/>
          <w:szCs w:val="18"/>
          <w:color w:val="auto"/>
        </w:rPr>
        <w:t>4.9. 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692" w:hanging="364"/>
        <w:spacing w:after="0" w:line="279" w:lineRule="auto"/>
        <w:rPr>
          <w:sz w:val="20"/>
          <w:szCs w:val="20"/>
          <w:color w:val="auto"/>
        </w:rPr>
      </w:pPr>
      <w:r>
        <w:rPr>
          <w:rFonts w:ascii="Arial" w:cs="Arial" w:eastAsia="Arial" w:hAnsi="Arial"/>
          <w:sz w:val="17"/>
          <w:szCs w:val="17"/>
          <w:color w:val="auto"/>
        </w:rPr>
        <w:t>4.10.Notwithstanding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32" w:hanging="332"/>
        <w:spacing w:after="0" w:line="268" w:lineRule="auto"/>
        <w:tabs>
          <w:tab w:leader="none" w:pos="332"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6" w:name="page87"/>
    <w:bookmarkEnd w:id="86"/>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ind w:left="4260"/>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JOHN SAHAREK</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Saharek</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individual</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 2017</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 2017</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1"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Saharek and Eton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sales and marketing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an option to purchase up to 25,000 shares of the Company’s restricted common stock, par value $0.001 (“Common Stock”) under the terms of the Company’s 2017 Equity Incentive Plan (the “Plan”) and a Stock Option Grant Notice and Agreement thereunder to be provided to Consultant by the Company (collectively with the Plan, the “Stock Option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option shall vest upon the earlier of:</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660" w:right="20" w:hanging="328"/>
        <w:spacing w:after="0" w:line="182" w:lineRule="auto"/>
        <w:tabs>
          <w:tab w:leader="none" w:pos="660" w:val="left"/>
        </w:tabs>
        <w:numPr>
          <w:ilvl w:val="0"/>
          <w:numId w:val="31"/>
        </w:numPr>
        <w:rPr>
          <w:rFonts w:ascii="Arial" w:cs="Arial" w:eastAsia="Arial" w:hAnsi="Arial"/>
          <w:sz w:val="34"/>
          <w:szCs w:val="34"/>
          <w:color w:val="auto"/>
          <w:vertAlign w:val="subscript"/>
        </w:rPr>
      </w:pPr>
      <w:r>
        <w:rPr>
          <w:rFonts w:ascii="Arial" w:cs="Arial" w:eastAsia="Arial" w:hAnsi="Arial"/>
          <w:sz w:val="17"/>
          <w:szCs w:val="17"/>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203" w:lineRule="exact"/>
        <w:rPr>
          <w:rFonts w:ascii="Arial" w:cs="Arial" w:eastAsia="Arial" w:hAnsi="Arial"/>
          <w:sz w:val="34"/>
          <w:szCs w:val="34"/>
          <w:color w:val="auto"/>
          <w:vertAlign w:val="subscript"/>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closing of any Company financing in excess of $10,000,000 (“Subsequent Financing”);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immediately prior to the one year anniversary of the date of grant of the option (as indicated in the Stock Option Documents) (the “Grant Date”).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in any case of (1), (2), (3) and (4), which occurs following the Bridge Financing (as defined below), subject to Consultant’s Continuous Service (as defined in the Plan)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the Consultant’s Continuous Service is terminated by the Company (other than for Cause (as defined in the Plan)) prior to the completion of the Term (as outlined below), the option shall vest immediately upon such termination. The “Bridge Financing” shall mean closing of a bona-fide equity financing with third party investors resulting in cash gross proceeds to the Company of at least $10,000,000 which occurs within one year of the Grant Date.</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Consultant understands that the shares of Common Stock subject to the stock option have not been registered under the Securities Act of 1933, as amended, or any applicable state securities law. Consultant must execute the Stock Option Documents as a condition to receipt of the stock option grant 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April 26, 2017 and shall provide the Services through the earlier of (i) one year from the Grant Date,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CONSULTING AGREEMENT (the “Agreement”) is effective as the last date provided for on the signature page and is entered into by and between Clayton Edwards, an individual (“Consultant”) and Eton Pharmaceuticals, Inc., a Delaware corporation with its principal address located at 12264 El Camino Real, Suite 350, San Diego, CA 92130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wishes to retain Consultant as an advisor to the Company;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Consultant wishes to provide advisory services to the Company as set forth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Consultant and the Company agree, intending to be legally bound, as follows:</w:t>
      </w:r>
    </w:p>
    <w:p>
      <w:pPr>
        <w:spacing w:after="0" w:line="170"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Consulting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513"/>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1.1. Consultant will provide consulting services to the Company during the Term (as further defined below) of this Agreement. The consulting services (“Services”) are set forth in the Statement of Work (“SOW”) that is attached hereto as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xml:space="preserve"> and made a part hereof, as it may be amended from time to time by the parties hereto. Consultant shall perform all Services in compliance with all applicable laws.</w:t>
      </w:r>
    </w:p>
    <w:p>
      <w:pPr>
        <w:spacing w:after="0" w:line="165"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Effective Date; Term and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513"/>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2.1. This Agreement shall be effective on the later of the dates that it is executed by the Company and Consultant (the “Effective Date”) and shall terminate as of the date Services are completed (the “Term” as further defined and outlined in </w:t>
      </w:r>
      <w:r>
        <w:rPr>
          <w:rFonts w:ascii="Arial" w:cs="Arial" w:eastAsia="Arial" w:hAnsi="Arial"/>
          <w:sz w:val="17"/>
          <w:szCs w:val="17"/>
          <w:b w:val="1"/>
          <w:bCs w:val="1"/>
          <w:i w:val="1"/>
          <w:iCs w:val="1"/>
          <w:color w:val="auto"/>
        </w:rPr>
        <w:t>Appendix A</w:t>
      </w:r>
      <w:r>
        <w:rPr>
          <w:rFonts w:ascii="Arial" w:cs="Arial" w:eastAsia="Arial" w:hAnsi="Arial"/>
          <w:sz w:val="17"/>
          <w:szCs w:val="17"/>
          <w:color w:val="auto"/>
        </w:rPr>
        <w:t>) unless: (i) this Agreement is sooner terminated as provided in Section 2.2 below; or (ii) the parties agree in writing to extend the Term for a mutually agreed upon period.</w:t>
      </w:r>
    </w:p>
    <w:p>
      <w:pPr>
        <w:spacing w:after="0" w:line="165" w:lineRule="exact"/>
        <w:rPr>
          <w:rFonts w:ascii="Arial" w:cs="Arial" w:eastAsia="Arial" w:hAnsi="Arial"/>
          <w:sz w:val="18"/>
          <w:szCs w:val="18"/>
          <w:color w:val="auto"/>
        </w:rPr>
      </w:pPr>
    </w:p>
    <w:p>
      <w:pPr>
        <w:ind w:left="900" w:hanging="513"/>
        <w:spacing w:after="0" w:line="277" w:lineRule="auto"/>
        <w:rPr>
          <w:rFonts w:ascii="Arial" w:cs="Arial" w:eastAsia="Arial" w:hAnsi="Arial"/>
          <w:sz w:val="18"/>
          <w:szCs w:val="18"/>
          <w:color w:val="auto"/>
        </w:rPr>
      </w:pPr>
      <w:r>
        <w:rPr>
          <w:rFonts w:ascii="Arial" w:cs="Arial" w:eastAsia="Arial" w:hAnsi="Arial"/>
          <w:sz w:val="18"/>
          <w:szCs w:val="18"/>
          <w:color w:val="auto"/>
        </w:rPr>
        <w:t>2.2. The Agreement and the Services provided by Consultant may be terminated by either Consultant or the Company, at any time and for any reason, upon five (5) days prior written notice of termination.</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Consulting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513"/>
        <w:spacing w:after="0" w:line="277" w:lineRule="auto"/>
        <w:rPr>
          <w:rFonts w:ascii="Arial" w:cs="Arial" w:eastAsia="Arial" w:hAnsi="Arial"/>
          <w:sz w:val="18"/>
          <w:szCs w:val="18"/>
          <w:color w:val="auto"/>
        </w:rPr>
      </w:pPr>
      <w:r>
        <w:rPr>
          <w:rFonts w:ascii="Arial" w:cs="Arial" w:eastAsia="Arial" w:hAnsi="Arial"/>
          <w:sz w:val="18"/>
          <w:szCs w:val="18"/>
          <w:color w:val="auto"/>
        </w:rPr>
        <w:t>3.1. In consideration of the Services provided hereunder, the Company shall provide Consultant the compensation as set forth in the applicable SOW (“Consulting Fee”).</w:t>
      </w:r>
    </w:p>
    <w:p>
      <w:pPr>
        <w:spacing w:after="0" w:line="170" w:lineRule="exact"/>
        <w:rPr>
          <w:rFonts w:ascii="Arial" w:cs="Arial" w:eastAsia="Arial" w:hAnsi="Arial"/>
          <w:sz w:val="18"/>
          <w:szCs w:val="18"/>
          <w:color w:val="auto"/>
        </w:rPr>
      </w:pPr>
    </w:p>
    <w:p>
      <w:pPr>
        <w:ind w:left="900" w:hanging="513"/>
        <w:spacing w:after="0" w:line="277" w:lineRule="auto"/>
        <w:rPr>
          <w:rFonts w:ascii="Arial" w:cs="Arial" w:eastAsia="Arial" w:hAnsi="Arial"/>
          <w:sz w:val="18"/>
          <w:szCs w:val="18"/>
          <w:color w:val="auto"/>
        </w:rPr>
      </w:pPr>
      <w:r>
        <w:rPr>
          <w:rFonts w:ascii="Arial" w:cs="Arial" w:eastAsia="Arial" w:hAnsi="Arial"/>
          <w:sz w:val="18"/>
          <w:szCs w:val="18"/>
          <w:color w:val="auto"/>
        </w:rPr>
        <w:t>3.2. Consultant shall be responsible for all expenses incurred in association with performance of the Services, unless pre-approved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both"/>
        <w:ind w:left="372" w:hanging="372"/>
        <w:spacing w:after="0" w:line="297" w:lineRule="auto"/>
        <w:tabs>
          <w:tab w:leader="none" w:pos="37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Consultant acknowledges that Consultant will receive confidential and proprietary information from, on behalf of, or at the direction of, the Company in connection with, and during the course of providing, the Services, including but not limited to technical, clinical, marketing, commercial and/or legal information, data, reports, drawings, models, designs, prototypes, biological material, specimens, chemical compounds, formulas, manufacturing or other processes, software, specifications, patent applications, marketing strategies, customer information and customer lists (“Confidential Information”). All Confidential Information is and shall at all times remain the exclusive property of the Company. Consultant agrees:</w:t>
      </w:r>
    </w:p>
    <w:p>
      <w:pPr>
        <w:spacing w:after="0" w:line="158" w:lineRule="exact"/>
        <w:rPr>
          <w:rFonts w:ascii="Arial" w:cs="Arial" w:eastAsia="Arial" w:hAnsi="Arial"/>
          <w:sz w:val="16"/>
          <w:szCs w:val="16"/>
          <w:color w:val="auto"/>
        </w:rPr>
      </w:pPr>
    </w:p>
    <w:p>
      <w:pPr>
        <w:ind w:left="892" w:hanging="513"/>
        <w:spacing w:after="0" w:line="277" w:lineRule="auto"/>
        <w:rPr>
          <w:rFonts w:ascii="Arial" w:cs="Arial" w:eastAsia="Arial" w:hAnsi="Arial"/>
          <w:sz w:val="16"/>
          <w:szCs w:val="16"/>
          <w:color w:val="auto"/>
        </w:rPr>
      </w:pPr>
      <w:r>
        <w:rPr>
          <w:rFonts w:ascii="Arial" w:cs="Arial" w:eastAsia="Arial" w:hAnsi="Arial"/>
          <w:sz w:val="18"/>
          <w:szCs w:val="18"/>
          <w:color w:val="auto"/>
        </w:rPr>
        <w:t>4.1. to hold the Confidential Information in strict confidence and not to disclose or make available any Confidential Information to any third party whatsoever, without the prior written consent of the Company;</w:t>
      </w:r>
    </w:p>
    <w:p>
      <w:pPr>
        <w:spacing w:after="0" w:line="170" w:lineRule="exact"/>
        <w:rPr>
          <w:rFonts w:ascii="Arial" w:cs="Arial" w:eastAsia="Arial" w:hAnsi="Arial"/>
          <w:sz w:val="16"/>
          <w:szCs w:val="16"/>
          <w:color w:val="auto"/>
        </w:rPr>
      </w:pPr>
    </w:p>
    <w:p>
      <w:pPr>
        <w:ind w:left="372"/>
        <w:spacing w:after="0"/>
        <w:rPr>
          <w:rFonts w:ascii="Arial" w:cs="Arial" w:eastAsia="Arial" w:hAnsi="Arial"/>
          <w:sz w:val="16"/>
          <w:szCs w:val="16"/>
          <w:color w:val="auto"/>
        </w:rPr>
      </w:pPr>
      <w:r>
        <w:rPr>
          <w:rFonts w:ascii="Arial" w:cs="Arial" w:eastAsia="Arial" w:hAnsi="Arial"/>
          <w:sz w:val="18"/>
          <w:szCs w:val="18"/>
          <w:color w:val="auto"/>
        </w:rPr>
        <w:t>4.2.   to use the Confidential Information only for the benefit of the Company and only for the purpose of providing the Services;</w:t>
      </w:r>
    </w:p>
    <w:p>
      <w:pPr>
        <w:spacing w:after="0" w:line="225" w:lineRule="exact"/>
        <w:rPr>
          <w:rFonts w:ascii="Arial" w:cs="Arial" w:eastAsia="Arial" w:hAnsi="Arial"/>
          <w:sz w:val="16"/>
          <w:szCs w:val="16"/>
          <w:color w:val="auto"/>
        </w:rPr>
      </w:pPr>
    </w:p>
    <w:p>
      <w:pPr>
        <w:ind w:left="892" w:hanging="513"/>
        <w:spacing w:after="0" w:line="277" w:lineRule="auto"/>
        <w:rPr>
          <w:rFonts w:ascii="Arial" w:cs="Arial" w:eastAsia="Arial" w:hAnsi="Arial"/>
          <w:sz w:val="16"/>
          <w:szCs w:val="16"/>
          <w:color w:val="auto"/>
        </w:rPr>
      </w:pPr>
      <w:r>
        <w:rPr>
          <w:rFonts w:ascii="Arial" w:cs="Arial" w:eastAsia="Arial" w:hAnsi="Arial"/>
          <w:sz w:val="18"/>
          <w:szCs w:val="18"/>
          <w:color w:val="auto"/>
        </w:rPr>
        <w:t>4.3. to take at least the same degree of care to prevent disclosure of Confidential Information as Consultant takes to preserve and safeguard Consultant’s own confidential and proprietary information, but in any event, no less than a reasonable degree of care;</w:t>
      </w:r>
    </w:p>
    <w:p>
      <w:pPr>
        <w:spacing w:after="0" w:line="170" w:lineRule="exact"/>
        <w:rPr>
          <w:rFonts w:ascii="Arial" w:cs="Arial" w:eastAsia="Arial" w:hAnsi="Arial"/>
          <w:sz w:val="16"/>
          <w:szCs w:val="16"/>
          <w:color w:val="auto"/>
        </w:rPr>
      </w:pPr>
    </w:p>
    <w:p>
      <w:pPr>
        <w:ind w:left="372"/>
        <w:spacing w:after="0"/>
        <w:rPr>
          <w:rFonts w:ascii="Arial" w:cs="Arial" w:eastAsia="Arial" w:hAnsi="Arial"/>
          <w:sz w:val="16"/>
          <w:szCs w:val="16"/>
          <w:color w:val="auto"/>
        </w:rPr>
      </w:pPr>
      <w:r>
        <w:rPr>
          <w:rFonts w:ascii="Arial" w:cs="Arial" w:eastAsia="Arial" w:hAnsi="Arial"/>
          <w:sz w:val="17"/>
          <w:szCs w:val="17"/>
          <w:color w:val="auto"/>
        </w:rPr>
        <w:t>4.4.   not to make copies of the Confidential Information except to the extent that the copies are reasonably necessary for providing the Services;</w:t>
      </w:r>
    </w:p>
    <w:p>
      <w:pPr>
        <w:spacing w:after="0" w:line="236" w:lineRule="exact"/>
        <w:rPr>
          <w:rFonts w:ascii="Arial" w:cs="Arial" w:eastAsia="Arial" w:hAnsi="Arial"/>
          <w:sz w:val="16"/>
          <w:szCs w:val="16"/>
          <w:color w:val="auto"/>
        </w:rPr>
      </w:pPr>
    </w:p>
    <w:p>
      <w:pPr>
        <w:ind w:left="892" w:hanging="513"/>
        <w:spacing w:after="0" w:line="264" w:lineRule="auto"/>
        <w:rPr>
          <w:rFonts w:ascii="Arial" w:cs="Arial" w:eastAsia="Arial" w:hAnsi="Arial"/>
          <w:sz w:val="16"/>
          <w:szCs w:val="16"/>
          <w:color w:val="auto"/>
        </w:rPr>
      </w:pPr>
      <w:r>
        <w:rPr>
          <w:rFonts w:ascii="Arial" w:cs="Arial" w:eastAsia="Arial" w:hAnsi="Arial"/>
          <w:sz w:val="18"/>
          <w:szCs w:val="18"/>
          <w:color w:val="auto"/>
        </w:rPr>
        <w:t>4.5. to return or destroy (as the Company may direct) any Confidential Information held by Consultant immediately upon termination of the Term of this Agreement pursuant to Section 2 above and provide the Company with a letter certifying that all such Confidential Information has been returned or destroyed as directed;</w:t>
      </w:r>
    </w:p>
    <w:p>
      <w:pPr>
        <w:spacing w:after="0" w:line="181" w:lineRule="exact"/>
        <w:rPr>
          <w:rFonts w:ascii="Arial" w:cs="Arial" w:eastAsia="Arial" w:hAnsi="Arial"/>
          <w:sz w:val="16"/>
          <w:szCs w:val="16"/>
          <w:color w:val="auto"/>
        </w:rPr>
      </w:pPr>
    </w:p>
    <w:p>
      <w:pPr>
        <w:ind w:left="372"/>
        <w:spacing w:after="0"/>
        <w:rPr>
          <w:rFonts w:ascii="Arial" w:cs="Arial" w:eastAsia="Arial" w:hAnsi="Arial"/>
          <w:sz w:val="16"/>
          <w:szCs w:val="16"/>
          <w:color w:val="auto"/>
        </w:rPr>
      </w:pPr>
      <w:r>
        <w:rPr>
          <w:rFonts w:ascii="Arial" w:cs="Arial" w:eastAsia="Arial" w:hAnsi="Arial"/>
          <w:sz w:val="18"/>
          <w:szCs w:val="18"/>
          <w:color w:val="auto"/>
        </w:rPr>
        <w:t>4.6.   that Confidential Information excludes information that:</w:t>
      </w:r>
    </w:p>
    <w:p>
      <w:pPr>
        <w:spacing w:after="0" w:line="225" w:lineRule="exact"/>
        <w:rPr>
          <w:rFonts w:ascii="Arial" w:cs="Arial" w:eastAsia="Arial" w:hAnsi="Arial"/>
          <w:sz w:val="16"/>
          <w:szCs w:val="16"/>
          <w:color w:val="auto"/>
        </w:rPr>
      </w:pPr>
    </w:p>
    <w:p>
      <w:pPr>
        <w:ind w:left="1352" w:hanging="380"/>
        <w:spacing w:after="0" w:line="277" w:lineRule="auto"/>
        <w:tabs>
          <w:tab w:leader="none" w:pos="13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evidenced by Consultant’s written records, was lawfully known to Consultant prior to its communication by, on behalf of, or at the direction of the Company and was not communicated to Consultant subject to any restrictions on disclosure or use; or</w:t>
      </w:r>
    </w:p>
    <w:p>
      <w:pPr>
        <w:spacing w:after="0" w:line="170" w:lineRule="exact"/>
        <w:rPr>
          <w:rFonts w:ascii="Arial" w:cs="Arial" w:eastAsia="Arial" w:hAnsi="Arial"/>
          <w:sz w:val="18"/>
          <w:szCs w:val="18"/>
          <w:color w:val="auto"/>
        </w:rPr>
      </w:pPr>
    </w:p>
    <w:p>
      <w:pPr>
        <w:ind w:left="1352" w:hanging="380"/>
        <w:spacing w:after="0" w:line="277" w:lineRule="auto"/>
        <w:tabs>
          <w:tab w:leader="none" w:pos="13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evidenced by Consultant’s written records, is independently developed by Consultant without use or knowledge of the Confidential Information; or</w:t>
      </w:r>
    </w:p>
    <w:p>
      <w:pPr>
        <w:spacing w:after="0" w:line="170" w:lineRule="exact"/>
        <w:rPr>
          <w:rFonts w:ascii="Arial" w:cs="Arial" w:eastAsia="Arial" w:hAnsi="Arial"/>
          <w:sz w:val="18"/>
          <w:szCs w:val="18"/>
          <w:color w:val="auto"/>
        </w:rPr>
      </w:pPr>
    </w:p>
    <w:p>
      <w:pPr>
        <w:ind w:left="1352" w:hanging="380"/>
        <w:spacing w:after="0"/>
        <w:tabs>
          <w:tab w:leader="none" w:pos="13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or becomes a part of the public domain other than by a breach of this Agreement by Consultant;</w:t>
      </w:r>
    </w:p>
    <w:p>
      <w:pPr>
        <w:spacing w:after="0" w:line="225" w:lineRule="exact"/>
        <w:rPr>
          <w:rFonts w:ascii="Arial" w:cs="Arial" w:eastAsia="Arial" w:hAnsi="Arial"/>
          <w:sz w:val="18"/>
          <w:szCs w:val="18"/>
          <w:color w:val="auto"/>
        </w:rPr>
      </w:pPr>
    </w:p>
    <w:p>
      <w:pPr>
        <w:ind w:left="1352" w:hanging="380"/>
        <w:spacing w:after="0"/>
        <w:tabs>
          <w:tab w:leader="none" w:pos="13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becomes known to Consultant by the action of a third party not in breach of any obligation of confidence; or</w:t>
      </w:r>
    </w:p>
    <w:p>
      <w:pPr>
        <w:spacing w:after="0" w:line="225" w:lineRule="exact"/>
        <w:rPr>
          <w:rFonts w:ascii="Arial" w:cs="Arial" w:eastAsia="Arial" w:hAnsi="Arial"/>
          <w:sz w:val="18"/>
          <w:szCs w:val="18"/>
          <w:color w:val="auto"/>
        </w:rPr>
      </w:pPr>
    </w:p>
    <w:p>
      <w:pPr>
        <w:jc w:val="both"/>
        <w:ind w:left="1352" w:hanging="380"/>
        <w:spacing w:after="0" w:line="286" w:lineRule="auto"/>
        <w:tabs>
          <w:tab w:leader="none" w:pos="1352" w:val="left"/>
        </w:tabs>
        <w:numPr>
          <w:ilvl w:val="1"/>
          <w:numId w:val="33"/>
        </w:numPr>
        <w:rPr>
          <w:rFonts w:ascii="Arial" w:cs="Arial" w:eastAsia="Arial" w:hAnsi="Arial"/>
          <w:sz w:val="17"/>
          <w:szCs w:val="17"/>
          <w:color w:val="auto"/>
        </w:rPr>
      </w:pPr>
      <w:r>
        <w:rPr>
          <w:rFonts w:ascii="Arial" w:cs="Arial" w:eastAsia="Arial" w:hAnsi="Arial"/>
          <w:sz w:val="17"/>
          <w:szCs w:val="17"/>
          <w:color w:val="auto"/>
        </w:rPr>
        <w:t>is required to be disclosed or made available by Consultant to a third party pursuant to any applicable law, governmental regulation, or decision of any court or tribunal of competent jurisdiction, so long as Consultant takes reasonable steps, in light of the circumstances, to give the Company sufficient prior notice in order to contest such law, governmental regulation, or decision;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92" w:name="page93"/>
    <w:bookmarkEnd w:id="92"/>
    <w:p>
      <w:pPr>
        <w:jc w:val="both"/>
        <w:ind w:left="892" w:hanging="512"/>
        <w:spacing w:after="0" w:line="264" w:lineRule="auto"/>
        <w:tabs>
          <w:tab w:leader="none" w:pos="872" w:val="left"/>
        </w:tabs>
        <w:rPr>
          <w:sz w:val="20"/>
          <w:szCs w:val="20"/>
          <w:color w:val="auto"/>
        </w:rPr>
      </w:pPr>
      <w:r>
        <w:rPr>
          <w:rFonts w:ascii="Arial" w:cs="Arial" w:eastAsia="Arial" w:hAnsi="Arial"/>
          <w:sz w:val="18"/>
          <w:szCs w:val="18"/>
          <w:color w:val="auto"/>
        </w:rPr>
        <w:t>4.7.</w:t>
        <w:tab/>
        <w:t>that no representation or warranty, express or implied, is made by the Company as to the accuracy, completeness or reasonableness of any Confidential Information and that neither the Company will have any liability to Consultant as a result of Consultant’s possession or use of the Confidential information; and</w:t>
      </w:r>
    </w:p>
    <w:p>
      <w:pPr>
        <w:spacing w:after="0" w:line="181" w:lineRule="exact"/>
        <w:rPr>
          <w:sz w:val="20"/>
          <w:szCs w:val="20"/>
          <w:color w:val="auto"/>
        </w:rPr>
      </w:pPr>
    </w:p>
    <w:p>
      <w:pPr>
        <w:jc w:val="both"/>
        <w:ind w:left="892" w:hanging="512"/>
        <w:spacing w:after="0" w:line="277" w:lineRule="auto"/>
        <w:tabs>
          <w:tab w:leader="none" w:pos="872" w:val="left"/>
        </w:tabs>
        <w:rPr>
          <w:sz w:val="20"/>
          <w:szCs w:val="20"/>
          <w:color w:val="auto"/>
        </w:rPr>
      </w:pPr>
      <w:r>
        <w:rPr>
          <w:rFonts w:ascii="Arial" w:cs="Arial" w:eastAsia="Arial" w:hAnsi="Arial"/>
          <w:sz w:val="18"/>
          <w:szCs w:val="18"/>
          <w:color w:val="auto"/>
        </w:rPr>
        <w:t>4.8.</w:t>
        <w:tab/>
        <w:t>that money damages may not be sufficient remedy for any breach of this Section and that the Company will be entitled to seek specific performance and injunctive or equitable relief as a remedy for any such breach.</w:t>
      </w:r>
    </w:p>
    <w:p>
      <w:pPr>
        <w:spacing w:after="0" w:line="170" w:lineRule="exact"/>
        <w:rPr>
          <w:sz w:val="20"/>
          <w:szCs w:val="20"/>
          <w:color w:val="auto"/>
        </w:rPr>
      </w:pPr>
    </w:p>
    <w:p>
      <w:pPr>
        <w:jc w:val="both"/>
        <w:ind w:left="892" w:hanging="512"/>
        <w:spacing w:after="0" w:line="277" w:lineRule="auto"/>
        <w:tabs>
          <w:tab w:leader="none" w:pos="872" w:val="left"/>
        </w:tabs>
        <w:rPr>
          <w:sz w:val="20"/>
          <w:szCs w:val="20"/>
          <w:color w:val="auto"/>
        </w:rPr>
      </w:pPr>
      <w:r>
        <w:rPr>
          <w:rFonts w:ascii="Arial" w:cs="Arial" w:eastAsia="Arial" w:hAnsi="Arial"/>
          <w:sz w:val="18"/>
          <w:szCs w:val="18"/>
          <w:color w:val="auto"/>
        </w:rPr>
        <w:t>4.9.</w:t>
        <w:tab/>
        <w:t>Nothing in this Section is intended to limit any remedy of the Company under the California Uniform Trade Secrets Act (California Civil Code Section 3426), or otherwise available under law.</w:t>
      </w:r>
    </w:p>
    <w:p>
      <w:pPr>
        <w:spacing w:after="0" w:line="170" w:lineRule="exact"/>
        <w:rPr>
          <w:sz w:val="20"/>
          <w:szCs w:val="20"/>
          <w:color w:val="auto"/>
        </w:rPr>
      </w:pPr>
    </w:p>
    <w:p>
      <w:pPr>
        <w:jc w:val="both"/>
        <w:ind w:left="892" w:hanging="512"/>
        <w:spacing w:after="0" w:line="279" w:lineRule="auto"/>
        <w:tabs>
          <w:tab w:leader="none" w:pos="87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color w:val="auto"/>
        </w:rPr>
        <w:t>Notwithstanding the other provisions of this Agreement, pursuant to 18 U.S.C. Section 1833(b), Consultant shall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is made in a complaint or other document filed in a lawsuit or other proceeding, if such filing is made under seal.</w:t>
      </w:r>
    </w:p>
    <w:p>
      <w:pPr>
        <w:spacing w:after="0" w:line="171" w:lineRule="exact"/>
        <w:rPr>
          <w:sz w:val="20"/>
          <w:szCs w:val="20"/>
          <w:color w:val="auto"/>
        </w:rPr>
      </w:pPr>
    </w:p>
    <w:p>
      <w:pPr>
        <w:jc w:val="both"/>
        <w:ind w:left="372" w:hanging="372"/>
        <w:spacing w:after="0" w:line="268" w:lineRule="auto"/>
        <w:tabs>
          <w:tab w:leader="none" w:pos="37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relationship of Consultant to the Company shall be that of an independent contractor rendering professional services. Consultant is not an employee of the Company. Nothing contained in this Agreement shall be deemed to create a relationship of employer and employee or principal and agent between the Company and Consultant. In no circumstance shall Consultant look to the Company as Consultant’s employer, partner, agent or principal. Consultant is not entitled to and will be excluded from participating in any of Company’s fringe benefit plans or programs as a result of the performance of the Services under this Agreement,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in the event that Consultant is injured in any manner or becomes ill while performing the work under this Agreement. Consultant is solely responsible for all tax returns, payments, or reports required to be filed with or made to any federal, state or local tax authority with respect to Consultant’s performance of Services and receipt of consideration (including Consulting Fees) under this Agreement. Consultant is not authorized to make any representation, contract or commitment on behalf of the Company unless specifically requested or authorized in writing to do so by an executive officer or Board member of the Company.</w:t>
      </w:r>
    </w:p>
    <w:p>
      <w:pPr>
        <w:spacing w:after="0" w:line="187" w:lineRule="exact"/>
        <w:rPr>
          <w:rFonts w:ascii="Arial" w:cs="Arial" w:eastAsia="Arial" w:hAnsi="Arial"/>
          <w:sz w:val="17"/>
          <w:szCs w:val="17"/>
          <w:color w:val="auto"/>
        </w:rPr>
      </w:pPr>
    </w:p>
    <w:p>
      <w:pPr>
        <w:jc w:val="both"/>
        <w:ind w:left="372" w:hanging="372"/>
        <w:spacing w:after="0" w:line="264" w:lineRule="auto"/>
        <w:tabs>
          <w:tab w:leader="none" w:pos="3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this Agreement or any of its provisions shall be binding upon a party unless in writing and signed by each party. The waiver by either party of a breach or violation of any provision of this Agreement shall not constitute or be construed as a waiver of any subsequent breach or violation of that provision or as a waiver of any breach or violation of any other provision.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93" w:name="page94"/>
    <w:bookmarkEnd w:id="93"/>
    <w:p>
      <w:pPr>
        <w:jc w:val="both"/>
        <w:ind w:left="372" w:hanging="372"/>
        <w:spacing w:after="0" w:line="259" w:lineRule="auto"/>
        <w:tabs>
          <w:tab w:leader="none" w:pos="3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invalid, illegal or unenforceable, the remaining provisions of this Agreement shall be unimpaired, and the invalid, illegal or unenforceable provision shall be replaced by a mutually acceptable provision, which, being valid, legal and enforceable, comes closest to the intention of the parties underlying the invalid, illegal or unenforceable provision.</w:t>
      </w:r>
    </w:p>
    <w:p>
      <w:pPr>
        <w:spacing w:after="0" w:line="186"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6-11 and any other obligation under this Agreement which is to survive or be performed after termination of this Agreement, regardless of the cause therefor, shall survive any termination or expiration of this Agreement.</w:t>
      </w:r>
    </w:p>
    <w:p>
      <w:pPr>
        <w:spacing w:after="0" w:line="170" w:lineRule="exact"/>
        <w:rPr>
          <w:rFonts w:ascii="Arial" w:cs="Arial" w:eastAsia="Arial" w:hAnsi="Arial"/>
          <w:sz w:val="18"/>
          <w:szCs w:val="18"/>
          <w:color w:val="auto"/>
        </w:rPr>
      </w:pPr>
    </w:p>
    <w:p>
      <w:pPr>
        <w:jc w:val="both"/>
        <w:ind w:left="372" w:hanging="372"/>
        <w:spacing w:after="0" w:line="257" w:lineRule="auto"/>
        <w:tabs>
          <w:tab w:leader="none" w:pos="3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permitted to be made or given under this Agreement to either party shall be in writing and shall be sufficiently given if (i) hand delivered, (ii) sent by overnight guaranteed delivery service, such as Federal Express or UPS; or (iii) sent by facsimile transmission or electronic mail during addressee’s normal business hours, with a duplicate copy sent by overnight delivery or certified or registered mail, addressed as either party may from time to time designate to the other by written notice. Any such notice or other communication shall be deemed to be given as of the date it is received by the addressee.</w:t>
      </w:r>
    </w:p>
    <w:p>
      <w:pPr>
        <w:spacing w:after="0" w:line="188" w:lineRule="exact"/>
        <w:rPr>
          <w:rFonts w:ascii="Arial" w:cs="Arial" w:eastAsia="Arial" w:hAnsi="Arial"/>
          <w:sz w:val="18"/>
          <w:szCs w:val="18"/>
          <w:color w:val="auto"/>
        </w:rPr>
      </w:pPr>
    </w:p>
    <w:p>
      <w:pPr>
        <w:jc w:val="both"/>
        <w:ind w:left="372" w:hanging="372"/>
        <w:spacing w:after="0" w:line="259" w:lineRule="auto"/>
        <w:tabs>
          <w:tab w:leader="none" w:pos="3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 excluding the choice of law rules, and the parties hereby agree to submit to the jurisdiction and venue of the State and Federal courts of the State of California, and agree that the State and Federal courts of the State of California shall be the exclusive forum for the resolution of all disputes related to or arising out of this Agreement.</w:t>
      </w:r>
    </w:p>
    <w:p>
      <w:pPr>
        <w:spacing w:after="0" w:line="186" w:lineRule="exact"/>
        <w:rPr>
          <w:rFonts w:ascii="Arial" w:cs="Arial" w:eastAsia="Arial" w:hAnsi="Arial"/>
          <w:sz w:val="18"/>
          <w:szCs w:val="18"/>
          <w:color w:val="auto"/>
        </w:rPr>
      </w:pPr>
    </w:p>
    <w:p>
      <w:pPr>
        <w:jc w:val="both"/>
        <w:ind w:left="372" w:hanging="372"/>
        <w:spacing w:after="0" w:line="264" w:lineRule="auto"/>
        <w:tabs>
          <w:tab w:leader="none" w:pos="37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including any applicable SOW, represents the entire agreement between the parties in relation to the subject matter contained herein and supersedes all previous other agreements and representations, whether oral or written. This Agreement may be modified only if such modification is in writing and signed by a duly authorized representative of each party.</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94" w:name="page95"/>
    <w:bookmarkEnd w:id="94"/>
    <w:p>
      <w:pPr>
        <w:ind w:left="4280"/>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Consulting Agreement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CLAYTON EDWARDS</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Clayton Edwards</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Clayton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 individual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 2017</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ETON PHARMACEUTICALS, INC.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jc w:val="right"/>
        <w:ind w:right="2599"/>
        <w:spacing w:after="0"/>
        <w:tabs>
          <w:tab w:leader="none" w:pos="2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1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Date: May 1, 2017</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1"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Consulting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Clayton Edwards and Eton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Consultant shall provide advisory services to the Company relating to its operational activities and other related services as may be requested from time to time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or shortly following commencement of Consultant’s Services to the Company, the Company shall grant to Consultant an option to purchase up to 20,000 shares of the Company’s restricted common stock, par value $0.001 (“Common Stock”) under the terms of the Company’s 2017 Equity Incentive Plan (the “Plan”) and a Stock Option Grant Notice and Agreement thereunder to be provided to Consultant by the Company (collectively with the Plan, the “Stock Option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option shall vest upon the earlier of:</w:t>
      </w:r>
    </w:p>
    <w:p>
      <w:pPr>
        <w:spacing w:after="0" w:line="225" w:lineRule="exact"/>
        <w:rPr>
          <w:sz w:val="20"/>
          <w:szCs w:val="20"/>
          <w:color w:val="auto"/>
        </w:rPr>
      </w:pPr>
    </w:p>
    <w:p>
      <w:pPr>
        <w:ind w:left="900" w:hanging="51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in Control (as defined in the Plan);</w:t>
      </w:r>
    </w:p>
    <w:p>
      <w:pPr>
        <w:spacing w:after="0" w:line="225" w:lineRule="exact"/>
        <w:rPr>
          <w:rFonts w:ascii="Arial" w:cs="Arial" w:eastAsia="Arial" w:hAnsi="Arial"/>
          <w:sz w:val="18"/>
          <w:szCs w:val="18"/>
          <w:color w:val="auto"/>
        </w:rPr>
      </w:pPr>
    </w:p>
    <w:p>
      <w:pPr>
        <w:ind w:left="900" w:right="20" w:hanging="514"/>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of any underwriting agreement between the Company and the underwriter(s) managing an initial public offering of the Company’s common stock, pursuant to which the common stock is priced for initial public offering (the “IPO”);</w:t>
      </w:r>
    </w:p>
    <w:p>
      <w:pPr>
        <w:spacing w:after="0" w:line="170" w:lineRule="exact"/>
        <w:rPr>
          <w:rFonts w:ascii="Arial" w:cs="Arial" w:eastAsia="Arial" w:hAnsi="Arial"/>
          <w:sz w:val="18"/>
          <w:szCs w:val="18"/>
          <w:color w:val="auto"/>
        </w:rPr>
      </w:pPr>
    </w:p>
    <w:p>
      <w:pPr>
        <w:ind w:left="900" w:hanging="51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of closing of any Company financing in excess of $10,000,000 (“Subsequent Financing”); or</w:t>
      </w:r>
    </w:p>
    <w:p>
      <w:pPr>
        <w:spacing w:after="0" w:line="225" w:lineRule="exact"/>
        <w:rPr>
          <w:rFonts w:ascii="Arial" w:cs="Arial" w:eastAsia="Arial" w:hAnsi="Arial"/>
          <w:sz w:val="18"/>
          <w:szCs w:val="18"/>
          <w:color w:val="auto"/>
        </w:rPr>
      </w:pPr>
    </w:p>
    <w:p>
      <w:pPr>
        <w:ind w:left="900" w:hanging="514"/>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prior to the one year anniversary of the date of grant of the option (as indicated in the Stock Option Documents) (the “Grant Date”).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in any case of (1), (2), (3) and (4), which occurs following the Bridge Financing (as defined below), subject to Consultant’s Continuous Service (as defined in the Plan) through such vesting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the Consultant’s Continuous Service is terminated by the Company (other than for Cause (as defined in the Plan)) prior to the completion of the Term (as outlined below), the option shall vest immediately upon such termination. The “Bridge Financing” shall mean closing of a bona-fide equity financing with third party investors resulting in cash gross proceeds to the Company of at least $10,000,000 which occurs within one year of the Grant Date.</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Consultant understands that the shares of Common Stock subject to the stock option have not been registered under the Securities Act of 1933, as amended, or any applicable state securities law. Consultant must execute the Stock Option Documents as a condition to receipt of the stock option grant 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Consultant commenced providing Services to the Company on April 26, 2017 and shall provide the Services through the earlier of (i) one year from the Grant Date, (ii) a Change in Control, (iii) the IPO, (iv) a Subsequent Financing or (v) such earlier date as the Services are terminated by the Company or Consultant in accordance with this Agreement (the “Term”).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Mark L. Baum, certify that:</w:t>
      </w:r>
    </w:p>
    <w:p>
      <w:pPr>
        <w:spacing w:after="0" w:line="229"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hanging="379"/>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hanging="379"/>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60" w:hanging="380"/>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hanging="380"/>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hanging="380"/>
        <w:spacing w:after="0" w:line="342" w:lineRule="auto"/>
        <w:tabs>
          <w:tab w:leader="none" w:pos="13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380"/>
        <w:spacing w:after="0" w:line="264"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79"/>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hanging="380"/>
        <w:spacing w:after="0" w:line="308" w:lineRule="auto"/>
        <w:tabs>
          <w:tab w:leader="none" w:pos="13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380"/>
        <w:spacing w:after="0" w:line="277" w:lineRule="auto"/>
        <w:tabs>
          <w:tab w:leader="none" w:pos="1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R. Boll, certify that:</w:t>
      </w:r>
    </w:p>
    <w:p>
      <w:pPr>
        <w:spacing w:after="0" w:line="229"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hanging="379"/>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60" w:hanging="380"/>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hanging="380"/>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hanging="380"/>
        <w:spacing w:after="0" w:line="342" w:lineRule="auto"/>
        <w:tabs>
          <w:tab w:leader="none" w:pos="13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380"/>
        <w:spacing w:after="0" w:line="264"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79"/>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hanging="380"/>
        <w:spacing w:after="0" w:line="308" w:lineRule="auto"/>
        <w:tabs>
          <w:tab w:leader="none" w:pos="13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380"/>
        <w:spacing w:after="0" w:line="277" w:lineRule="auto"/>
        <w:tabs>
          <w:tab w:leader="none" w:pos="13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2017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decimal"/>
      <w:start w:val="1"/>
    </w:lvl>
    <w:lvl w:ilvl="1">
      <w:lvlJc w:val="left"/>
      <w:lvlText w:val="(%2)"/>
      <w:numFmt w:val="lowerLetter"/>
      <w:start w:val="2"/>
    </w:lvl>
  </w:abstractNum>
  <w:abstractNum w:abstractNumId="12">
    <w:nsid w:val="4353D0CD"/>
    <w:multiLevelType w:val="hybridMultilevel"/>
    <w:lvl w:ilvl="0">
      <w:lvlJc w:val="left"/>
      <w:lvlText w:val="%1."/>
      <w:numFmt w:val="decimal"/>
      <w:start w:val="9"/>
    </w:lvl>
    <w:lvl w:ilvl="1">
      <w:lvlJc w:val="left"/>
      <w:lvlText w:val="%2"/>
      <w:numFmt w:val="lowerLetter"/>
      <w:start w:val="1"/>
    </w:lvl>
  </w:abstractNum>
  <w:abstractNum w:abstractNumId="13">
    <w:nsid w:val="B03E0C6"/>
    <w:multiLevelType w:val="hybridMultilevel"/>
    <w:lvl w:ilvl="0">
      <w:lvlJc w:val="left"/>
      <w:lvlText w:val="%1."/>
      <w:numFmt w:val="decimal"/>
      <w:start w:val="10"/>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3"/>
    </w:lvl>
  </w:abstractNum>
  <w:abstractNum w:abstractNumId="17">
    <w:nsid w:val="2CA88611"/>
    <w:multiLevelType w:val="hybridMultilevel"/>
    <w:lvl w:ilvl="0">
      <w:lvlJc w:val="left"/>
      <w:lvlText w:val="%1."/>
      <w:numFmt w:val="decimal"/>
      <w:start w:val="1"/>
    </w:lvl>
    <w:lvl w:ilvl="1">
      <w:lvlJc w:val="left"/>
      <w:lvlText w:val="(%2)"/>
      <w:numFmt w:val="lowerLetter"/>
      <w:start w:val="1"/>
    </w:lvl>
  </w:abstractNum>
  <w:abstractNum w:abstractNumId="18">
    <w:nsid w:val="836C40E"/>
    <w:multiLevelType w:val="hybridMultilevel"/>
    <w:lvl w:ilvl="0">
      <w:lvlJc w:val="left"/>
      <w:lvlText w:val="%1."/>
      <w:numFmt w:val="decimal"/>
      <w:start w:val="5"/>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4"/>
    </w:lvl>
    <w:lvl w:ilvl="1">
      <w:lvlJc w:val="left"/>
      <w:lvlText w:val="(%2)"/>
      <w:numFmt w:val="lowerLetter"/>
      <w:start w:val="1"/>
    </w:lvl>
  </w:abstractNum>
  <w:abstractNum w:abstractNumId="23">
    <w:nsid w:val="7C3DBD3D"/>
    <w:multiLevelType w:val="hybridMultilevel"/>
    <w:lvl w:ilvl="0">
      <w:lvlJc w:val="left"/>
      <w:lvlText w:val="%1."/>
      <w:numFmt w:val="decimal"/>
      <w:start w:val="5"/>
    </w:lvl>
  </w:abstractNum>
  <w:abstractNum w:abstractNumId="24">
    <w:nsid w:val="737B8DDC"/>
    <w:multiLevelType w:val="hybridMultilevel"/>
    <w:lvl w:ilvl="0">
      <w:lvlJc w:val="left"/>
      <w:lvlText w:val="%1."/>
      <w:numFmt w:val="decimal"/>
      <w:start w:val="7"/>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4"/>
    </w:lvl>
    <w:lvl w:ilvl="1">
      <w:lvlJc w:val="left"/>
      <w:lvlText w:val="(%2)"/>
      <w:numFmt w:val="lowerLetter"/>
      <w:start w:val="1"/>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1."/>
      <w:numFmt w:val="decimal"/>
      <w:start w:val="6"/>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4"/>
    </w:lvl>
    <w:lvl w:ilvl="1">
      <w:lvlJc w:val="left"/>
      <w:lvlText w:val="(%2)"/>
      <w:numFmt w:val="lowerLetter"/>
      <w:start w:val="1"/>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decimal"/>
      <w:start w:val="7"/>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2020-01-18T00:33:23Z</dcterms:created>
  <dcterms:modified xsi:type="dcterms:W3CDTF">2020-01-18T00:33:23Z</dcterms:modified>
</cp:coreProperties>
</file>