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920" w:right="1800" w:hanging="3669"/>
        <w:spacing w:after="0" w:line="490" w:lineRule="auto"/>
        <w:tabs>
          <w:tab w:leader="none" w:pos="65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360" w:right="1420" w:hanging="4109"/>
        <w:spacing w:after="0" w:line="500" w:lineRule="auto"/>
        <w:tabs>
          <w:tab w:leader="none" w:pos="65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001-35814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45-0567010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102 Woodmont Blvd., Suite 610</w:t>
            </w:r>
          </w:p>
        </w:tc>
        <w:tc>
          <w:tcPr>
            <w:tcW w:w="3560" w:type="dxa"/>
            <w:vAlign w:val="bottom"/>
          </w:tcPr>
          <w:p>
            <w:pPr>
              <w:spacing w:after="0"/>
              <w:rPr>
                <w:sz w:val="24"/>
                <w:szCs w:val="24"/>
                <w:color w:val="auto"/>
              </w:rPr>
            </w:pPr>
          </w:p>
        </w:tc>
      </w:tr>
      <w:tr>
        <w:trPr>
          <w:trHeight w:val="220"/>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Nashville, TN 37205</w:t>
            </w:r>
          </w:p>
        </w:tc>
        <w:tc>
          <w:tcPr>
            <w:tcW w:w="3560" w:type="dxa"/>
            <w:vAlign w:val="bottom"/>
          </w:tcPr>
          <w:p>
            <w:pPr>
              <w:spacing w:after="0"/>
              <w:rPr>
                <w:sz w:val="19"/>
                <w:szCs w:val="19"/>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3560" w:type="dxa"/>
            <w:vAlign w:val="bottom"/>
          </w:tcPr>
          <w:p>
            <w:pPr>
              <w:spacing w:after="0"/>
              <w:rPr>
                <w:sz w:val="20"/>
                <w:szCs w:val="20"/>
                <w:color w:val="auto"/>
              </w:rPr>
            </w:pPr>
          </w:p>
        </w:tc>
      </w:tr>
      <w:tr>
        <w:trPr>
          <w:trHeight w:val="41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(615) 733-4730</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20" w:type="dxa"/>
            <w:vAlign w:val="bottom"/>
          </w:tcPr>
          <w:p>
            <w:pPr>
              <w:spacing w:after="0"/>
              <w:rPr>
                <w:sz w:val="21"/>
                <w:szCs w:val="21"/>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198"/>
        </w:trPr>
        <w:tc>
          <w:tcPr>
            <w:tcW w:w="4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HROWL</w:t>
            </w: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HROWM</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43" w:orient="portrait"/>
          <w:cols w:equalWidth="0" w:num="1">
            <w:col w:w="11240"/>
          </w:cols>
          <w:pgMar w:left="320" w:top="740" w:right="339" w:bottom="0" w:gutter="0" w:footer="0" w:header="0"/>
        </w:sectPr>
      </w:pP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highlight w:val="black"/>
        </w:rPr>
        <w:t>☐</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highlight w:val="black"/>
        </w:rPr>
        <w:t>☒</w:t>
      </w:r>
    </w:p>
    <w:p>
      <w:pPr>
        <w:spacing w:after="0" w:line="416" w:lineRule="exact"/>
        <w:rPr>
          <w:sz w:val="24"/>
          <w:szCs w:val="24"/>
          <w:color w:val="auto"/>
        </w:rPr>
      </w:pPr>
    </w:p>
    <w:p>
      <w:pPr>
        <w:sectPr>
          <w:pgSz w:w="11900" w:h="16843" w:orient="portrait"/>
          <w:cols w:equalWidth="0" w:num="2">
            <w:col w:w="4900" w:space="720"/>
            <w:col w:w="5620"/>
          </w:cols>
          <w:pgMar w:left="320" w:top="740" w:right="339" w:bottom="0" w:gutter="0" w:footer="0" w:header="0"/>
          <w:type w:val="continuous"/>
        </w:sectPr>
      </w:pPr>
    </w:p>
    <w:p>
      <w:pPr>
        <w:spacing w:after="0" w:line="17"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highlight w:val="black"/>
        </w:rPr>
        <w:t>☐</w:t>
      </w:r>
    </w:p>
    <w:p>
      <w:pPr>
        <w:sectPr>
          <w:pgSz w:w="11900" w:h="16843" w:orient="portrait"/>
          <w:cols w:equalWidth="0" w:num="1">
            <w:col w:w="11240"/>
          </w:cols>
          <w:pgMar w:left="320" w:top="740" w:right="339" w:bottom="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2022, the last business day of the registrant’s most recently completed second fiscal quarter, the aggregate market value of the common stock held by non-affiliates of the registrant was approximately $159 million, based on the closing price of $7.28 for the registrant’s common stock as quoted on The Nasdaq Stock Market LLC on that date. For purposes of this calculation, it has been assumed that shares of common stock held by each director, each officer and each person who owns 10% or more of the outstanding common stock of the registrant are held by affiliates of the registrant. The treatment of these persons as affiliates for purposes of this calculation is not conclusive as to whether such persons are affiliates of the registrant for any other purpose.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22, 2023, there were 29,967,749 shares of the registrant’s common stock outstanding.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2023 Annual Meeting of Stockholders to be held on June 21, 2023 are incorporated by reference in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20" w:type="dxa"/>
            <w:vAlign w:val="bottom"/>
            <w:gridSpan w:val="9"/>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53"/>
        </w:trPr>
        <w:tc>
          <w:tcPr>
            <w:tcW w:w="8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840" w:type="dxa"/>
            <w:vAlign w:val="bottom"/>
            <w:shd w:val="clear" w:color="auto" w:fill="CCEEFF"/>
          </w:tcPr>
          <w:p>
            <w:pPr>
              <w:spacing w:after="0"/>
              <w:rPr>
                <w:sz w:val="14"/>
                <w:szCs w:val="14"/>
                <w:color w:val="auto"/>
              </w:rPr>
            </w:pPr>
          </w:p>
        </w:tc>
        <w:tc>
          <w:tcPr>
            <w:tcW w:w="9760" w:type="dxa"/>
            <w:vAlign w:val="bottom"/>
            <w:gridSpan w:val="26"/>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640" w:type="dxa"/>
            <w:vAlign w:val="bottom"/>
            <w:shd w:val="clear" w:color="auto" w:fill="CCEEFF"/>
          </w:tcPr>
          <w:p>
            <w:pPr>
              <w:spacing w:after="0"/>
              <w:rPr>
                <w:sz w:val="14"/>
                <w:szCs w:val="14"/>
                <w:color w:val="auto"/>
              </w:rPr>
            </w:pPr>
          </w:p>
        </w:tc>
      </w:tr>
      <w:tr>
        <w:trPr>
          <w:trHeight w:val="34"/>
        </w:trPr>
        <w:tc>
          <w:tcPr>
            <w:tcW w:w="8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8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8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902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8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840" w:type="dxa"/>
            <w:vAlign w:val="bottom"/>
            <w:shd w:val="clear" w:color="auto" w:fill="CCEEFF"/>
          </w:tcPr>
          <w:p>
            <w:pPr>
              <w:spacing w:after="0"/>
              <w:rPr>
                <w:sz w:val="15"/>
                <w:szCs w:val="15"/>
                <w:color w:val="auto"/>
              </w:rPr>
            </w:pPr>
          </w:p>
        </w:tc>
        <w:tc>
          <w:tcPr>
            <w:tcW w:w="9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8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Selected Financial Data</w:t>
            </w:r>
          </w:p>
        </w:tc>
        <w:tc>
          <w:tcPr>
            <w:tcW w:w="804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8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436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40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8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5"/>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648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28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8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44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8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rPr>
                <w:sz w:val="15"/>
                <w:szCs w:val="15"/>
                <w:color w:val="auto"/>
              </w:rPr>
            </w:pPr>
          </w:p>
        </w:tc>
        <w:tc>
          <w:tcPr>
            <w:tcW w:w="9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64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66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8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4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8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IV</w:t>
            </w:r>
          </w:p>
        </w:tc>
        <w:tc>
          <w:tcPr>
            <w:tcW w:w="90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8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820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106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460"/>
        </w:trPr>
        <w:tc>
          <w:tcPr>
            <w:tcW w:w="8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(this “Annual Report”), unless indicated or the context requires otherwise, the terms the “Company,” “Harrow,” “we,” “us” and “our” refer to Harrow Health, Inc. and its consolidated subsidiaries.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Annual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 Item 1A of this Annual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9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18"/>
          <w:szCs w:val="18"/>
          <w:color w:val="auto"/>
        </w:rPr>
        <w:t>We have registered trademarks, copyrights and/or pending trademark and copyright applications for a number of proprietary names in the United States, including, but not limited to: Imprimis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ImprimisRx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Harrow Health</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Visionology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Dropless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LessDrops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Dropless Cataract Surgery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Klarity-C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Dropless Therapy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MKO Melt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Simple Drops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We may choose to pursue trademark protection in other jurisdictions for one or more of these or other marks in the future. All other trademarks, service marks and trade names included or incorporated by reference into this Annual Report, are the property of their respective owners.</w:t>
      </w:r>
    </w:p>
    <w:p>
      <w:pPr>
        <w:spacing w:after="0" w:line="19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ophthalmic-focused pharmaceutical company. Our business specializes in the development, production, sale, and distribution of innovative prescription medications that offer unique competitive advantages and serve unmet needs in the marketplace through our subsidiaries and deconsolidated companies. We serve ophthalmologists and optometrists by providing FDA-approved branded ophthalmic pharmaceuticals and innovative compounded prescription medicines that are accessible and affordable. We own the U.S. commercial rights to ten branded ophthalmic pharmaceutical</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products, including IHEEZO</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IOPIDINE® (both approved concentrations), MAXITROL® eye drops, MOXEZA®, ILEVRO®, NEVANAC®, VIGAMOX®, MAXIDEX®, and TRIESENCE®. We own and operate ImprimisRx, one of the nation’s leading ophthalmology-focused pharmaceutical-compounding businesses, and our branded drugs are marketed under our Harrow name. In addition, we also have non-controlling equity positions in Surface Ophthalmics, Inc. (“Surface”) and Melt Pharmaceuticals, Inc. (“Melt”), both companies that began as subsidiaries of Harrow and were subsequently carved-out of our corporate structure and deconsolidated from our financial statements. We also own royalty rights in certain drug candidates being developed by Surface and Melt.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ImprimisRx</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ImprimisRx is our ophthalmology-focused pharmaceutical compounding businesses. From its inception in 2014, ImprimisRx, whose business consists of integrated research and development, production, dispensing/distribution, sales, marketing, and customer-service capabilities, has offered physician customers and their patients access to critical medicines to meet their clinical needs. Initially, ImprimisRx focused exclusively on compounded medications to serve needs unmet by commercially available drugs. Our compounded medications include various combinations of drugs formulated into one bottle and numerous preservative-free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(“cGMPs”) or other guidance documents from the U.S. Food and Drug Administration (the “FDA”), in our FDA-registered New Jersey outsourcing facility. Our current ophthalmology formulary includes over 30 compounded formulations, many of which are patented or patent-pending, that are customizable for the specific needs of a patient. We make our formulations available at prices that are, in most cases, lower than non-customized commercial drugs. ImprimisRx’s customer base has grown to include more than 10,000 U.S. eyecare-dedicated prescribers and institutions.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Branded Pharmaceuticals and Drug Candidates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 the past three years, in order to more fully serve the needs of our growing customer base, we have invested in broadening our product portfolio to include FDA-approved products. Our investments in this regard have led to the pursuit and completion of several announced transactions, and others we are continuing to pursue, all of which are focused on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ILEVRO®, NEVANAC®, VIGAMOX®, MAXIDEX®, TRIESENCE®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2022, we entered into an Asset Purchase Agreement (the “Purchase Agreement”) with Novartis Technology, LLC and Novartis Innovative Therapies AG (together, “Novartis”), pursuant to which the Company agreed to purchase from Novartis the exclusive commercial rights to assets associated with the following ophthalmic products (collectively the “Fab 5 Products”) in the U.S. (the “Fab 5 Acquisition”):</w:t>
      </w:r>
    </w:p>
    <w:p>
      <w:pPr>
        <w:spacing w:after="0" w:line="176" w:lineRule="exact"/>
        <w:rPr>
          <w:sz w:val="20"/>
          <w:szCs w:val="20"/>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ILEVRO® (nepafenac ophthalmic suspension) 0.3%, a non-steroidal, anti-inflammatory eye drop indicated for pain and inflammation associated with cataract surgery.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NEVANAC® (nepafenac ophthalmic suspension) 0.1%, a non-steroidal, anti-inflammatory eye drop indicated for pain and inflammation associated with cataract surgery.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VIGAMOX® (moxifloxacin hydrochloride ophthalmic solution) 0.5%, a fluoroquinolone antibiotic eye drop for the treatment of bacterial conjunctivitis caused by susceptible strains of organisms.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MAXIDEX® (dexamethasone ophthalmic suspension) 0.1%, a steroid eye drop for steroid-responsive inflammatory conditions of the palpebral and bulbar conjunctiva, cornea, and anterior segment of the globe.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TRIESENCE® (triamcinolone acetonide injectable suspension) 40 mg/ml, a steroid injection for the treatment of certain ophthalmic diseases and for visualization during vitrectomy.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closed the Fab 5 Acquisition on January 20, 2023. Under the terms of the Purchase Agreement, we made a one-time payment of $130,000,000 at closing, with up to another $45,000,000 due in a milestone payment related to the timing of the commercial availability of TRIESENCE. Pursuant to the Purchase Agreement and various ancillary agreements, immediately following the closing and subject to certain conditions, for a period that we expect to last approximately six months, and prior to the transfer of the Fab 5 Products new drug applications (the “NDAs”) to us, Novartis will continue to sell the Fab 5 Products on our behalf and transfer the net profit from the sale of the Fab 5 Products to us. Novartis has agreed to supply certain Fab 5 Products to the Company for a period of time after the NDAs are transferred to us and to assist with technology transfer of the Fab 5 Products manufacturing to other third-party manufacturers, if needed.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IOPIDINE®, MAXITROL® EYE DROPS, MOXEZA®</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2021, we acquired U.S. commercial rights to four FDA-approved ophthalmic medicines: IOPIDINE 1% and 0.5% (apraclonidine hydrochloride); MAXITROL (neomycin/polymyxin B/dexamethasone) ophthalmic suspension; and MOXEZA (moxifloxacin hydrochloride). We believe by expanding our product portfolio to include branded FDA-approved products, we will be uniquely positioned to leverage our commercial platform to introduce unique lifecycle management strategies that could grow sales and address needs of our customers that we are unable to meet with our other compounded product offerings.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of closing the acquisition of the four products, we agreed to a transition period with the seller, which lasted six months following the closing of the transaction. During the transition period, the seller continued to sell the products and transferred the net profit from those sales to us. Following the transition period which ended in June 2022, we made IOPIDINE 1% and MAXITROL commercially available, and expect to re-launch MOXEZA at a later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IHEEZO</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we acquired the exclusive U.S. and Canadian marketing and supply rights to IHEEZO (chloroprocaine hydrochloride ophthalmic gel) 3% from Sintetica S.A. (“Sintetica”). The FDA approved IHEEZO for ocular surface anesthesia in September 2022. IHEEZO is protected by an Orange Book-listed patent that is valid until 2038. We expect to commercially launch IHEEZO in the U.S. market during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our commercial focus of IHEEZO to be on ophthalmic procedures that traditionally require the eye to be anesthetized, including intravitreal injections and lens replacement procedures, which in aggregate we estimate to be over 11 million instances annually in the U.S. (see also subheading “</w:t>
      </w:r>
      <w:r>
        <w:rPr>
          <w:rFonts w:ascii="Times New Roman" w:cs="Times New Roman" w:eastAsia="Times New Roman" w:hAnsi="Times New Roman"/>
          <w:sz w:val="18"/>
          <w:szCs w:val="18"/>
          <w:i w:val="1"/>
          <w:iCs w:val="1"/>
          <w:color w:val="auto"/>
        </w:rPr>
        <w:t>Ophthalmology Market”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IHEEZO is protected by one issued, Orange Book listed patent and another patent-pending. The issued patent includes composition of matter and method of use claims and could provide protection for IHEEZO into 2037.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MAQ-100</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2021, we acquired exclusive marketing rights to MAQ-100 in the U.S. and Canada from Wakamoto Pharmaceutical Co., Ltd. (“Wakamoto”). MAQ-100 is a preservative-free triamcinolone acetonide ophthalmic injection drug candidate. MAQ-100 is marketed and sold by Wakamoto in Japan as MaQaid®. Following Japan’s Ministry of Health Labor and Welfare (“MHLW”) approval, MaQaid was launched in Japan in 2010, indicated as an intravitreal injection for visualization for vitrectomy. Since its initial MHLW approval, the indication for MaQaid was expanded to include</w:t>
      </w:r>
    </w:p>
    <w:p>
      <w:pPr>
        <w:spacing w:after="0" w:line="3" w:lineRule="exact"/>
        <w:rPr>
          <w:sz w:val="20"/>
          <w:szCs w:val="20"/>
          <w:color w:val="auto"/>
        </w:rPr>
      </w:pPr>
    </w:p>
    <w:p>
      <w:pPr>
        <w:ind w:firstLine="8"/>
        <w:spacing w:after="0" w:line="260" w:lineRule="auto"/>
        <w:tabs>
          <w:tab w:leader="none" w:pos="2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treatments for alleviation of diabetic macular edema, (b) macular edema associated with retinal vein occlusion (or RVO), and (c) non-infectious uveitis. We are currently working with Wakamoto to assess a clinical pathway for MaQaid.</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currently evaluating several programs to internally develop product candidates based on technology and know-how we own. We also expect to continue to acquire and/or develop additional FDA-approved/approvable ophthalmic products and product candidates that will allow us to leverage our commercial infrastructure to promote, sell, and ultimately bring these products to market.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Ophthalmology Market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any ocular procedure, a surgeon may require drugs for sedation, dilation, anesthesia, inflammation and infection prevention, and ocular surface preservation. The cataract surgery market continues to experience significant growth. According to </w:t>
      </w:r>
      <w:r>
        <w:rPr>
          <w:rFonts w:ascii="Times New Roman" w:cs="Times New Roman" w:eastAsia="Times New Roman" w:hAnsi="Times New Roman"/>
          <w:sz w:val="18"/>
          <w:szCs w:val="18"/>
          <w:i w:val="1"/>
          <w:iCs w:val="1"/>
          <w:color w:val="auto"/>
        </w:rPr>
        <w:t>Market Scope</w:t>
      </w:r>
      <w:r>
        <w:rPr>
          <w:rFonts w:ascii="Times New Roman" w:cs="Times New Roman" w:eastAsia="Times New Roman" w:hAnsi="Times New Roman"/>
          <w:sz w:val="18"/>
          <w:szCs w:val="18"/>
          <w:color w:val="auto"/>
        </w:rPr>
        <w:t xml:space="preserve">, approximately 4.8 million lens procedures were performed in the U.S. in 2021, 97% of those procedures for cataracts, with the number expected to grow to 5.5 million lens procedures in 2026. Nearly 96% of the refractive surgery procedures performed are LASIK (laser in situ keratomileusis) surgeries, an outpatient surgical procedure used to treat nearsightedness, farsightedness, and astigmatism. According to an article published in 2021 in </w:t>
      </w:r>
      <w:r>
        <w:rPr>
          <w:rFonts w:ascii="Times New Roman" w:cs="Times New Roman" w:eastAsia="Times New Roman" w:hAnsi="Times New Roman"/>
          <w:sz w:val="18"/>
          <w:szCs w:val="18"/>
          <w:i w:val="1"/>
          <w:iCs w:val="1"/>
          <w:color w:val="auto"/>
        </w:rPr>
        <w:t>Clinical Ophthalmology</w:t>
      </w:r>
      <w:r>
        <w:rPr>
          <w:rFonts w:ascii="Times New Roman" w:cs="Times New Roman" w:eastAsia="Times New Roman" w:hAnsi="Times New Roman"/>
          <w:sz w:val="18"/>
          <w:szCs w:val="18"/>
          <w:color w:val="auto"/>
        </w:rPr>
        <w:t>, an estimated 800,000 eyes have been treated with laser correction surgery (such as LASIK) each year for the last 10 years.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Intravitreal injections are one of the most common procedures performed by ophthalmologists in the United States. According to a 2023 article published in </w:t>
      </w:r>
      <w:r>
        <w:rPr>
          <w:rFonts w:ascii="Times New Roman" w:cs="Times New Roman" w:eastAsia="Times New Roman" w:hAnsi="Times New Roman"/>
          <w:sz w:val="18"/>
          <w:szCs w:val="18"/>
          <w:i w:val="1"/>
          <w:iCs w:val="1"/>
          <w:color w:val="auto"/>
        </w:rPr>
        <w:t>Healio</w:t>
      </w:r>
      <w:r>
        <w:rPr>
          <w:rFonts w:ascii="Times New Roman" w:cs="Times New Roman" w:eastAsia="Times New Roman" w:hAnsi="Times New Roman"/>
          <w:sz w:val="18"/>
          <w:szCs w:val="18"/>
          <w:color w:val="auto"/>
        </w:rPr>
        <w:t>, approximately 8 million intravitreal injections are expected to be performed this year. These injections are utilized to administer critical medications into the eye that treat diseases including but not limited to: proliferative diabetic retinopathy, diabetic macular edema, wet age-related macular degeneration, neovascular glaucoma, retinal vein occlusions, intraocular tumors, and endophthalmitis. In addition, products and product candidates are being developed and used to treat symptoms associated with an eye disease known as geographic atrophy. Most of the medicines in these products and product candidates are administered via intravitreal injection. Therefore, we believe as these products and product candidates gain commercial adoption, the number of annual intravitreal injections should increase further and at an increased rate as compared to recent years.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Vitrectomy is a surgical procedure undertaken by a specialist where the vitreous humor gel that fills the eye cavity is removed to provide better access to the retina. This allows for a variety of repairs, including the removal of scar tissue, laser repair of retinal detachments and treatment of macular holes. According to an October 2022 article on the Cleveland Clinic website, U.S. surgeons perform about 225,000 vitrectomies each year. The number is likely to continue to grow as eye care providers find more uses for vitrectomy.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Chronic non-infectious uveitis affecting the posterior segment of the eye is an inflammatory disease that afflicts people of all ages, producing swelling and destroying eye tissues, which can lead to severe vision loss and blindness. We estimate this disease affects approximately 100,000 people each year in the U.S. and causes approximately 30,000 new cases of blindness every year. The standard of care treatment for this disease typically involves the use of short-acting corticosteroids to reduce uveitic flares (such as TRIESENCE) followed by additional treatments of sustained release, lower dose steroids to minimize the risk of further flares.</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According to the Glaucoma Research Foundation, there are over 3 million Americans experiencing glaucoma, and that only half of this population are aware of their condition. Open-angle glaucoma (the most common type of glaucoma) is a condition of increased intraocular pressure that causes gradual loss of sight. Glaucoma is incurable, and if not managed, can lead to blindness. Generally, the first line of treatment consists of a prostaglandin analog (PGA) eye drop regimen. As the disease progresses, non-PGA products are generally added as a second-line treatment. Topical agents, other than PGAs, include beta blockers, alpha agonists, miotics, and steroids. According to a 2013 article in </w:t>
      </w:r>
      <w:r>
        <w:rPr>
          <w:rFonts w:ascii="Times New Roman" w:cs="Times New Roman" w:eastAsia="Times New Roman" w:hAnsi="Times New Roman"/>
          <w:sz w:val="18"/>
          <w:szCs w:val="18"/>
          <w:i w:val="1"/>
          <w:iCs w:val="1"/>
          <w:color w:val="auto"/>
        </w:rPr>
        <w:t>Glaucoma Today</w:t>
      </w:r>
      <w:r>
        <w:rPr>
          <w:rFonts w:ascii="Times New Roman" w:cs="Times New Roman" w:eastAsia="Times New Roman" w:hAnsi="Times New Roman"/>
          <w:sz w:val="18"/>
          <w:szCs w:val="18"/>
          <w:color w:val="auto"/>
        </w:rPr>
        <w:t>, up to 50% of glaucoma patients require more than one drug following a few months of initial treatment and there is a direct correlation between the number of glaucoma bottles and decreased adherence; however, the FDA has yet to approve a PGA combination product despite that combination products including a PGA (Xalacom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DuoTrav</w:t>
      </w:r>
      <w:r>
        <w:rPr>
          <w:rFonts w:ascii="Times New Roman" w:cs="Times New Roman" w:eastAsia="Times New Roman" w:hAnsi="Times New Roman"/>
          <w:sz w:val="29"/>
          <w:szCs w:val="29"/>
          <w:color w:val="auto"/>
          <w:vertAlign w:val="superscript"/>
        </w:rPr>
        <w:t>®</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and Ganfort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are available outside of the U.S. According to a 2023 </w:t>
      </w:r>
      <w:r>
        <w:rPr>
          <w:rFonts w:ascii="Times New Roman" w:cs="Times New Roman" w:eastAsia="Times New Roman" w:hAnsi="Times New Roman"/>
          <w:sz w:val="18"/>
          <w:szCs w:val="18"/>
          <w:i w:val="1"/>
          <w:iCs w:val="1"/>
          <w:color w:val="auto"/>
        </w:rPr>
        <w:t>Market Scope</w:t>
      </w:r>
      <w:r>
        <w:rPr>
          <w:rFonts w:ascii="Times New Roman" w:cs="Times New Roman" w:eastAsia="Times New Roman" w:hAnsi="Times New Roman"/>
          <w:sz w:val="18"/>
          <w:szCs w:val="18"/>
          <w:color w:val="auto"/>
        </w:rPr>
        <w:t xml:space="preserve"> report, the global glaucoma pharmaceuticals market was expected to be $4.3 billion in 2022.</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Dry eye occurs when the eye does not produce enough tears, or when the tears are not of the correct consistency and evaporate too quickly. Inflammation of the surface of the eye may also occur. We believe that dry eye disease (“DED”) affects over 30 million people in the U.S., and a major epidemiological study, the Beaver Dam Offspring Study, published in 2014 in the </w:t>
      </w:r>
      <w:r>
        <w:rPr>
          <w:rFonts w:ascii="Times New Roman" w:cs="Times New Roman" w:eastAsia="Times New Roman" w:hAnsi="Times New Roman"/>
          <w:sz w:val="18"/>
          <w:szCs w:val="18"/>
          <w:i w:val="1"/>
          <w:iCs w:val="1"/>
          <w:color w:val="auto"/>
        </w:rPr>
        <w:t>American Journal of Ophthalmology</w:t>
      </w:r>
      <w:r>
        <w:rPr>
          <w:rFonts w:ascii="Times New Roman" w:cs="Times New Roman" w:eastAsia="Times New Roman" w:hAnsi="Times New Roman"/>
          <w:sz w:val="18"/>
          <w:szCs w:val="18"/>
          <w:color w:val="auto"/>
        </w:rPr>
        <w:t xml:space="preserve">, reported that in a cohort of over 3,000 patients, DED was self-reported by 14.5% of the patients. According to a 2022 </w:t>
      </w:r>
      <w:r>
        <w:rPr>
          <w:rFonts w:ascii="Times New Roman" w:cs="Times New Roman" w:eastAsia="Times New Roman" w:hAnsi="Times New Roman"/>
          <w:sz w:val="18"/>
          <w:szCs w:val="18"/>
          <w:i w:val="1"/>
          <w:iCs w:val="1"/>
          <w:color w:val="auto"/>
        </w:rPr>
        <w:t>Market Scope</w:t>
      </w:r>
      <w:r>
        <w:rPr>
          <w:rFonts w:ascii="Times New Roman" w:cs="Times New Roman" w:eastAsia="Times New Roman" w:hAnsi="Times New Roman"/>
          <w:sz w:val="18"/>
          <w:szCs w:val="18"/>
          <w:color w:val="auto"/>
        </w:rPr>
        <w:t xml:space="preserve"> report, the global dry eye product market was expected to grow from $5.7 billion in 2022 to $7.0 billion in 2027. Dry eye is among the most common conditions seen by eyecare professionals.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Pharmaceutical Compounding Businesses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Compounding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majority of our sales revenue in 2021 and 2022 was derived from making, selling and dispensing our compounded prescription drug formulations as cash payment transactions between us and our end-user customer. As such, the majority of our commercial transactions did not involve distributors, wholesalers, insurance companies, pharmacy benefit managers or other middle parties. In regard to our compounded formulations, by not being reliant on insurance company formulary inclusion and pharmacy benefit manager payment clawbacks, we are able to simplify the prescription transaction process. We believe the outcome of our compounding business model is a simple transaction, involving a patient-in-need, a physician’s diagnosis, a fair price and great service for a quality pharmaceutical product.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Compounding Facilities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the patient and is only permitted to distribute the drug interstate if the pharmacy is licensed to do so in the states where it is compounded and where the medication is received.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cGMPs or other FDA guidance documents and being subject to regular FDA inspection.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two compounding facilities located in Ledgewood, New Jersey. Our New Jersey operations are comprised of two separate entities and facilities, one of which is registered with the FDA as an outsourcing facility (“NJOF”) under Section 503B of the FDCA. The other New Jersey facility (“RxNJ”) is a licensed pharmacy operating under Section 503A of the FDCA. All of our compounded products that we sell, produce and dispense are made in the United States.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both of our facilities to further their capacity and efficiencies. Also, we may seek to access greater pharmacy and production related redundancy and markets through acquisitions, partnerships or other strategic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Carved-Out Subsidiaries (De-Consolidated Businesses)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ownership interests in Surface, Melt, and Eton Pharmaceuticals, Inc. (“Eton”) and hold royalty interests in some of Surface’s and Melt’s drug candidates. These companies are pursuing market approval for their drug candidates under the FDCA, including in some instances under the abbreviated pathway described in Section 505(b)(2), which permits the submission of an NDA where at least some of the information required for approval comes from studies not conducted by or for the applicant and for which the applicant has not obtained a right of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Equity Interests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 Pharmaceuticals, Inc.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is seeking regulatory approval for its proprietary technologies, where possible. In December 2018, we entered into an Asset Purchase Agreement with Melt (the “Melt Asset Purchase Agreement”), pursuant to which Harrow assigned to Melt the underlying intellectual property for Melt’s current pipeline, including its lead drug candidate MELT-300. The core intellectual property Melt owns is a patented series of combination non-opioid sedation drug formulations that we estimate to have multitudinous applications.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MELT-300 is a novel, sublingually delivered, non-IV, opioid-free drug candidate being developed for procedural sedation. In February 2021, Melt announced data from, and the successful completion of, its Phase 1 study. In December 2022, Melt announced topline data from its Phase 2 study for MELT-300:</w:t>
      </w:r>
    </w:p>
    <w:p>
      <w:pPr>
        <w:spacing w:after="0" w:line="176" w:lineRule="exact"/>
        <w:rPr>
          <w:sz w:val="20"/>
          <w:szCs w:val="20"/>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study of more than 300 patients, at 9 study sites, all undergoing cataract surgery, MELT-300 achieved its primary procedural sedation endpoint, demonstrating statistical superiority for procedural sedation compared to all comparator treatment arms, including midazolam 3mg (P=0.0129) and ketamine 50mg (P=0.0096).</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validated Ramsey Sedation Scale (RSS), MELT-300 treatment arm patients were 50% less likely to require rescue sedation compared to midazolam 3mg (P=0.0198).</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RSS, MELT-300 treatment arm patients were 66% less likely to require rescue sedation pre-operatively compared to the midazolam 3mg treatment arm.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MELT-300’s safety profile was generally comparable to the placebo arm.</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2019, Melt closed an offering of its Series A Preferred Stock. At that time, we gave up our controlling interest and deconsolidated Melt from our consolidated financial statements. We own 3,500,000 shares of Melt common stock, which was approximately 46% of Melt’s equity and voting interests issued and outstanding as of December 31, 2022. In September 2021, we provided Melt with a senior secured loan with a principal amount of $13,500,000, which was used to fund the Phase 2 program of MELT-300.</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Surface Ophthalmics, Inc.</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Surface is a clinical-stage pharmaceutical company focused on development and commercialization of innovative therapeutics for ocular surface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diseases.</w:t>
      </w:r>
    </w:p>
    <w:p>
      <w:pPr>
        <w:spacing w:after="0" w:line="207" w:lineRule="exact"/>
        <w:rPr>
          <w:sz w:val="20"/>
          <w:szCs w:val="20"/>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SURF-100 for Chronic Dry Eye Disease:</w:t>
      </w:r>
      <w:r>
        <w:rPr>
          <w:rFonts w:ascii="Times New Roman" w:cs="Times New Roman" w:eastAsia="Times New Roman" w:hAnsi="Times New Roman"/>
          <w:sz w:val="18"/>
          <w:szCs w:val="18"/>
          <w:color w:val="auto"/>
        </w:rPr>
        <w:t xml:space="preserve"> Surface completed its 350-patient Phase 2 clinical trial, comparing five active arms of SURF-100 study drugs with the current market-leading prescription chronic dry eye treatments. According to Surface, the SURF-100 Phase 2 clinical trial achieved superiority for both signs and symptoms of chronic dry eye disease compared to market leading incumbents, as well as generating positive data on onset and duration of action.</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SURF-200 for Acute Dry Eye</w:t>
      </w:r>
      <w:r>
        <w:rPr>
          <w:rFonts w:ascii="Times New Roman" w:cs="Times New Roman" w:eastAsia="Times New Roman" w:hAnsi="Times New Roman"/>
          <w:sz w:val="18"/>
          <w:szCs w:val="18"/>
          <w:color w:val="auto"/>
        </w:rPr>
        <w:t>: Surface has completed enrollment of its Phase 2 clinical trial for SURF-200 and expects to announce top-line results in 2023.</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SURF-201 for Pain and Inflammation Following Ocular Surgery</w:t>
      </w:r>
      <w:r>
        <w:rPr>
          <w:rFonts w:ascii="Times New Roman" w:cs="Times New Roman" w:eastAsia="Times New Roman" w:hAnsi="Times New Roman"/>
          <w:sz w:val="18"/>
          <w:szCs w:val="18"/>
          <w:color w:val="auto"/>
        </w:rPr>
        <w:t>: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2018, Surface closed an offering of its Series A Preferred Stock. At that time, we lost our controlling interest and deconsolidated Surface from our consolidated financial statements. During May, June and July of 2021, Surface closed an offering of its preferred stock at a purchase price of $4.50 per share resulting in gross proceeds to Surface of approximately $25,000,000 (the “Surface Series B Offering”). We own 3,500,000 shares of Surface common stock, which was approximately 20% of Surface’s equity and voting interests as of December 31, 2022. Harrow owns mid-single-digit royalty rights on net sales of SURF-100, SURF-200 and SURF-201.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Eton Pharmaceuticals, Inc.</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Eton is an innovative pharmaceutical company focused on developing, acquiring, and commercializing treatments for rare diseases. Eton currently commercializes ALKINDI SPRINKLE® and Carglumic Acid tablets and has additional rare disease products under development, including dehydrated alcohol injection and the ZENEO® hydrocortisone autoinjector. In May 2017, we gave up our controlling interest in Eton. We own 1,982,000 shares of Eton common stock, which represented less than 10% of Eton’s equity and voting interests issued and outstanding as of December 31,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focus of our sales and marketing is in the U.S. We do, however, believe that our proprietary drug formulations, drug candidates and drug products could have commercial appeal in international markets, and in the past we have engaged distributors and entered into out-licensing arrangements for certain of our proprietary formulations in certain non-U.S. markets, including Canada. Our sales and marketing activities consist primarily of efforts to educate doctors, ambulatory surgery centers, healthcare systems, hospitals and other users throughout the U.S. about our branded drug products and compounded formulations. We expect that we may experience growth in the sales of our products in future periods, particularly in light of our current and planned launches of new formulations and commercialization campaigns. However,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acquire and/or develop additional FDA-approved ophthalmic drugs that allow us to leverage our existing commercial infrastructure to promote, sell, and ultimately bring these products to market. As we execute this strategy, we will continue to expand our sales and marketing team, expertise and expenses. This includes the addition of market access expertise and team members, where roles include discussions with payors regarding the costs and benefits of our products for their members, assisting with the addition of our products to the medical policy of payors, and providing the market with assistance regarding reimbursement queries.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past, we entered into various sales and marketing agreements with certain organizations to provide exclusive sales and marketing representation services in select geographies in the U.S., in connection with our pharmaceutical products and compounded formulations. Under the terms of the sales and marketing agreements, we are required to make commission payments, generally equal to a certain percentage of net sales for products above and beyond the initial existing sales amounts. At the end of 2022, we began to end many of these arrangements and we plan to replace these arrangements with and invest in a traditional salaried salesforce over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pharmaceutical and pharmacy industries are highly competitive. We compete against branded drug companies, generic drug companies, outsourcing facilities and compounding pharmacies. We are smaller than some of our competitors, and we may lack the financial and other resources needed to develop, produce, distribute, market and commercialize any of our branded products and proprietary formulations or compete for market share in these sectors. The drug products available through branded and generic drug companies with which our products and formulations compete have been approved for marketing and sale by the FDA and are required to be manufactured in facilities compliant with cGMP standards. Although we prepare some of our compounded formulations in accordance with cGMP standards and our other formulations are produced according to the standards provided by United States Pharmacopoeia (USP) &lt;795&gt; and USP &lt;797&gt; and applicable state and federal law, our compounded formulations are not required to be, and have not been, approved for marketing and sale by the FDA. As a result, some physicians may be unwilling to prescribe, and some patients may be unwilling to use, our compounded formulations. Additionally, under federal and state laws applicable to our current compounding pharmacy operations operating under Section 503A of the FDCA,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Even though we have registered NJOF with the FDA, our compounding business may not be scalable on the scope available to our competitors that produce FDA-approved drugs, which may limit our potential for profitable operations. These facets of our operations may subject our business to limitations our competitors offering only FDA-approved drugs may not face.</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Biotechnology and related pharmaceutical technologies are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the primary factors affecting our performance are our ability to increase revenues of our proprietary compounded formulations and certain non-proprietary products, grow and gain operating efficiencies in our pharmacy operations, potential regulatory-related restrictions,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Medicare, Medicaid and Other Reimbursement Options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in the United States of our marketed products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see also Part I, Item 1A. “Risk Factors” for additional risks related to reimbursement and government programs.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participate in, and have certain price reporting obligations to, the Medicaid Drug Rebate program, state Medicaid supplemental rebate program(s), and other governmental pricing programs. We also have obligations to report the average sales price for certain drugs to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for our drugs under Medicaid and Part B of the Medicare program.</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report average sales price information to the Centers for Medicare &amp; Medicaid Services (“CMS”) on a quarterly basis. The manufacturer-submitted information may be used by CMS to calculate Medicare payment rates. Starting in 2023,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of total allowed charges under Medicare Part B for that drug. Manufacturers that fail to pay refunds could be subject to civil monetary penalties. Further, starting in 2023, the Inflation Reduction Act of 2022 (“IRA”) establishes a Medicare Part B inflation rebate scheme under which, generally speaking, manufacturers will owe rebates if the average sales price of a Part B drug increases faster than the pace of inflation. Failure to timely pay a Part B inflation rebate is subject to a civil monetary penalty.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IRA also creates a drug price negotiation program under which, after being on the market for a certain period of time, the prices for certain high Medicare spending drugs and biological products provided to Medicare patients without generic or biosimilar competition will be capped by reference to, among other things, a specified non-federal average manufacturer price, starting in 2026. Failure to comply with requirements under the drug price negotiation program is subject to an excise tax and a civil monetary penalty. This or any other legislative change could impact the market conditions for our products.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IHEEZO and TRIESENCE are covered under Medicare Part B and we may develop other drug candidates and/or acquire drug products that are also covered under Medicare Part B. In February 2023, we announced that CMS had issued a permanent, product specific J-code for IHEEZO (J2403) which will become effective under the Healthcare Procedure Coding System (HCPCS) on April 1, 2023. TRIESENCE has a permanent product specific J-code (J3301) as well, which physicians can use for reimbursement purposes of that product. New drugs approved by the FDA that are used in surgeries performed in a hospital outpatient departments or ambulatory surgical centers may receive a transitional pass-through reimbursement under Medicare, provided they meet certain criteria, including a “not insignificant” cost criterion. Pass-through status allows for separate payment (i.e., outside the packaged payment rate for the surgical procedure) under Medicare Part B, which consists of Medicare reimbursement for a drug based on a defined formula for calculating the minimum fee that a manufacturer may charge for the drug. Under current regulations of CMS, pass-through status applies for a period of three years; which is measured from the date Medicare makes its first pass-through payment for the product. Following the three-year period, the product would be incorporated into the cataract bundled payment system, which could significantly reduce the pricing for that product. Temporary pass-through reimbursement for IHEEZO was awarded by CMS and will be made effective in the second quarter of 2023. Following the expiration of pass-through status, under current CMS policy, non-opioid pain management surgical drugs when used on Medicare Part B patients in an outpatient setting can qualify for ongoing separate payments. CMS’ current non-opioid separate payment policy, like other CMS policies, can be changed by CMS through its annual rulemaking and comment process. We believe that CMS will continue its separate payment policy for non-opioid pain management surgical drugs, which has been in effect since 2019.</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of 2022, CMS issued its Proposed CY 2023 Payment Rule for Hospital Outpatient Services and ASCs. Based on the summary in the proposed rule, DEXYCU, a product we previously promoted through a commercial alliance agreement with EyePoint Pharmaceuticals, Inc. no longer qualified as a separately payable product in an ASC or outpatient setting and instead is now bundled into the general cataract procedure code effective January 1, 2023.</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low-income and disabled beneficiaries. Medicaid rebates are based on pricing data reported by us on a monthly and quarterly basis to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the average manufacturer price increases at a faster rate than inflation (measured by reference to the Consumer Price Index – Urban). Currently, the rebate is capped at 100% of the average manufacturer price, but effective January 1, 2024, this cap on the rebate will be removed, and our rebate liability could increase accordingly.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become aware that our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The federal Patient Protection and Affordable Care Act (the “PPACA”) made significant changes to the Medicaid Drug Rebate program, and CMS issued a final regulation, which became effective on April 1, 2016, to implement the changes to the Medicaid Drug Rebate program under the PPACA. Effective in 2022, CMS modified Medicaid Drug Rebate program regulations to, among other things, permit reporting multiple best price figures with regard to value-based purchasing arrangements and provide definitions for “line extension,” “new formulation,” and related terms with the practical effect of expanding the scope of drugs considered to be line extensions.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PPACA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this regulation. Any charge by HRSA that we have violated the requirements of the regulation could result in civil monetary penalties. Moreover, under a final regulation effective January 13, 2021, HRSA established a new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On November 30, 2022, HRSA issued a notice of proposed rulemaking that proposes several changes to the ADR process. HRSA also implemented a price reporting system under which we are required to report our 340B ceiling prices to HRSA on a quarterly basis, which then publishes those prices to 340B covered entities. In addition, legislation could be passed that would further expand the 340B program to additional covered entities or would require participating manufacturers to agree to provide 340B discounted pricing on drugs used in an inpatient setting.</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knowingly submitting false information to the government.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manufacturers, including us, are required to provide to CMS a 70% discount on brand name prescription drugs utilized by Medicare Part D beneficiaries when those beneficiaries are in the coverage gap phase of the Part D benefit design. The IRA includes a sunset provision with respect to the coverage gap discount program starting in 2025 and replaces it with a new manufacturer discount program. In addition, as of October 2022, the IRA established a Medicare Part D inflation rebate scheme under which, manufacturers will generally owe additional rebates if the average manufacturer price of a Part D drug increases faster than the pace of inflation. Failure to timely pay a Part D inflation rebate is subject to a civil monetary penalty.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Private payor healthcare and insurance providers, health maintenance organizations,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copayment/coinsurance. These payors may not cover or adequately reimburse for use of our products or may do so at levels that disadvantage them relative to competitive products.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proprietary ophthalmic compounded formulations are primarily available on a cash-pay basis and generally are not subject to Medicare, Medicaid, or other payor-related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and ability to compete depends upon our ability to protect our intellectual property. We conduct a fulsome analysis of the intellectual property landscape prior to acquiring rights to formulations and filing patent applications. In addition, as of March 15, 2023, we owned and/or licensed more than 50 total issued and pending patent applications, which include U.S.-issued patents, international-issued patents, and U.S. and foreign/international patent pending applications. We expect to file additional patent applications in the U.S. and pursue patent protection for certain of our formulations in other important international jurisdictions in the future.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March 15, 2023, we had, on a worldwide basis, more than 100 issued trademarks, pending trademark and copyright applications, or registered copyright and/or trademarks including, but not limited to IHEEZO™, Imprimis®, ImprimisRx®, Harrow Health®, Dropless®, LessDrops®, Dropless Cataract Surgery®, Dropless Cataract Therapy®, Dropless Therapy®, MKO Melt®, and Simple Drops®. We may choose to pursue trademark protection in other jurisdictions for any one or more of these or other marks in the future. 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subject to federal, state and local laws, regulations, and administrative practices, including, among others: federal, state and local licensure and registration requirements concerning the operation of pharmacies and the practice of pharmacy; the Health Insurance Portability and Accountability Act of 1996 (“HIPAA”); the Health Care Reform Law; statutes and regulations of the FDA, the U.S. Federal Trade Commission (the “FTC”), the U.S. Drug Enforcement Administration and the U.S. Consumer Product Safety Commission, as well as regulations promulgated by comparable state agencies concerning the sale, advertisement and promotion of the products we sell. The regulatory and quality compliance environment for compounded drugs has become significantly more rigorous, complex and strict since the passage of The Drug Quality and Security Act of 2013. The complexity of the current state and federal regulatory environment, as well as the expected continued evolution of state and federal laws governing pharmaceutical compounding, have and will continue to present potentially significant challenges to our business model and the fulfillment of our mission as a company. Below are descriptions of some of the various federal and state laws and regulations which may govern or impact our current and planned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New Drug Application Process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in other sections of this Annual Report, we are pursuing, and may continue to pursue, alone or with project partners, FDA approval to market and sell one or more of our product candidates through the FDA’s NDA process. 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and approved. Also, the FDA or other regulatory authorities require post-marketing reporting to monitor the adverse effects of a drug. Results of post-marketing programs may limit or expand the further marketing of a product.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fines and potential civil and criminal penalties.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505(b)(2) New Drug Applications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an alternate path for FDA approval of new indications or new formulations of previously-approved products, a company may file a Section 505(b)(2) NDA instead of a “stand-alone” or “full” NDA. Section 505(b)(2) of the FDCA was enacted as part of the Drug Price Competition and Patent Term Restoration Act of 1984, otherwise known as the Hatch-Waxman Amendments. Section 505(b)(2) permits the submission of an NDA where at least some of the information required for approval comes from studies not conducted by or for the applicant and for which the applicant has not obtained a right of reference. Some examples of products that may be allowed to follow a Section 505(b)(2) path to approval are drugs that have a new dosage form, strength, route of administration, formulation or indication. The AMP-100 NDA that was submitted and we expect the MAQ-100 NDA will be submitted as Section 505(b)(2) NDAs.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Hatch-Waxman Amendments permit the applicant to rely upon certain published nonclinical or clinical studies conducted for an approved product or the FDA’s conclusions from prior review of such studies. The FDA may require companies to perform additional studies or measurements to support any changes from the approved product. The FDA may then approve the new product for all or some of the labeled indications for which the reference product has been approved, as well as for any new indication supported by the Section 505(b)(2) application.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Approved Drug Products with Therapeutic Equivalence Evaluations, or Orange Book. Specifically, the applicant must certify that: (i) the required patent information has not been filed;</w:t>
      </w:r>
    </w:p>
    <w:p>
      <w:pPr>
        <w:spacing w:after="0" w:line="1"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(iii) the listed patent has not expired, but will expire on a particular date and approval is sought after patent expiration; or</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0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or will not be infringed by the new product. The Section 505(b)(2) application also will not be approved until any non-patent exclusivity, such as exclusivity for obtaining approval of a new chemical entity, listed in the Orange Book for the reference product has expired. Thus, the Section 505(b)(2) applicant may invest a significant amount of time and expense in the development of its products only to be subject to significant delay and patent litigation before its products may be commercialized.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Pharmacy Regulation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pharmacy operations are regulated by both individual states and the federal government. Every state has laws and regulations addressing pharmacy operations, including regulations relating specifically to compounding pharmacy operations. These regulations generally include licensing requirements for pharmacists, pharmacy technicians and pharmacies, as well as regulations related to compounding processes, safety protocols, purity, sterility, storage, controlled substances, recordkeeping and regular inspections, among other things. State rules and regulations are updated periodically, generally under the jurisdiction of individual state boards of pharmacy. Failure to comply with the state pharmacy regulations of a particular state could result in a pharmacy being prohibited from operating in that state, financial penalties and/or becoming subject to additional oversight from that state’s board of pharmacy. In addition, many states are considering imposing, or have already begun to impose, more stringent requirements on compounding pharmacies. If our pharmacy operations become subject to additional licensure requirements, are unable to maintain their required licenses or if states place burdensome restrictions or limitations on pharmacies, our ability to operate in some states could be limited.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Federal law limits compounding pharmacies from engaging in the practice of anticipatory compounding, which involves preparing compounded medications before the actual receipt of a prescription or practitioner’s order, unless the compounding pharmacy has a history of filling certain prescriptions for a customer. In such cases, it is acceptable to engage in anticipatory compounding or the preparation of larger batches so that medications will be ready when they are needed. Anticipatory compounding also reduces the cost of compounded medications, as economies of scale can be realized by producing larger batches. Anticipatory compounding also leads to less wasted chemicals, dilutions, fillers, and other associated products that are produced, and greater accuracy and uniformity in finished medications, as larger batches decrease the variation caused by preparing multiple, smaller batches. Based on our history of meeting the needs of our customers, we are able to anticipatorily compound batches of our formulations for our customers, per the applicable regulations.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Many of the states into which we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Further, under federal law, Section 503A of the FDCA previously had language that implied a limitation of the amount of compounded products that a pharmacy can distribute interstate. The interpretation and enforcement of this provision is dependent on the FDA entering into a standard Memorandum of Understanding (“MOU”) with each state setting forth limits on shipments of interstate compounding. In January of 2019, the FDA released the “2018 Compounding Policy Priorities Plan” (the “2018 Compounding Plan”) which provided an overview of the key priorities the FDA planned to focus on in 2018 in connection with compounding regulations. One of the priorities outlined in the 2018 Compounding Plan addressed the FDA’s plan to release a revised MOU (the “Revised MOU”). Pursuant to the statements in the 2018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On October 27, 2020, the FDA announced availability of a final MOU, Addressing Certain Distributions of Compounded Human Drug Products Between the State Board of Pharmacy or Other Appropriate State Agency and the Food and Drug Administration (the “Final MOU”). The Final MOU describes the responsibilities of a state board of pharmacy, or other appropriate state agency that chooses to sign the Final MOU, in investigating and responding to complaints related to drug products compounded in such state and distributed outside such state and in addressing the interstate distribution of inordinate amounts of compounded human drug products. Additionally, as part of the Final MOU, the FDA refined the definition of “inordinate amount,” a threshold for certain information identification and sharing which does not place a limit on the distribution of compounded human drug products interstate by a pharmacy located in a state that has entered into the Final MOU. Section 503A of the FDCA sets a 5% limit on compounded drugs distributed outside the state by a pharmacist, pharmacy or physician located in a state that has not entered into the Final MOU. In February 2022, the FDA said it would suspend implementation of the Final MOU and engage in a formal rulemaking process. During the rulemaking process, the agency will not enter into new agreements with states based on the Final MOU. The FDA does not expect states that have signed the Final MOU to carry out the activities described in the Final MOU. Thus, there is no reporting requirement for any pharmacy concerning interstate shipments pursuant to Section 503A and will not be until the Final MOU is finalized through the rulemaking process, which will include the engagement of a notice-and-comment and rulemaking period to implement certain provisions of Section 503A. The agency indicated that the process may take “several years” to complete. In the same announcement, the FDA stated it does not intend to enforce the statutory 5% limit on the distribution of compounded drugs out of the state in which they are compounded by compounders located in states that do not sign the Final MOU for the duration of the rulemaking process.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provisions of the FDCA govern the preparation, handling, storage, marketing and distribution of pharmaceutical products. The Drug Quality and Security Act of 2013 (the “DQSA”) clarifies and strengthens the federal regulatory framework governing compounding pharmacies. Title 1 of the DQSA, the Compounding Quality Act, modifies provisions of the Section 503A of the FDCA that were found to be unconstitutional by the U.S. Supreme Court in 2002. In general, Section 503A provides that pharmacies are exempt from the provisions of the FDCA requiring compliance with cGMP, labeling with adequate directions for use and FDA approval prior to marketing if the pharmacy complies with certain other requirements. Among other things, to comply with Section 503A, a compounded drug must be compounded by a licensed pharmacist for an identified individual patient on the basis of a valid prescription. Pharmacies may only compound in limited quantities before receipt of a prescription for an individual patient and are subject to limitations on anticipatory compounding for distribution, which generally permit anticipatory compounding only based on historical prescription volumes.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DQSA also contained new Section 503B of the FDCA, which established an outsourcing facility as a new form of entity that is permitted to compound larger quantities of drug formulations without a prescription, thus permitting the practice of anticipatory compounding, and distributing them out of state without limitation, if the drug formulations appear on the FDA’s drug shortage list or the bulk drug substances contained in the formulations appear on a “clinical need” list to be established by the FDA. In January 2017, the FDA issued </w:t>
      </w:r>
      <w:r>
        <w:rPr>
          <w:rFonts w:ascii="Times New Roman" w:cs="Times New Roman" w:eastAsia="Times New Roman" w:hAnsi="Times New Roman"/>
          <w:sz w:val="18"/>
          <w:szCs w:val="18"/>
          <w:i w:val="1"/>
          <w:iCs w:val="1"/>
          <w:color w:val="auto"/>
        </w:rPr>
        <w:t>Interim Policy on Compounding Using Bulk Drug Substances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Under Section 503B of the FFDCA </w:t>
      </w:r>
      <w:r>
        <w:rPr>
          <w:rFonts w:ascii="Times New Roman" w:cs="Times New Roman" w:eastAsia="Times New Roman" w:hAnsi="Times New Roman"/>
          <w:sz w:val="18"/>
          <w:szCs w:val="18"/>
          <w:color w:val="auto"/>
        </w:rPr>
        <w:t>(“Interim Policy”) which informs stakeholders about how the FDA intends to exercise its enforcement discretion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compounding with those substances on a “Category 1 list” while the agency compiles and evaluates its clinical needs list, and in March 2019 the FDA issued </w:t>
      </w:r>
      <w:r>
        <w:rPr>
          <w:rFonts w:ascii="Times New Roman" w:cs="Times New Roman" w:eastAsia="Times New Roman" w:hAnsi="Times New Roman"/>
          <w:sz w:val="18"/>
          <w:szCs w:val="18"/>
          <w:i w:val="1"/>
          <w:iCs w:val="1"/>
          <w:color w:val="auto"/>
        </w:rPr>
        <w:t>Evaluation of Bulk Substances Nominated for Use in Compounding Under Section 503B of the Federal Food, Drug and Cosmetic Act</w:t>
      </w:r>
      <w:r>
        <w:rPr>
          <w:rFonts w:ascii="Times New Roman" w:cs="Times New Roman" w:eastAsia="Times New Roman" w:hAnsi="Times New Roman"/>
          <w:sz w:val="18"/>
          <w:szCs w:val="18"/>
          <w:color w:val="auto"/>
        </w:rPr>
        <w:t xml:space="preserve"> which provides further guidance as to the FDA’s policy for evaluating bulk drug substances nominated for use in compounding by outsourcing facilities. Entities voluntarily registering as outsourcing facilities are subject to cGMP requirements and regular FDA inspection, among other requirements. As described above, our current pharmacy operations in NJ are governed by Section 503A of the FDCA, and our New Jersey based outsourcing facility is governed by Section 503B of the FDCA.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30, 2020, the FDA issued a notice for comments related to certain bulk drug substances to be removed from the 503B Bulk’s List (or Category 1 List). Included in this notice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as replacements of the bulk powders contained in our sterile products. In addition, nothing in the FDA’s notice affects the dispensing of bulk powder-containing products from our 503A pharmacy. Nonetheless, if all or some of the bulk drug substances we use are removed from the 503B Bulk’s List, this may result in a disruption in our operations, revenues and cash flows. In addition, during September 2020 through January 2021, NJOF was inspected by the FDA (the “2020 Inspection”) and certain observations were made by the FDA in a Form 483. Five observations made during the 2020 Inspection were considered repeat observations from a 2017 FDA inspection of NJOF. In addition, during the 2020 Inspection, the FDA noted that we were compounding drugs for which there is no change that produces for an individual patient a clinical difference, as determined by a prescribing practitioner, between a compounded drug and the comparable approved drug. We have responded to the FDA regarding all of their observations from the 2020 Inspection, including providing documentation from prescribing clinicians that indicate a clinical difference between our compounded drugs and the comparable approved drugs, while also committing to amend our order process to collect “medical necessity/clinical difference” information for each order of our compounded drugs on a go-forward basis.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two recent California federal court (the “Court”) decisions, </w:t>
      </w:r>
      <w:r>
        <w:rPr>
          <w:rFonts w:ascii="Times New Roman" w:cs="Times New Roman" w:eastAsia="Times New Roman" w:hAnsi="Times New Roman"/>
          <w:sz w:val="18"/>
          <w:szCs w:val="18"/>
          <w:i w:val="1"/>
          <w:iCs w:val="1"/>
          <w:color w:val="auto"/>
        </w:rPr>
        <w:t>Allergan USA, Inc. v. Prescribers Choice, Inc.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Allergan USA, Inc. v. Imprimis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Pharmaceuticals, Inc., </w:t>
      </w:r>
      <w:r>
        <w:rPr>
          <w:rFonts w:ascii="Times New Roman" w:cs="Times New Roman" w:eastAsia="Times New Roman" w:hAnsi="Times New Roman"/>
          <w:sz w:val="18"/>
          <w:szCs w:val="18"/>
          <w:color w:val="auto"/>
        </w:rPr>
        <w:t>the Court made rulings which impact 503B and 503A facilities operating in and shipping to the state of California. In the</w:t>
      </w:r>
      <w:r>
        <w:rPr>
          <w:rFonts w:ascii="Times New Roman" w:cs="Times New Roman" w:eastAsia="Times New Roman" w:hAnsi="Times New Roman"/>
          <w:sz w:val="18"/>
          <w:szCs w:val="18"/>
          <w:i w:val="1"/>
          <w:iCs w:val="1"/>
          <w:color w:val="auto"/>
        </w:rPr>
        <w:t xml:space="preserve"> Prescribers Choice </w:t>
      </w:r>
      <w:r>
        <w:rPr>
          <w:rFonts w:ascii="Times New Roman" w:cs="Times New Roman" w:eastAsia="Times New Roman" w:hAnsi="Times New Roman"/>
          <w:sz w:val="18"/>
          <w:szCs w:val="18"/>
          <w:color w:val="auto"/>
        </w:rPr>
        <w:t>case, the Court determined that while the FDA’s interim policies do not override the statutory obligations of the DQSA, the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supported the FDA’s authority and flexibility as it determines what clinical needs exist and finalizes the bulk drug substances list. The Court would not hold a party liable under California’s Sherman Food, Drug and Cosmetic Law (“Sherman Law”) for selling, delivering, or giving away any new drug that has not been approved by the California Department of Health Services or the FDA if that party has complied with the FDA’s Interim Policy. In other words, it is not unlawful in California to utilize bulk drugs appearing on the Category 1 list while the FDA finalizes its clinical needs list. In the </w:t>
      </w:r>
      <w:r>
        <w:rPr>
          <w:rFonts w:ascii="Times New Roman" w:cs="Times New Roman" w:eastAsia="Times New Roman" w:hAnsi="Times New Roman"/>
          <w:sz w:val="18"/>
          <w:szCs w:val="18"/>
          <w:i w:val="1"/>
          <w:iCs w:val="1"/>
          <w:color w:val="auto"/>
        </w:rPr>
        <w:t>Imprimis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Pharmaceuticals </w:t>
      </w:r>
      <w:r>
        <w:rPr>
          <w:rFonts w:ascii="Times New Roman" w:cs="Times New Roman" w:eastAsia="Times New Roman" w:hAnsi="Times New Roman"/>
          <w:sz w:val="18"/>
          <w:szCs w:val="18"/>
          <w:color w:val="auto"/>
        </w:rPr>
        <w:t>case, the Court made clear that its rulings related to violations of California’s Unfair Competition Law (“UCL”) (Cal. Bus. Prof. 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§17200) were limited in geographical scope to drugs prepared in, dispensed from within or shipped to the State of California. With respect to 503A facilities, the Court followed FDA’s guidance allowing compounding pharmacies to ship more than 5% of its medications out of state while finalizing the MOUs. It further held that 503A facilities operating within or shipping into the state of California must follow statutory guidance found in 21 U.S.C. 353(a). With respect to the statutory guidance related to compounding in response to valid prescription orders, the Court added a requirement that the valid prescription order must contain language that “an FDA-approved drug is not medically appropriate.” The practical effect of these two rulings is that 503A and 503B facilities operating within or shipping drugs into the State of California now have clear guidance as to what is, and is not, lawful behavior with respect the California’s UCL and Sherman Law.</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prepare our compounded formulations in accordance with the standards provided by the USP &lt;795&gt; and USP &lt;797&gt; and applicable state and federal law. In November 2022, USP published finalized revisions to USP chapters &lt;795&gt; and &lt;797&gt;, which had been previously proposed for public comment in September 2021. The revisions include limitations on beyond use dating of sterile and preservative-free products and batch sizes, among other changes. USP expects the published revisions to become effective November 1, 2023, however, regulatory bodies such as state boards of pharmacy may adopt these changes at that time, or on different dates, on a case-by-case basis. While USP has no role in enforcement, we believe the revisions to USP chapter &lt;797&gt; in particular will likely cause two changes to our business, which in the aggregate should have a neutral to positive revenue impact on Harrow: (i) we expect a reduction in revenues generated from sales of formulations compounded by our 503A pharmacy, and (ii) we expect an increase in revenues from sales of formulations compounded in our 503B facility. Further, we believe the changes to USP chapter &lt;797&gt; will likely cause a reduction in the ability of local 503A pharmacies to produce compounded formulations to serve local markets, and that these changes in policy affecting sterile compounded formulations, if adopted by the various states, may increase demand for compounded formulations from larger vendors such as Harrow and cause further consolidation in the market for compounded formulations as smaller 503A pharmacies see a reduction in revenues from certain segments of their formularies affected by these changes.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Privacy and HIPAA</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pharmacy operations involve the receipt, use and disclosure of confidential medical, pharmacy and other health-related information. In addition, we use aggregated and blinded (anonymous) data for research and analysis purposes. The federal privacy regulations under HIPAA are designed to protect the medical information of a healthcare patient or health plan enrollee that could be used to identify the individual. Among other things, HIPAA limits certain uses and disclosures of protected health information and requires compliance with federal security regulations regarding the storage, utilization and transmission of and access to electronic protected health information. The requirements imposed by HIPAA are extensive. In addition, most states and certain other countries have enacted privacy and security laws that protect identifiable patient information that is not health-related. For example, California recently enacted the California Consumer Privacy Act (the “CCPA”) that creates new individual privacy rights for consumers and places increased privacy and security obligations on entities handling personal data of consumers or households. Effective January 1, 2020, the CCPA gives California residents expanded privacy rights and protections, and provides civil penalties for violations and a private right of action for data breaches. The CCPA exemplifies the vulnerability of our business to not only cyber threats but also the evolving regulatory environment related to personal data and protected health information. Other countries also have, or are developing, laws governing the collection, use and transmission of personal information, such as the General Data Protection Regulation (“GDPR”) in the European Union (the “EU”) that became effective in May 2018 and the Personal Information Protection and Electronic Documents Act that became effective in Canada in April 2000. Further, several states have enacted more protective and comprehensive pharmacy-related privacy legislation that not only applies to patient records but also prohibits the transfer or use for commercial purposes of pharmacy data that identifies prescribers. These regulations impose substantial requirements on covered entities and their business associates regarding the storage, utilization and transmission of and access to personal health and non-health information. Many of these laws apply to our business.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pursue commercialization of our branded products and proprietary formulations in countries other than the United States, then we may need to obtain the approvals required by the regulatory authorities of such foreign countries that are comparable to the FDA and state boards of pharmacy, and we would be subject to a variety of other foreign statutes and regulations comparable to those relating to our U.S. operations. Regulatory frameworks and requirements vary by country and could involve significant additional licensing requirements and product testing and review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Other Matters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or may become subject to environmental laws and regulations governing, among other things, any use and disposal by us of hazardous or potentially hazardous substances in connection with our research and preparation of our formulations. In addition, we are subject to work safety and labor laws that govern certain of our operations and our employee relations. In each of these areas, as described above, the FDA and other government agencies have broad regulatory and enforcement powers, including, among other things, the ability to levy fines and civil penalties, suspend or delay issuance of approvals, licenses or permits, seize or recall products, and withdraw approvals, any one or more of which could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pandemic caused by an outbreak of a new strain of coronavirus(the “COVID-19 pandemic”), that is affecting the U.S. and global economy and financial markets and the related responses of government, businesses and individuals are impacting our employees, patients, communities and business operations. The implementation of travel bans and restrictions, quarantines, shelter-in-place/stay-at-home and social distancing orders and shutdowns, for example, affected our business in 2020 and 2021. The full extent to which the COVID-19 pandemic will continue to directly or indirectly impact our business, results of operations and financial condition and those of our customers, vendors, suppliers, and collaboration partners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 Management continues to actively monitor this situation and the possible effects on our financial condition, liquidity, operations, suppliers, industry, and workforce. In the paragraphs that follow, we have described impacts of the COVID-19 pandemic on our clinical development programs. For additional information on risks posed by the COVID-19 pandemic, please see “Item 1A — Risk Factors,” included elsewhere in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research and development (“R&amp;D”) expenses incurred in 2022 and 2021 primarily include expenses related to the upfront and milestone payments from the acquisition and licensing of technology for drug and product candidates that were not yet approved by the FDA (acquired in-process R&amp;D), development of intellectual property, researcher and investigator-initiated evaluations, and formulation development related primarily to our ophthalmic formulations and certain other assets, in addition to costs associated with our drug candidate development programs.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incurred $3,050,000 in R&amp;D expenses, compared to $11,084,000 during the year ended December 31, 2021. The 2021 R&amp;D expenses included milestone payments of $8,117,000 to Sintetica related to our acquisition of rights to IHEEZO.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evaluated the Company’s 2021 performance based on operating segments. Segment performance for its two operating segments was based on segment contribution. Our reportable segments consisted of (i) our commercial stage pharmaceutical business (Pharmaceutical Compounding), generally including the operations of our ImprimisRx business; and (ii) our start-up operations associated with our pharmaceutical drug development business (Pharmaceutical Drug Development). Segment contribution for our segments represented net revenues less cost of sales, R&amp;D expenses, selling and marketing expenses, and select general and administrative expenses. Management did not evaluate the following items at the segment level:</w:t>
      </w:r>
    </w:p>
    <w:p>
      <w:pPr>
        <w:spacing w:after="0" w:line="183" w:lineRule="exact"/>
        <w:rPr>
          <w:sz w:val="20"/>
          <w:szCs w:val="20"/>
          <w:color w:val="auto"/>
        </w:rPr>
      </w:pPr>
    </w:p>
    <w:p>
      <w:pPr>
        <w:ind w:left="1300" w:right="2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that result from shared infrastructure, including certain expenses associated with legal matters, our board of directors and principal executive officers, investor relations and other like shared expenses;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both segments;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including capital expenditures.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defined segment net revenues as pharmaceutical compounded drug sales, revenues from licenses and other revenues derived from related agreements.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consisted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Beginning in 2022, due to shifts in the Company’s strategic plans and its organizational structure, management no longer evaluates the Company’s business in two segments and instead focuses on the performance of the business as a single operating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19 to our consolidated financial statements included in this Annual Report for more information about our reportable segments.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15, 2023, we employed 217 employees. Our employees are engaged in pharmacy operations, sales, marketing, research, development, and general and administrative functions. We expect to add additional employees in all departmental functions, with a focus on commercial activities as we carry out our business plan in the next 12 months. We are not party to any collective bargaining agreements with any of our employees. We have never experienced a work stoppage, and we believe our employee relations are good. We hire independent contractors and consultants on an as-needed basis, and our salesforce is comprised primarily of contract sales organizations and contract labor.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Retention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that our employees largely contribute to our success. To this end, we support business growth by seeking to attract and retain best-in-class talent. Our talent acquisition team uses internal and external resources to recruit highly skilled candidates in the U.S.. We believe that we continue to attract and retain superior talent as measured by our turnover rate and employee service tenure.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total rewards philosophy has been to create investment in our workforce by offering competitive compensation and benefits packages. We provide employees with compensation packages that include base salary, annual incentive bonuses, and long-term equity awards. We also offer comprehensive employee benefits, which vary by country and region, such as life, disability, and health insurance, health savings and flexible spending accounts, paid time off, and a 401(k) plan. It is our expressed intent to be an employer of choice in our industry by providing market-competitive compensation and benefits packages.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health, safety, and wellness of our employees is a priority in which we have always invested and will continue to do so. We provide our employees and their families with access to a variety of innovative, flexible, and convenient health and wellness programs. Program benefits are intended to provide protection and security, so employees can have peace of mind concerning events that may require time away from work or that may impact their financial well-being.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a diverse workforce is critical to our success. Our mission is to value differences in races, ethnicities, religions, nationalities, genders, ages, sexual orientations, as well as education, skill sets and experience. We are focused on inclusive hiring practices, fair and equitable treatment, organizational flexibility, and training and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in encouraging employees in becoming lifelong learners by providing ongoing learning, training and leadership opportunities. We provide our employees with a tuition reimbursement program, and in certain instances, onsite training programs. While we strive to provide real-time recognition of employee performance, we have a formal annual review process not only to determine pay and equity adjustments tied to individual contributions, but to identify areas where training and development may be needed.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Transparency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early 2022, we released and published on our corporate website (harrowinc.com) our Corporate Transparency Report, which describes and summarizes the initiatives the Company has undertaken and associated metrics related to certain issues including:</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Energy, Emissions, Waste and Water</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Embracing our Community</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Supply Chain Management</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Innovation/Sustainable Products</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Community Involvement</w:t>
            </w:r>
          </w:p>
        </w:tc>
        <w:tc>
          <w:tcPr>
            <w:tcW w:w="40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Employee Health and Safety</w:t>
            </w:r>
          </w:p>
        </w:tc>
      </w:tr>
      <w:tr>
        <w:trPr>
          <w:trHeight w:val="43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Employee Recruitment, Development and Retention</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Governance</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Diversity</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Drug Safety</w:t>
            </w:r>
          </w:p>
        </w:tc>
      </w:tr>
      <w:tr>
        <w:trPr>
          <w:trHeight w:val="43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Business Ethics, Compliance and Bribery</w:t>
            </w:r>
          </w:p>
        </w:tc>
        <w:tc>
          <w:tcPr>
            <w:tcW w:w="40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Data Protection, Patient Data Privacy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at 102 Woodmont Blvd., Suite 610, Nashville, Tennessee, 37205, and our telephone number at such office is (615) 733-4730. Our website address is www.harrowinc.com. Information contained on our website is not deemed part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financial risks, operational risks, human capital risks, legal proceedings and regulatory risks and certain general risks, that could have a material adverse effect on our business results of operations, financial condition and prospects. Risks that we deem material are described under “Risk Factors” below and include, but are not limited to, the following: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 and Operations of Our Business.</w:t>
      </w:r>
    </w:p>
    <w:p>
      <w:pPr>
        <w:spacing w:after="0" w:line="227"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profitability for our business;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market, commercialize, and sell current, recently acquired and future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indebtedness and ability to access additional capital;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and increase sales of current and future products;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and ongoing expense associated with it for any of our drug candidates, including those we own royalty rights of;</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manufacturing certain components, FDA approved drugs and to conduct clinical trials;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liabilities and reputation harm if our products give rise to defects, recalls, patient injury or death;</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impact of health epidemics, including the COVID-19 pandemic;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Government Regulations and Third-Party Policies</w:t>
      </w:r>
    </w:p>
    <w:p>
      <w:pPr>
        <w:spacing w:after="0" w:line="227" w:lineRule="exact"/>
        <w:rPr>
          <w:sz w:val="20"/>
          <w:szCs w:val="20"/>
          <w:color w:val="auto"/>
        </w:rPr>
      </w:pPr>
    </w:p>
    <w:p>
      <w:pPr>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including, but not limited to, potential changes to USP 797, 503B bulks list and others, that could or currently do burden operations or narrow the market for our products;</w:t>
      </w:r>
    </w:p>
    <w:p>
      <w:pPr>
        <w:ind w:left="980" w:right="2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depend on coverage and reimbursement from government and commercial third-party payers, and pricing and reimbursement pressures have affected, and are likely to continue to affect, our profitability.</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interpretation of new tax legislation or exposure to additional tax liabilities could affect our profitability.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litigation and government investigations.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Competition</w:t>
      </w:r>
    </w:p>
    <w:p>
      <w:pPr>
        <w:spacing w:after="0" w:line="22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and maintaining patent or other intellectual property protection for our products and related improvements;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drug products, drug candidates, compounded drugs and pharmacies;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research, develop and timely manufacture our current and future products and drug candidates;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protect our intellectual property rights along with the potential of future legal proceedings filed against us claiming intellectual property infringement;</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recruitment, and training of senior management and key personnel;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Risks Related to Product Development, Regulatory Approval, Manufacturing and Commercialization</w:t>
      </w:r>
    </w:p>
    <w:p>
      <w:pPr>
        <w:spacing w:after="0" w:line="227"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develop commercial products despite significant investments in R&amp;D;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branded products and product candidates in development cannot be sold without regulatory approval;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face competition sooner than we expect;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manufacture and conduct clinical trials of our branded drug products and product candidates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market exclusivity for our product candidates;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Notes</w:t>
      </w:r>
    </w:p>
    <w:p>
      <w:pPr>
        <w:spacing w:after="0" w:line="227"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pay the interest and debt service payments associated with the Notes;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unsecured, effectively subordinated to any secured indebtedness, with limited protection for its holders;’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subject to various market factors, including market interest rates, trading activity, third-party ratings and other factors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227"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price of our common stock; and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falling as a result of future offerings or sales.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Annual Report. Our business, financial condition, results of operations and stock price could be materially adversely affected by any of these risks.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 and Operations of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profitable in the future.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2022, our accumulated deficit was $(109,493,000). Our current projections indicate that we will have operating income and/or net income during 2023;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operations, our ability to generate the revenues necessary to achieve profitability will depend on many factors, including those discussed in this “Risk Factors” section.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sufficient revenue to fund our operations and recover our development costs.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plan involves the preparation and sale of our proprietary formulations through our compounding pharmacies and outsourcing facilities, along with the sale and marketing of FDA-approved products and drug candidates through third-party wholesaler and pharmacy channels. We have limited experience operating pharmacies and commercializing compounded formulations and selling FDA-approved products, and we may be unable to successfully manage this business or generate sufficient revenue to recover our development costs and operational expenses. We may have only limited success in marketing and selling our products and formulations. Although we have established and plan to grow our internal sales teams to market and sell our products and formulations and other non-proprietary products, we have limited experience with such activities and may not be able to generate sufficient physician and patient interest in our products and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and products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our recent and any future product 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our product acquisitions will depend on, among other things, our ability to successfully integrate the products into our commercial platform, transfer the products NDAs, maintain payer reimbursement coverage, maintain an adequate supply of the products, market the products to our existing customers and re-introduce TRIESENCE to the ophthalmic market. If we experience difficulties with the implementation of plans with respect to our acquisitions, the anticipated benefits of the recent or future acquisition may not be realized fully or at all, or may take longer to realize than expected. Integration efforts will also divert management’s attention and resources. These matters could have an adverse effect during any transition period and for an undetermined period after completion of the acquisitions.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correctly estimate our future operating expenses, which could lead to cash shortfalls.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drug candidate in November 2013, our acquisitions of compounding facilities and various product and corporate development opportunities since 2014,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FDA approved products and drug candidates.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and FDA approved products in the future, but only if we are able to identify attractive products and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and commercial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 development strategy is to focus on a ophthalmology and eye care related products and formulations in which we believe there is broad market potential, large unmet needs and/or unique value to physicians and patients and to develop and offer formulations and products within these therapeutic areas that could afford us with gross and operating margins consistent with our current and historical figures. However, our expectations and assumptions about market potential and patient needs may prove to be wrong, and we may invest capital and other resources on products, drug candidates, and formulations that do not generate sufficient revenues for us to recoup 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develop and commercialize our proprietary formulations or any other assets we may acquire.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acquired assets related to compoundable formulations, drug products and drug candidates. We are currently pursuing development and commercialization opportunities with respect to a number of these products, drug candidates and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decide to pursue a potential drug candidate, we develop a commercialization strategy for it, which may include marketing and selling the formulation in compounded form through compounding pharmacies or outsourcing facilities, or pursuing FDA approval of the drug candidate. We may incorrectly assess the risks and benefits of the commercialization options or we may not pursue a commercialization strategy that proves to be successful. If we are unable to successfully commercialize one or more of our proprietary formulations, drug products and drug candidates, our operating results would be adversely affected. Even if we are able to successfully sell one or more proprietary formulations, drug products and drug candidates, we may never recoup our investment in acquiring or developing the formulations, drug products and drug candidates. Our failure to identify and expend our resources and technologies with commercial potential and execute an effective commercialization strategy for each of our formulations, drug products and drug candidates would negatively impact the long-term profitability of our business.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only recently started generating cash from operations, but we do not currently earn sufficient revenues to support our operations. We may need significant additional capital to execute our business plan, execute on future acquisitions and fund our proposed business operations. Additionally, our plans may change or the estimates of our operating expenses and working capital requirements could be inaccurate, we may pursue acquisitions of FDA-approved products, drug candidates,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raised over $200,000,000 in funds through equity and debt financings since 2021.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consider engaging in strategic transactions, such as out-licensing or in-licensing of compounds, drug candidates, drug products or technologies, acquisitions of companies, and asset purchases. We may also consider a variety of different business arrangements in the future, including strategic partnerships, joint ventures, spin-offs, carve-outs,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efforts to complete any significant transaction, we would need to expend significant resources to conduct business, regulatory,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train and maintain an effective sales and marketing infrastructure, we will not be able to commercialize our drug candidates successfully.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built an internal sales and marketing infrastructure to implement our business plan by developing internal sales teams and education campaigns to market our proprietary formulations and FDA-approved drug products.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drug products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drug products or services or generate meaningful revenues.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cybersecurity or other system failures.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For example, the CCPA became effective on January 1, 2020 and gave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data breaches that may increase data breach litigation. Although the CCPA includes exemptions for certain clinical trials data, and HIPAA-protected health information, the law may increase our compliance costs and potential liability with respect to other personal information we collect about California residents. The CCPA has prompted a number of proposals for new federal and state privacy legislation. Other countries also have, or are developing, laws governing the collection, use and transmission of personal information, such as the GDPR in the EU that became effective in May 2018 and the Personal Information Protection and Electronic Documents Act that became effective in Canada in April 2000. We anticipate that over time we may expand our business to include operations outside of the United States. With such expansion, we would be subject to increased governmental regulation in the EU countries in which we might operate, including the GDPR. These laws and similar laws adopted in the future could increase our potential liability, increase our compliance costs and adversely affect our business.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consultants, outside contractors and other third-party service providers for key aspects of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contract manufacturers,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We carry product and professional liability insurance, which may be inadequate.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had an adverse effect on our business and results of operations and could have future adverse effects, which could be material, on our business, results of operations, financial condition, liquidity, and capital investments.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COVID-19 outbreak a global pandemic. The COVID-19 pandemic has negatively impacted the global economy, disrupted supply chains and created significant volatility in financial markets. We have implemented business policies intended to protect our employees from the spread of COVID-19. Those policies included employees working from home when possible and employees in our facilities increasing physical distancing.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18, 2020, CMS released guidance for U.S. healthcare providers to limit all elective medical procedures in order to conserve personal protective equipment and limit exposure to COVID-19 during the pendency of the pandemic. Many of our customers use our products in procedures impacted by the guidance. In addition to limiting medical procedures, many hospitals and other healthcare providers strictly limited access to their facilities during the pandemic. While we believe our business has mostly recovered from the impact of the pandemic, if conditions worsen, we believe future impact of the pandemic to our business could include, but is not limited to:</w:t>
      </w:r>
    </w:p>
    <w:p>
      <w:pPr>
        <w:spacing w:after="0" w:line="183" w:lineRule="exact"/>
        <w:rPr>
          <w:sz w:val="20"/>
          <w:szCs w:val="20"/>
          <w:color w:val="auto"/>
        </w:rPr>
      </w:pPr>
    </w:p>
    <w:p>
      <w:pPr>
        <w:ind w:left="980" w:right="20" w:hanging="324"/>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revenues from our customers, including our major customers, whose products are impacted by CMS guidance to limit elective medical procedures;</w:t>
      </w:r>
    </w:p>
    <w:p>
      <w:pPr>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or willingness of third parties to market, distribute and sell our products, due to reduced demand from, or lack of access to, healthcare facilities and providers;</w:t>
      </w:r>
    </w:p>
    <w:p>
      <w:pPr>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or inability, to complete clinical trials and other activities required to achieve regulatory clearance of our products under development due to lack of access to healthcare facilities, healthcare providers and patients;</w:t>
      </w: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or lost access to third-party service providers that we use in our research and development or marketing efforts;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cash flow from our operations due to reductions in revenues or collections from our customers and increases in operating costs related to actions we have taken in response to the pandemic;</w:t>
      </w:r>
    </w:p>
    <w:p>
      <w:pPr>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business productivity due to inefficiencies in employees working from home or increasing physical distancing and other pandemic response protocols in our production facilities;</w:t>
      </w:r>
    </w:p>
    <w:p>
      <w:pPr>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susceptibility to the risk of information technology security breaches and other disruptions due to increased volumes of remote access to our information systems from our employees working at home;</w:t>
      </w: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source sufficient components used in our products due to disruptions in supply chains;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to identify, evaluate and acquire, or effectively integrate, complementary businesses, products, materials or technologies due to travel restrictions, physical distancing protocols, and lack of access to third-party service providers related to our development activities;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manufacturing capacity, which could lead to failures to meet product delivery commitments, or increased operating costs if one of our facilities were to experience a COVID-19 outbreak;</w:t>
      </w:r>
    </w:p>
    <w:p>
      <w:pPr>
        <w:ind w:left="980" w:right="2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assessing and securing intellectual property rights due to lack of access to, or delayed responsiveness of, third-party service providers or governmental agencies;</w:t>
      </w:r>
    </w:p>
    <w:p>
      <w:pPr>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to retain personnel over concerns about workplace exposure to COVID-19, or to hire and effectively train new personnel, due to physical distancing protocols; and</w:t>
      </w: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other assets due to reductions in the fair value of our reporting units.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and other factors relating to, or arising from, the pandemic could have material adverse effects on our business, results of operations, cash flows, financial condition, and capital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and those of contract research organizations (“CROs”), contractors and consultants, could be subject to power shortages, telecommunications failures, wildfires, water shortages, floods, earthquakes, hurricanes, typhoons, fires, extreme weather conditions, medical epidemics, such as the COVID-19 pandemic, and other natural or man-made disasters or business interruptions for which we are predominantly self-insured. The occurrence of any of these business disruptions could seriously harm our operations and financial condition and increase our costs and expenses. Our ability to obtain clinical supplies of our product candidates could be disrupted if the operations of our contract manufacturers or the contract manufacturers of our development partners are affected by a man-made or natural disaster or other business interruption.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sell our proprietary formulations primarily through pharmaceutical compounding facilities we own, but we may not be successful in our efforts to integrate these businesses into our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have two compounding facilities in New Jersey. We may expand our pharmacy operations and personnel. We have developed “ImprimisRx” as a uniform brand for our compounding facilities and ophthalmology focused pharmaceutical business. We have limited experience acquiring, building or operating compounding pharmacies or other prescription dispensing facilities or commercializing our formulations through ownership of or licensing arrangements with pharmacies. In addition, as we have in the past purchased and operated certain pharmaceutical compounding businesses and pharmacies and subsequently divested or sold those associated assets, we may pursue similar strategies in the future. Those things considered, we may experience difficulties implementing and/or executing on our compounding pharmacy strategy, including difficulties that arise as a result of our lack of experience, and we may be unsuccessful and our plans may change materially. For instance:</w:t>
      </w:r>
    </w:p>
    <w:p>
      <w:pPr>
        <w:spacing w:after="0" w:line="18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delays and increased costs in relation to expansion efforts;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satisfy applicable federal and state licensing and other requirements for any of our pharmacy businesses in a timely manner or at all;</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federal and state pharmacy regulations may restrict compounding operations or make them more costly;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or maintain a sufficient physician and patient customer base to sustain our pharmacy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compounding pharmacies generally may be curtailed or delayed;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licensing or other arrangements with third-party pharmacies or outsourcing facilities when desired, on acceptable terms or at all.</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For example, the FDA has issued formal requests to compounding pharmacies and outsourcing facilities to conduct a recall of all non-expired, purportedly sterile drug products and to cease sterile compounding operations due to lack of sterility assurance. As a result, some health care providers may be reluctant to purchase and use compounded drugs. Our growth and future sales depend not only on our ability to demonstrate in the face of increased scrutiny the quality and safety of our pharmacies and outsourcing facilities and our compliance with more stringent regulatory standards at the federal and state levels, but also on the continued acceptance of compounded drugs and formulations, particularly outsourced compounded drugs and formulations, in the marketplace.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incident similar to the fungal meningitis outbreak in 2012, which was caused by a compounding pharmacy employing a non-sterile-to-sterile business model, could cause our customers to reduce their use of compounded formulations significantly or even stop using compounded drugs altogether. States have in the past, and could in the future, enact regulations prohibiting or restricting the use of compounding pharmacies and outsourcing facilities in response to such incidents. Such prohibitions or restrictions by states or reduced customer demand as a result of an incident with compounded drugs and formulations could have a material adverse effect on our business, results of operations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August 2017, the FDA issued a MedWatch notification regarding our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were due to mislabeling by the underlying supplier, and not of our own misdoing. We no longer compound curcumin emulsion products. Separately, in December 2017, we were issued a warning letter from the FDA alleging that, in their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have been in communication with the FDA and took steps to address the items outlined in the FDA letter. The Company received another warning letter from the FDA related to our alleged marketing activities; we immediately responded to this warning letter received and the FDA sent the Company notice in January 2023 that our corrective actions appear adequate. In June 2019, our outsourcing facility was issued a warning letter related to an April 2017 inspection and our use of certain active pharmaceutical ingredients in our compounded medications. During September 2020 through January 2021, our New Jersey based outsourcing facility was inspected by the FDA (the “2020 Inspection”) and certain observations were made by the FDA in a Form 483. Five observations made during the 2020 Inspection were considered repeat observations from a 2017 FDA inspection. In addition, during the 2020 Inspection, the FDA noted that we were compounding drugs for which there is no change that produces for an individual patient a clinical difference, as determined by a prescribing practitioner between a compounded drug and the comparable approved drug. We have responded to the FDA regarding all of their observations from the 2020 Inspection, including providing documentation from prescribing clinicians that indicate a clinical difference between our compounded drugs and the comparable approved drugs, while also committing to amend our order process to collect “medical necessity/clinical difference” information for each order of our compounded drugs on a go-forward basis. Our pharmacy was inspected in August 2022, and received a Form 483 with several observations from FDA. We have responded to these observations and continue to dialogue with the FDA related to this 483.</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worked and communicated, and will continue to work and communicate, with the FDA to assure that all allegations in the warning letters and 483s have been addressed. We believe, to date, we have addressed all of the material items of concern in the FDA’s 483, warning letters and those related to the MedWatch notification (and any other requirements observed by the FDA and noted to us), and we do not believe there will be any further action taken by the FDA in these matters. We believe this is evidenced by the FDA registration for our outsourcing facility which was most recently renewed in November 2022. Nonetheless, these items increased further scrutiny and negative publicity on us as a company. As part of our commitment to actively work with regulators, at times, we have become aware of concerns related to certain formulations, and as a result, discontinued compounding certain drug formulations in an attempt to help mitigate potential regulatory risk. As a result of the MedWatch notice, warning letters and other regulatory notifications, some physicians may be hesitant to prescribe and some patients may be hesitant to purchase and use non-FDA-approved compounded formulations, particularly when an FDA-approved potential alternative is available. For other reasons, physicians may be unwilling to prescribe or patients may be unwilling to use our proprietary compounded formulations, including the following: legal prohibitions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 and Third-Party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significantly impacted by state and federal statutes and regulations.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proprietary compounded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We own, we are pursuing FDA approval to market and sell drug candidates, both owned by us and by Melt and Surface, FDA approval of those drug candidates, along with the marketing and sale of FDA-approved drugs and compounded formulations is subject to and must comply with extensive state and federal statutes and regulations governing those products and compounding pharmacies. These compounding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compared to the market available for FDA-approved drugs.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pharmacy business is impacted by federal and state laws and regulations governing the following: the purchase, distribution, management, compounding, dispensing, reimbursement, marketing and labeling of prescription drugs and related services including: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30, 2020, the FDA issued a notice for comments related to certain bulk drug substances to be removed from the 503B Bulk’s List (or Category 1 List). Included in this notice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as replacements of the bulk powders contained in our sterile products. In addition, nothing in the FDA’s notice affects the dispensing of bulk powder-containing products from our 503A pharmacy. Nonetheless, if all or some of the bulk drug substances we use are removed from the 503B Bulk’s List, this may result in a disruption in our operations, revenues and cash flows.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27, 2020, the FDA announced availability of a final Memorandum of Understanding, Addressing Certain Distributions of Compounded Human Drug Products Between the State Board of Pharmacy or Other Appropriate State Agency and the Food and Drug Administration (the “Final MOU”). The Final MOU describes the responsibilities of a state board of pharmacy, or other appropriate state agency that chooses to sign the Final MOU, in investigating and responding to complaints related to drug products compounded in such state and distributed outside such state and in addressing the interstate distribution of inordinate amounts of compounded human drug products. Additionally, as part of the Final MOU, the FDA refined the definition of “inordinate amount,” a threshold for certain information identification and sharing which does not place a limit on the distribution of compounded human drug products interstate by a pharmacy located in a state that has entered into the Final MOU. Section 503A of the FDCA sets a 5% limit on compounded drugs distributed outside the state by a pharmacist, pharmacy or physician located in a state that has not entered into the Final MOU.</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2022, the FDA said it would suspend implementation of the Final MOU and engage in a formal rulemaking process. During the rulemaking process, the agency will not enter into new agreements with states based on the Final MOU. The FDA does not expect states that have signed the Final MOU to carry out the activities described in the Final MOU. Thus, there is no reporting requirement for any pharmacy concerning interstate shipments pursuant to Section 503A and will not be until the Final MOU is finalized through the rulemaking process, which will include the engagement of a notice-and-comment and rulemaking period to implement certain provisions of Section 503A. The agency indicated that the process may take “several years” to complete. In the same announcement, the FDA stated it does not intend to enforce the statutory 5% limit on the distribution of compounded drugs out of the state in which they are compounded by compounders located in states that do not sign the Final MOU for the duration of the rulemaking process.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compounding pharmacies are in material compliance with applicable regulatory requirements. Further, if any of our compounding pharmacies fail to comply with regulatory requirements, they could be forced to permanently or temporarily cease or limit their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Sections 503A and 503B, warning letters, injunctions, prosecution, fines and loss of required government licenses, certifications and approvals, any of which could involve significant costs and could cause us to be unable to realize the expected benefits of these pharmacies’ operations. Additionally, the permanent injunction entered on July 22, 2019, by the United States District Court of the Central District of California in the Allergan litigation (also referenced in Item. 3 Legal Proceedings), enjoins the Company from engaging in activities that are inconsistent with current FDA guidelines for 503A and 503B operations. While the Company believes its operations fully comply with the injunction, if the Court were to find the Company to be in violation of the injunction, further sanctions, including fines and limitations on the pharmacies’ operations, could occur.</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depend on coverage and reimbursement from government and commercial third-party payers, and pricing and reimbursement pressures have affected, and are likely to continue to affect, our profitability.</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Sales of our branded products depend on the availability and extent of coverage and reimbursement from third-party payers, including government healthcare programs and private insurance plans. Governments and private payors continue to pursue initiatives to manage drug utilization and contain costs. Further, pressures on healthcare budgets from the pandemic, the economic downturn and inflation continue and are likely to increase across the markets we serve. Payors are increasingly focused on costs, which have resulted, and are expected to continue to result, in lower reimbursement rates for our branded products or narrower populations for which payors will reimburse. Continued intense public scrutiny of the price of drugs and other healthcare costs, together with payor dynamics, have limited, and are likely to continue to limit, our ability to set or adjust the price of our products based on their value, which can have a material adverse effect on our business. In the United States, particularly over the past few years, a number of legislative and regulatory proposals have been introduced and/or signed into law that attempt to lower drug prices. These include legislation promulgated by the IRA that enables the U.S. government to set prices for certain drugs in Medicare, redesigns Medicare Part D benefits to shift a greater portion of the costs to manufacturers and enables the U.S. government to impose penalties if drug prices are increased at a rate faster than inflation in addition to rebates imposed on manufacturers associated with drug waste (which could potentially impact sales of TRIESENCE). Additional proposals focused on drug pricing continue to be debated, and additional executive orders focused on drug pricing and competition are likely to be adopted and implemented in some form. Government actions or ballot initiatives at the state level also represent a highly active area of policymaking and experimentation, including pursuit of proposals that limit drug reimbursement under state run Medicaid programs based on reference prices or permitting importation of drugs from Canada. Such state policies may also eventually be adopted at the federal level.</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unable to predict which or how many policy, regulatory, administrative or legislative changes may ultimately be, or effectively estimate the consequences to our business if, enacted and implemented. However, to the extent that payer actions further decrease or modify the coverage or reimbursement available for our products, require that we pay increased rebates or shift other costs to us, limit or affect our decisions regarding the pricing of or otherwise reduce the use of our products, such actions could have a material adverse effect on our business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U.S. federal coverage and reimbursement policies and practices have affected and are likely to continue to affect access to, pricing of and sales of our products.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substantial portion of our branded product portfolio relies on reimbursement from federal government healthcare programs and commercial insurance plans regulated by federal and state governments. Our business has been and will continue to be affected by legislative actions changing U.S. federal reimbursement policy. The IRA’s drug pricing controls and Medicare redesign is likely to have a material adverse effect on our sales (particularly for our branded products that are more substantially reliant on Medicare reimbursement), our business and our results of operations. However, as the degree of impact from this legislation on our business depends on a number of implementation decisions, the extent of the IRA’s impact on our sales and, in turn, our business remains unclear.</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reimbursement and pricing actions in various states have negatively affected and may continue to negatively affect access to and have affected and may continue to affect sales of our products.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At the state level, government actions or ballot initiatives can also affect how our branded products are covered and reimbursed and/or create additional pressure on our pricing decisions. Existing and proposed state pricing laws have added complexity to the pricing of drugs and may already be affecting industry pricing decisions. A number of states have adopted, and many other states are considering, drug importation programs or other pricing actions, including proposals designed to require biopharmaceutical manufacturers to report to the state proprietary pricing information or provide advance notice of certain price increases. For example, a California law requires biopharmaceutical manufacturers to notify health insurers and government health plans at least 60 days before scheduled prescription drug price increases that exceed certain thresholds. Similar laws exist in Oregon and Washington. Additional proposals directed at Medicaid seek to penalize manufacturers for pricing drugs above a certain threshold or limit spending on biopharmaceutical products. States are also seeking to change the way they pay for drugs for patients covered by state programs. New York has established a Medicaid drug spending cap, and Massachusetts implemented a new review and supplemental rebate negotiation process. Six states (Colorado, Maine, New Hampshire, Maryland, Oregon and Washington) have enacted laws that establish Prescription Drug Affordability Boards (PDABs) to study drug prices and identify drugs that pose affordability challenges, and in three states (Colorado, Maryland and Washington) include authority for the state PDAB to set upper payment limits on certain drugs in state regulated plans. Other states may consider implementing similar policies and laws. Additionally, Colorado, Florida, Maine, New Hampshire, New Mexico and Vermont have enacted laws, and several other states have proposed bills, to implement importation of drugs from Canada. The FDA has met with representatives from Colorado, Florida, Maine and New Mexico to discuss those states’ proposed importation programs, and the FDA may be working towards approving such plans. Other states could adopt similar approaches or could pursue different policy changes in a continuing effort to reduce their costs. Ultimately, as with U.S. federal government actions, existing or future state government actions or ballot initiatives may also have a material adverse effect on our product sales, business and results of operations.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U.S. commercial payer actions have affected and may continue to affect access to and sales of our products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Payers, including healthcare insurers, pharmacy benefit managers (“PBMs”), integrated healthcare delivery systems (vertically-integrated organizations built from consolidations of healthcare insurers and PBMs) and group purchasing organizations, increasingly seek ways to reduce their costs. With increasing frequency, payors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payors may affect these trends. For example, CMS finalized a policy for plan years starting on or after January 1, 2021 that has caused commercial payors to more widely adopt co-pay accumulator adjustment programs. Payors, including PBMs, have sought, and continue to seek, price discounts or rebates in connection with the placement of our branded products on their formularies or those they manage, and to also impose restrictions on access to or usage of our branded products (such as step therapy), require that patients receive the payor’s prior authorization before covering the product, and/or chosen to exclude certain indications for which our products are approved. In an effort to reduce barriers to access, we may reduce the net price of some of our branded products by providing greater discounts and rebates to payors (including PBMs that administer Medicare Part D prescription drug plans), and we may introduce a set of new National Drug Codes to make our branded products available at a lower list price. However, affordability of patient out-of-pocket co-pay cost has limited and may continue to limit patient use. Further, despite these net and list price reductions, some payors may restrict, patient access and may seek further discounts or rebates or take other actions, such as changing formulary coverage for some or all of our branded products. These factors have limited, and may continue to limit, patient affordability and use, negatively affecting sales of our branded products.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For example, in the United States, as of the beginning of 2023, we believe the top five integrated health plans and PBMs controlled approximately 92% of all pharmacy prescriptions. This high degree of consolidation among insurers and PBMs and other payers, including through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payers from our business. CVS, Express Scripts and United Health Group (among the top five integrated health plans and PBMs), each have Rebate Management Organizations that further increase their leverage to negotiate deeper discounts. Ultimately, additional discounts, rebates, fees, coverage changes, plan changes, restrictions or exclusions imposed by these commercial payers could have a material adverse effect on our product sales, business and results of operations. Policy reforms advanced by Congress or the Biden administration that refine the role of PBMs in the U.S. marketplace could have downstream implications or consequences for our business and how we interact with these entities.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Guidelines and recommendations published by various organizations can reduce the use of our branded products.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Government agencies promulgate regulations and guidelines directly applicable to us and to our products. Professional societies, practice management groups, insurance carriers, physicians’ groups, private health and science foundations and organizations involved in various diseases also publish guidelines and recommendations to healthcare providers, administrators and payers, as well as patient communities. Recommendations by government agencies or other groups and organizations may relate to such matters as usage, dosage, route of administration and use of related therapies. In addition, a growing number of organizations are providing assessments of the value and pricing of biopharmaceutical products, and even organizations whose guidelines have historically been focused on clinical matters have begun to incorporate analyses of the cost effectiveness of various treatments into their treatment guidelines and recommendations. Value assessments may come from private organizations that publish their findings and offer recommendations relating to the products’ reimbursement by government and private payers. Some companies and payers have announced pricing and payment decisions based in part on the assessments of private organizations. In addition, government health technology assessment organizations in many countries make reimbursement recommendations to payers in their jurisdictions based on the clinical effectiveness, cost-effectiveness and service effects of new, emerging and existing medicines and treatments. Such health technology assessment organizations have recommended, and may in the future recommend, reimbursement for certain of our products for a narrower indication than was approved by applicable regulatory agencies or may recommend against reimbursement entirely. See “- </w:t>
      </w:r>
      <w:r>
        <w:rPr>
          <w:rFonts w:ascii="Times New Roman" w:cs="Times New Roman" w:eastAsia="Times New Roman" w:hAnsi="Times New Roman"/>
          <w:sz w:val="18"/>
          <w:szCs w:val="18"/>
          <w:i w:val="1"/>
          <w:iCs w:val="1"/>
          <w:color w:val="auto"/>
        </w:rPr>
        <w:t>Our sales depend on coverage and reimbursement from government and commercial third-party payers, and pricing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reimbursement pressures have affected, and are likely to continue to affect, our profitability.” </w:t>
      </w:r>
      <w:r>
        <w:rPr>
          <w:rFonts w:ascii="Times New Roman" w:cs="Times New Roman" w:eastAsia="Times New Roman" w:hAnsi="Times New Roman"/>
          <w:sz w:val="18"/>
          <w:szCs w:val="18"/>
          <w:color w:val="auto"/>
        </w:rPr>
        <w:t>Such recommendations or guidelines may affect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reputation, and any recommendations or guidelines that result in decreased use, dosage or reimbursement of our products could have a material adverse effect on our product sales, business and results of operations. In addition, the perception by the investment community or stockholders that such recommendations or guidelines will result in decreased use and dosage of our products could adversely affect the market price of our common stock.</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Risks Related to 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many competitive risks related to marketing and selling our proprietary formulations and operating our compounding pharmacy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USP chapter &lt;795&gt; and USP chapter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2022, USP published finalized revisions to USP chapters &lt;795&gt; and &lt;797&gt;, which had been previously proposed for public comment in September 2021. The revisions include limitations on beyond use dating of sterile and preservative-free products and batch sizes, among other changes. USP expects the published revisions to become effective November 1, 2023, however, regulatory bodies such as state boards of pharmacy may adopt these changes at that time, or on different dates, on a case-by-case basis. While USP has no role in enforcement, we believe the revisions to USP chapter &lt;797&gt; in particular will likely cause two changes to our business, which in the aggregate should have a neutral to positive revenue impact on Harrow: (i) we expect a reduction in revenues generated from sales of formulations compounded by our 503A pharmacy, and (ii) we expect an increase in revenues from sales of formulations compounded in our 503B facility. Further, we believe the changes to USP chapter &lt;797&gt; will likely cause a reduction in the ability of local 503A pharmacies to produce compounded formulations to serve local markets, and that these changes in policy affecting sterile compounded formulations, if adopted by the various states, may increase demand for compounded formulations from larger vendors such as Harrow and cause further consolidation in the market for compounded formulations as smaller 503A pharmacies see a reduction in revenues from certain segments of their formularies affected by these changes.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in large part on our ability to maintain a competitive position with respect to biotechnology and related pharmaceutical technologies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sustained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sales at certain of our wholesaler distributors and consolidation of private payers may negatively affect our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Certain of our distributors, customers and payers have substantial purchasing leverage, due to the volume of our products they purchase or the number of patient lives for which they provide coverage. The substantial majority of our U.S. branded product sales are made through three pharmaceutical product wholesaler distributors: McKesson Corporation, AmerisourceBergen Corporation and Cardinal Health, Inc. These distributors, in turn, sell our products to their customers, which include physicians or their clinics, ambulatory surgical centers, hospitals and pharmacies. Similarly, as discussed above, there has been significant consolidation in the health insurance industry, including that a small number of PBMs now oversee a substantial percentage of total covered lives in the United States. See “ – </w:t>
      </w:r>
      <w:r>
        <w:rPr>
          <w:rFonts w:ascii="Times New Roman" w:cs="Times New Roman" w:eastAsia="Times New Roman" w:hAnsi="Times New Roman"/>
          <w:sz w:val="18"/>
          <w:szCs w:val="18"/>
          <w:i w:val="1"/>
          <w:iCs w:val="1"/>
          <w:color w:val="auto"/>
        </w:rPr>
        <w:t>Our sales depend on coverage and reimbursement from government and commercial third-party payers,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pricing and reimbursement pressures have affected, and are likely to continue to affect, our profitability.” </w:t>
      </w:r>
      <w:r>
        <w:rPr>
          <w:rFonts w:ascii="Times New Roman" w:cs="Times New Roman" w:eastAsia="Times New Roman" w:hAnsi="Times New Roman"/>
          <w:sz w:val="18"/>
          <w:szCs w:val="18"/>
          <w:color w:val="auto"/>
        </w:rPr>
        <w:t>The three largest PBMs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now part of major health insurance providers. The growing concentration of purchasing and negotiating power by these entities has, and may continue to, put pressure on our pricing due to their ability to extract price discounts on our branded products, fees for other services or rebates, negatively affecting our bargaining position, sales and/or profit margins. In addition, decisions by these entities to purchase or cover less or none of our branded products in favor of competing products could have a material adverse effect on our branded product sales, business and results of operations due to their purchasing volume. Further, if one of our significant wholesale distributors encounters financial or other difficulties and becomes unable or unwilling to pay us all amounts that such distributor owes us on a timely basis, or at all, it could negatively affect our business and results of operations. In addition, if one of our significant wholesale distributors becomes insolvent or otherwise unable to continue its commercial relationship with us in its present form, it could significantly disrupt our business and adversely affect our product sales, our business and results of operations unless suitable alternatives are timely found or lost sales are absorbed by another distributor.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formulations and technologies could potentially conflict with the rights of others.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be available on acceptable terms or at all.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Chief Executive Officer, Mark L. Baum, and other key persons for the continued growth and development of our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Chief Executive Officer, Mark L. Baum, along with other key persons, including, but not limited to, our Chief Financial Officer, Andrew R. Boll, and Chief Commercial Officer, John P. Saharek, have played a primary role in creating and developing our current business model. We are highly dependent on these executives for the implementation of our business plan and the future development of our assets and our business, and the loss of their services and leadership could materially adversely impact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and consultants, we may be unable to maintain or expand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to hire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 In addition, any staffing interruptions resulting from geopolitical actions, including war and terrorism, adverse public health developments such as the COVID-19 pandemic, or natural disasters including earthquakes, typhoons, floods and fires, could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Manufacturing and Commercialization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FDA approval to market and sell any of our proprietary formulations, such as drug candidates that we have royalty interests in that are being developed by Melt and Surface, and MAQ-100, we may be unable to demonstrate the necessary safety and efficacy to obtain such FDA approval.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we have sought, and in the future, we, alone or with project partners, intend to seek, FDA regulatory approval to market and sell one or more of our assets as an FDA-approved drug. Obtaining FDA approval to market and sell pharmaceutical products is costly, time-consuming,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76"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safety and efficacy;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dosing burden and ease of administration;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effects;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our drug candidates, and the target patient population to try new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of our drug candidates compared to competing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any new products that may in the future become available targeting indications for which our drug candidates may be approved;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procedures or therapies that may reduce the incidences of any of the indications in which our drug candidates may show utility;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cost-effectiveness;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or omission of our drug candidates in applicable therapeutic and vaccine guidelines;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own or any future collaborators’ sales and marketing strategies;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approved labeling from regulatory authorities;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 or reimbursement or government pricing approvals.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(“cGCPs”) for any clinical trials that we conduct post-approval. In addition, manufacturers of drug products and their facilities are subject to continual review and periodic inspections by the FDA and other regulatory authorities for compliance with current cGMP, requirements relating to quality control, quality assurance and corresponding maintenance of records and documents.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76" w:lineRule="exact"/>
        <w:rPr>
          <w:sz w:val="20"/>
          <w:szCs w:val="20"/>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warning letters or untitled letters;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 monetary fines;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filed by us,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imposition of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drug candidates and generate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regulatory action, whether pre- or post-approval, can also potentially lead to product liability claims and increase our product liability exposure.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906"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the success of our drug candidates, and those we have royalty rights to, which have not yet demonstrated efficacy for their target or any other indications. If we are unable to generate revenues from our drug candidates, our ability to create stockholder value will be limited.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drug candidates are in various stages of clinical development.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aspects of our business depend on the successful development, regulatory approval and commercialization of our drug candidates, which may never occur.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required regulatory approvals for a drug candidate, we will not be able to commercialize such drug candidate and our ability to generate revenues will be limited.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drug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depends on the receipt of regulatory approval and the issuance of such regulatory approvals is uncertain and subject to a number of risks, including the following:</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toxicology studies may not support the filing of an investigational new drug application for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or Institutional Review Boards (“IRBs”)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provide acceptable evidence of our drug candidates’ safety and efficacy;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be satisfactory or may not meet the level of statistical or clinical significance required by the FDA, the European Medicines Agency (the “EMA”), or other regulatory agencies for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dosing of our drug candidates in a particular clinical trial may not be at an optimal level;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in our clinical trials may suffer adverse effects for reasons that may or may not be related to our drug candidates;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may not be sufficient to support the submission of an NDA, BLA or other submission or to obtain regulatory approval in the United States or elsewhere;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Excluding any activities through our ownership interest in Eton, we have not received regulatory approval to market our drug candidates in any jurisdiction. We have only limited experience in filing the applications necessary to gain regulatory approvals and expect to rely on consultants and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Medicare Modernization Act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Health Care Reform Law remains subject to legislative efforts to repeal, modify or delay the implementation of the law. Efforts to date have generally been unsuccessful.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or modification in the implementation of the Health Care Reform Law on us at this time.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candidates may face competition sooner than expected.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NDAs for drugs containing the original active agent. Even if our drug candidates are considered to be reference products eligible for three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completely dependent on third parties to manufacture our branded drug products and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have, nor do we plan to acquire, the capability or infrastructure to manufacture the active pharmaceutical ingredient (“API”) in our drug candidates for use in our clinical trials or for commercial product. In addition, we do not have the capability to manufacture any of our branded drug products and candidates as a finished drug product for commercial distribution. As a result, we are and will be obligated to rely on contract manufacturers. Other than through our agreements with Novartis, we have not entered into an agreement with any contract manufacturers for commercial supply and may not be able to engage a contract manufacturer for commercial supply of any of our drug products and candidates on favorable terms to us, or at all.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products and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drug candidates.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third-party manufacturing partners, or the lack of capacity available at our third-party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manufacturing problem or the loss of a contract manufacturer could be disruptive to our operations and result in lost sales. Additionally, we rely on third parties to supply the raw materials needed to manufacture our existing and potential products. Any business interruptions resulting from geopolitical actions, including war and terrorism, adverse public health developments such as the outbreak of the COVID-19 coronavirus, or natural disasters including earthquakes, typhoons, floods and fires, could affect our supply chain.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guarantee that our future manufacturing and supply partners will be able to reduce the costs of commercial scale manufacturing of any of our drug candidates over time. If the commercial-scale manufacturing costs of any of our drug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foreign regulatory authority failing to grant permission to proceed and placing the clinical study on hold;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for clinical testing failing to enroll or remain in our trials at the rate we expect;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drug candidates, or participating in competing clinical studies;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on similar technologies and products raising safety and/or efficacy concerns;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of the clinical sites from trial protocols or dropping out of a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CRO to execute any clinical trials for any reason;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though we may apply for orphan drug designation for a drug candidate, we may not be able to obtain orphan drug marketing exclusivity.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the Senior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2021, we issued $115,250,000 aggregate principal amount of senior notes due in part in 2026 and in 2027 (the “Notes”). We may incur additional indebtedness in the future. 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debt instruments contain, or from time to time may contain, various restrictive covenants, including, among others, our obligation to deliver certain financial and other information, our obligation to comply with certain notice and insurance requirements, and our inability, without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lenders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under which the Notes were issued contains limited protection for holders of the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indenture under which the Notes were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the holders of the Notes. In particular, the terms of the indenture and the Notes do not place any restrictions on our or our subsidiaries’ ability to:</w:t>
      </w:r>
    </w:p>
    <w:p>
      <w:pPr>
        <w:spacing w:after="0" w:line="180" w:lineRule="exact"/>
        <w:rPr>
          <w:sz w:val="20"/>
          <w:szCs w:val="20"/>
          <w:color w:val="auto"/>
        </w:rPr>
      </w:pPr>
    </w:p>
    <w:p>
      <w:pPr>
        <w:jc w:val="both"/>
        <w:ind w:left="660" w:hanging="328"/>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debt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subordinated in right of payment to the Notes;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indenture does not include any protection against certain events, such as a change of control, leveraged recapitalization, “going private” transaction (which may result in a significant increase of our indebtedness), restructuring or similar transactions.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the holders of the Notes, including making it more difficult for us to satisfy our obligations with respect to the Notes or negatively affecting the trading value of the Notes.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value of the Notes.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general, as market interest rates rise, notes bearing interest at a fixed rate decline in value. Consequently, if the market interest rates increase, the market value of the Notes may decline. We cannot predict the future level of market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lack of an active trading market for the Notes could adversely affect the market price of the Notes or limit a holder’s ability to sell them.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Notes are quoted on Nasdaq under the symbols “HROWL” and “HROWM”. Although the Notes are quoted, we cannot provide any assurances that an active trading market will be maintained for the Notes or that a holder will be able to sell the Notes. If the Notes are traded, they may trade at a discount from their initial offering price depending on prevailing interest rates, the market for similar securities, our credit ratings, general economic conditions, our financial condition, performance and prospects and other factors. The underwriters of the Notes may make a market in the Notes, but they are not obligated to do so. The underwriters may discontinue any market-making in the Notes at any time at their sole discretion. Accordingly, we cannot assure a holder that a liquid trading market will develop for the Notes, that a holder will be able to sell the Notes at a particular time or that the price received will be favorable. To the extent an active trading market is not maintained, the liquidity and trading price for the Notes may be harmed. Accordingly, a holder may be required to bear the financial risk of an investment in the Notes for an indefinite period of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rating for the Notes could at any time be revised downward or withdrawn entirely at the discretion of the issuing rating agency.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obtained a rating for the Notes. Ratings only reflect the views of the issuing rating agency or agencies and such ratings could at any time be revised downward or withdrawn entirely at the discretion of the issuing rating agency. A rating is not a recommendation to purchase, sell or hold the Notes. Ratings do not reflect market prices or suitability of a security for a particular investor and the rating of the Notes may not reflect all risks related to us and our business, or the structure or market value of the Notes. We may elect to issue other securities for which we may seek to obtain a rating in the future. If we issue other securities with ratings lower than market expectations or that are subsequently lowered or withdrawn, the market for or the market value of the Notes could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enter into various transactions that could increase the amount of our outstanding debt or adversely affect our capital structure or credit rating.</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certain limited exceptions, the terms of the Notes do not prevent us from entering into a variety of acquisition, divestiture, refinancing, recapitalization or other highly leveraged transactions. As a result, we could enter into any such transaction even though the transaction could increase the total amount of our outstanding indebtedness, adversely affect our capital structure or credit rating or otherwise adversely affect the holders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results. If we cannot provide reliable financial results, our consolidated financial statements could be misstated, our reputation may be harmed and the trading price of our common stock could decline. As we discuss in Item 9A of this Annual Report, our management concluded that our internal controls over financial reporting were effective as of December 31, 2022.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A consistently active trading market for shares of our common stock may not be sustained.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trading in our common stock has been sporadic and volatile and our common stock has been “thinly-traded.” There have been, and may in the future be, extended periods when trading activity in our shares is minimal,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could fluctuate widely in response to various factors, many of which are beyond our control, including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doing so in the foreseeable future. Any payment of dividends on our common stock would depend on contractual restrictions,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Offers or availability for sale of a substantial number of shares of our common stock may cause the price of our common stock to decline.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Our general business strategy may be adversely affected by any such economic downturn, volatile business environment and continued unpredictable and unstable market conditions. If the equity and credit markets deteriorate, it may make any debt or equity financing more difficult to complete, more costly, and more dilutive. In the event the Company or one of its subsidiaries needed to access additional capital, failure to secure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approximately 35,300 square feet of lab, warehouse, and office space in Ledgewood, New Jersey, in three separate suites. The current lease term expires on July 31, 2027 and includes options to extend the lease term through 2037. This space serves as an outsourcing facility and pharmacy for ImprimisRx.</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approximately 5,500 square feet of office space in Nashville, Tennessee. The current lease term expires on December 31, 2024 and includes options to extend the lease term through 2034. This office serves as our corporate headquarters.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approximately 5,800 square feet of office space in Carlsbad, California. The current lease term began January 1, 2022 and expires on March 31, 2025 and includes an option to extend the lease term through March 2028. This office generally supports the sales, general and administrative functions.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approximately 11,600 square feet of lab and office space in Nashville, Tennessee. The current lease term commenced in June 2022 and expires in June 2027. This office generally serves as our customer service center and analytical laboratory.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lease additional space in the near term to accommodate an internally run analytical lab and expanded office 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18 to our consolidated financial statements included in this Annual Report for information on various legal proceedings, which is incorporated into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under the symbol “HROW” and the Notes are listed on The Nasdaq Stock Market LLC under the symbols “HROWL” and “HROWM.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March 15, 2023, there were approximately 74 stockholders of record (excluding an indeterminable number of stockholders whose shares are held in street or “nominee” name)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not paid any dividends on our common stock since our inception and do not expect to pay dividends on our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purchase any of our equity securities during the fourth quarter of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the related notes contained in this Annual Report on Form 10-K (this “Annual Report”). Our consolidated financial statements have been prepared and, unless otherwise stated, the information derived therefrom as presented in this discussion and analysis is presented, in accordance with accounting principles generally accepted in the United States (GAAP). In addition to historical information, the following discussion contains forward-looking statements based upon our current views, expectations and assumptions that are subject to risks and uncertainties. Actual results may differ substantially from those expressed or implied by any forward-looking statements due to a number of factors, including, among others, the risks described in the “Risk Factors” section and elsewhere in this Annual Report.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discussion and analysis, unless the context indicates otherwise, the terms the “Company,” “Harrow” “we,” “us” and “our” refer to Harrow Health, Inc. and its consolidated subsidiaries, consisting of Imprimis Rx NJ, LLC, Imprimis NJOF, LLC, ImprimisRx, LLC, and Harrow Eye,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ophthalmic-focused pharmaceutical company. Our business specializes in the development, production, sale, and distribution of innovative prescription medications that offer unique competitive advantages and serve unmet needs in the marketplace through our subsidiaries and deconsolidated companies. We serve ophthalmologists and optometrists by providing FDA-approved branded ophthalmic pharmaceuticals and innovative compounded prescription medicines that are accessible and affordable. We own the U.S. commercial rights to ten branded ophthalmic pharmaceutical</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products, including IHEEZO</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IOPIDINE® (both approved concentrations), MAXITROL® eye drops, MOXEZA®, ILEVRO®, NEVANAC®, VIGAMOX®, MAXIDEX®, and TRIESENCE®. We own and operate ImprimisRx, one of the nation’s leading ophthalmology-focused pharmaceutical-compounding businesses, and our branded drugs are marketed under our Harrow name. In addition, we also have non-controlling equity positions in Surface Ophthalmics, Inc. (“Surface”) and Melt Pharmaceuticals, Inc. (“Melt”), both companies that began as subsidiaries of Harrow and were subsequently carved-out of our corporate structure and deconsolidated from our financial statements. We also own royalty rights in certain drug candidates being developed by Surface and Melt.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the primary factors affecting our performance are our ability to increase revenues of our branded pharmaceutical products, proprietary compounded formulations and certain non-proprietary products, grow and gain operating efficiencies in our operations, potential regulatory-related restrictions, optimize pricing and obtain reimbursement options for our drug products, and continue to pursue development and commercialization opportunities for certain of our ophthalmology and other assets that we have not yet made commercially available.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describes certain developments in 2022 to date that are important to understand our financial condition and results of operations. See the notes to our condensed consolidated financial statements included in this Annual Report for additional information about each of these developments.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 of Non-Ophthalmic Assets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October 2022, we entered into an Asset Purchase Agreement (the “RPC Agreement”) with Innovation Compounding Pharmacy, LLC (the “Buyer”). Under the terms of the RPC Agreement, the Company agreed to sell substantially all its assets associated with its non-ophthalmology related compounding business, including but not limited to, certain intellectual property rights, customer lists, databases, and formulations (the “RPC Assets”). The Buyer agreed to make offers of employment to six of the Company’s employees that were responsible for the sales activities associated with the RPC Assets. In connection with the RPC Agreement, the Company entered into a separate transition services agreement with the Buyer related to providing on going services, such as procuring and dispensing prescription orders associated with RPC Assets. The Company expects to provide transition services to the Buyer for six to nine months following the effective date of the RPC Agreement. Under the terms of the RPC Agreement, the Buyer paid to the Company an aggregate cash amount of $6,000,000 on October 5, 2022. In addition, the Buyer is obligated to pay up to $4,500,000 to the Company based on mutually agreed upon revenue milestones during the calendar year 2023.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Melt Loan Amendments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April and September 2022, we entered into a First Amendment and Second Amendment (collectively the “Amendments”) to our loan and security agreement previously entered into on September 1, 2021 with Melt. The Amendments provide for the following:</w:t>
      </w:r>
    </w:p>
    <w:p>
      <w:pPr>
        <w:spacing w:after="0" w:line="162" w:lineRule="exact"/>
        <w:rPr>
          <w:sz w:val="20"/>
          <w:szCs w:val="20"/>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is required to maintain a minimum cash balance of $7,000,000 for one year following the effective date of the Second Amendment; and a minimum cash balance of $5,000,000 at all times after the one-year anniversary of the effective date of the Amendments.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by which all amounts owed under the loan agreement are payable was extended to June 1, 2023, which can be extended further to September 1, 2026 following a qualified financing of at least $10,000,0000, unless otherwise accelerated pursuant to the terms of the loan agreement.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“material adverse effect” was amended so that such an effect will be deemed to have occurred if the data from the Phase 2 study of MELT-300 fails to demonstrate the benefit of the combination MELT-300 study drug versus the individual components of the same MELT-300 study drug, as reasonably determined by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ILEVRO, NEVANAC, VIGAMOX, MAXIDEX and TRIESENCE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2022, we entered into an Asset Purchase Agreement (the “Purchase Agreement”) with Novartis Technology, LLC and Novartis Innovative Therapies AG (together, “Novartis”), pursuant to which the Company agreed to purchase from Novartis the exclusive commercial rights to assets associated with the following ophthalmic products (collectively the “Fab 5 Products”) in the U.S. (the “Fab 5 Acquisition”):</w:t>
      </w:r>
    </w:p>
    <w:p>
      <w:pPr>
        <w:spacing w:after="0" w:line="176" w:lineRule="exact"/>
        <w:rPr>
          <w:sz w:val="20"/>
          <w:szCs w:val="20"/>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ILEVRO® (nepafenac ophthalmic suspension) 0.3%, a non-steroidal, anti-inflammatory eye drop indicated for pain and inflammation associated with cataract surgery.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NEVANAC® (nepafenac ophthalmic suspension) 0.1%, a non-steroidal, anti-inflammatory eye drop indicated for pain and inflammation associated with cataract surgery.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VIGAMOX® (moxifloxacin hydrochloride ophthalmic solution) 0.5%, a fluoroquinolone antibiotic eye drop for the treatment of bacterial conjunctivitis caused by susceptible strains of organisms.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MAXIDEX® (dexamethasone ophthalmic suspension) 0.1%, a steroid eye drop for steroid-responsive inflammatory conditions of the palpebral and bulbar conjunctiva, cornea, and anterior segment of the globe.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TRIESENCE® (triamcinolone acetonide injectable suspension) 40 mg/ml, a steroid injection for the treatment of certain ophthalmic diseases and for visualization during vitrectomy.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closed the Fab 5 Acquisition on January 20, 2023. Under the terms of the Purchase Agreement, we made a one-time payment of $130,000,000 at closing, with up to another $45,000,000 due in a milestone payment related to the timing of the commercial availability of TRIESENCE. Pursuant to the Purchase Agreement and various ancillary agreements, immediately following the closing and subject to certain conditions, for a period that we expect to last approximately six months, and prior to the transfer of the Fab 5 Products new drug applications (the “NDAs”) to us, Novartis will continue to sell the Fab 5 Products on our behalf and transfer the net profit from the sale of the Fab 5 Products to us. Novartis has agreed to supply certain Fab 5 Products to the Company for a period of time after the NDAs are transferred to us and to assist with technology transfer of the Fab 5 Products manufacturing to other third-party manufacturers, if needed.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Offering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2022, we entered into an underwriting agreement (the “Common Stock Underwriting Agreement”) with B. Riley Securities, Inc. related to a registered direct offering of shares of the Company’s common stock to certain accredited investors, at an offering price of $10.52. Under the terms of the Common Stock Underwriting Agreement we sold 2,376,426 shares of our common stock for gross proceeds of $25,000,002.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Offering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2022, the Company entered into an underwriting agreement with B. Riley Securities, Inc., as representative of the several underwriters named therein, pursuant to which we agreed to sell $35,000,000 aggregate principal amount of 11.875% senior notes due 2027 (the “2027 Notes”) plus up to an additional $5,250,000 aggregate principal amount of 11.875% senior notes due 2027 pursuant to the underwriters’ option to purchase additional 2027 Notes, which was exercised in January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B. Riley Loan and Security Agreement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14, 2022 (the “Effective Date”), we entered into a Loan and Security Agreement (the “BR Loan”) with B. Riley Commercial Capital, LLC, as Administrative Agent for the Lenders. The proceeds from the BR Loan were used to finance the Fab 5 Acquisition.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BR Loan provided for a loan facility of up to $100,000,000 to the Company with a maturity date of December 14, 2025, at an interest rate of 10.875% per annum. The BR Loan is secured by an intellectual property security agreement and by all assets of the Company and its material subsidiaries. In January 2023, $59,750,000 of principal amount was funded pursuant to the BR Loan simultaneously with the consummation of the Fab 5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period-to-period comparisons of our financial results are not necessarily indicative of results for any future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2022 and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revenues include amounts recorded from sales of proprietary and non-proprietary pharmaceutical compounded drug formulations and revenues received from royalty and milestone payments owed to us pursuant to out-license arrangements.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revenues for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Pr>
          <w:p>
            <w:pPr>
              <w:spacing w:after="0"/>
              <w:rPr>
                <w:sz w:val="21"/>
                <w:szCs w:val="21"/>
                <w:color w:val="auto"/>
              </w:rPr>
            </w:pPr>
          </w:p>
        </w:tc>
        <w:tc>
          <w:tcPr>
            <w:tcW w:w="12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37"/>
        </w:trPr>
        <w:tc>
          <w:tcPr>
            <w:tcW w:w="3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sales,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83,524,000</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69,104,000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Commission revenues</w:t>
            </w: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3,866,000</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3,253,000</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613,000</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Transfer of profits</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1,205,000</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99,000</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1,106,000</w:t>
            </w:r>
          </w:p>
        </w:tc>
      </w:tr>
      <w:tr>
        <w:trPr>
          <w:trHeight w:val="236"/>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License revenues</w:t>
            </w:r>
          </w:p>
        </w:tc>
        <w:tc>
          <w:tcPr>
            <w:tcW w:w="20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3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88,595,000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72,476,000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revenues between periods was related to an increase in sales volumes of our ophthalmology products, an increase in commissions attributable to sales of Dexycu® and transfer of profits from recently acquired products. In June of 2022, the Company completed the transfer from the seller to Harrow of Iopidine and Maxitrol NDAs and relaunched those products. As a result, we will not record revenues associated with the transfer of profits associated with those products in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depreciation and amortization of certain intangibles and other related expenses.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cost of sales for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Pr>
          <w:p>
            <w:pPr>
              <w:spacing w:after="0"/>
              <w:rPr>
                <w:sz w:val="21"/>
                <w:szCs w:val="21"/>
                <w:color w:val="auto"/>
              </w:rPr>
            </w:pPr>
          </w:p>
        </w:tc>
        <w:tc>
          <w:tcPr>
            <w:tcW w:w="12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37"/>
        </w:trPr>
        <w:tc>
          <w:tcPr>
            <w:tcW w:w="3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Variance</w:t>
            </w:r>
          </w:p>
        </w:tc>
      </w:tr>
      <w:tr>
        <w:trPr>
          <w:trHeight w:val="23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25,383,000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18,214,000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our cost of sales between periods was largely attributable to an increase in unit volumes sold and increased direct and indirect costs associated with production of our products during the year ended December 31, 2022 compared to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Profit and Margin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4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63,212,000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54,262,000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71.3</w:t>
            </w:r>
          </w:p>
        </w:tc>
        <w:tc>
          <w:tcPr>
            <w:tcW w:w="340" w:type="dxa"/>
            <w:vAlign w:val="bottom"/>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74.9</w:t>
            </w:r>
          </w:p>
        </w:tc>
        <w:tc>
          <w:tcPr>
            <w:tcW w:w="34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22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99"/>
              </w:rPr>
              <w:t>44</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gross margin is primarily attributable to amortization of acquired NDAs beginning in January 2022, along with a one-time adverse production related event in April 2022, increased discounts provided during 2022 associated with volume-based purchases and increased (direct and indirect) production costs incurred during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selling, general and administrative expenses for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Pr>
          <w:p>
            <w:pPr>
              <w:spacing w:after="0"/>
              <w:rPr>
                <w:sz w:val="21"/>
                <w:szCs w:val="21"/>
                <w:color w:val="auto"/>
              </w:rPr>
            </w:pPr>
          </w:p>
        </w:tc>
        <w:tc>
          <w:tcPr>
            <w:tcW w:w="12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36"/>
        </w:trPr>
        <w:tc>
          <w:tcPr>
            <w:tcW w:w="3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3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58,243,000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41,315,000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16,928,000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between periods was primarily attributable to an increase in consulting expenses associated with regulatory improvements, to support the transition of recent product acquisitions, and an increase in expenses related to the addition of new employees in sales, marketing and other departments to support current and expected growth, including the anticipated commercial launch of IHEEZO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(“R&amp;D”) expenses primarily include expenses related to acquired in-process R&amp;D, the development of acquired intellectual property, investigator-initiated research and evaluations and other costs related to the clinical development of our assets and drug candidates.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R&amp;D expenses for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Pr>
          <w:p>
            <w:pPr>
              <w:spacing w:after="0"/>
              <w:rPr>
                <w:sz w:val="21"/>
                <w:szCs w:val="21"/>
                <w:color w:val="auto"/>
              </w:rPr>
            </w:pPr>
          </w:p>
        </w:tc>
        <w:tc>
          <w:tcPr>
            <w:tcW w:w="12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36"/>
        </w:trPr>
        <w:tc>
          <w:tcPr>
            <w:tcW w:w="3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7"/>
              </w:rPr>
              <w:t>Variance</w:t>
            </w:r>
          </w:p>
        </w:tc>
      </w:tr>
      <w:tr>
        <w:trPr>
          <w:trHeight w:val="23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research and development expenses decreased from the same period in 2021 primarily as a result of a one-time payment for acquired research and development incurred in 2021 related to the acquisition of IHEEZO.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and Disposal of Long-Lived Assets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we recorded a loss of $249,000, of which, $99,000 was related to the impairment of patents and patent applications and $150,000 was related to equipment that was no longer in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net was $7,244,000 during the year ended December 31, 2022 compared to $5,436,000 during the year ended December 31, 2021. The increase was primarily due to an increase in the principal balance of our loans throughout the two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Unconsolidated Entities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we recorded a loss of $11,133,000 and $5,334,000, respectively, for our share of losses based on our ownership of Melt and Surface.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Loss from Eton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a loss of $2,914,000 related to the change in fair market value of Eton’s common stock for the year ended December 31, 2022. We recorded a loss of $10,126,000 related to our investment in Eton’s common stock for the year ended December 31, 2021, including a realized loss of $1,406,000 from the sale of 1,518,000 shares of Eton’s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Early Extinguishment of Debt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we recorded a loss from early extinguishment of $756,000 related the payment of all outstanding obligations to the Company’s previous senior lender, SWK Funding, LLC, and its partners.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Forgiveness of PPP Loan</w:t>
      </w:r>
    </w:p>
    <w:p>
      <w:pPr>
        <w:spacing w:after="0" w:line="2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During the year ended December 31, 2021, we recorded gain on forgiveness of loan of $1,967,000 related to the forgiveness of our PPP Loan.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095"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Gain on Sale of Non-Ophthalmology Assets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recorded a gain on the sale of our non-ophthalmology assets to Innovation Compounding Pharmacy, LLC of $5,259,000.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we recorded other income, net of $102,000 which was primarily the result of income of $102,000 related to the transition services provided as part of non-ophthalmology related compounding product line. During the year ended December 31, 2021, we recorded other income, net of $197,000. This was primarily the result of income of $238,000 related to negotiation of old payables and expense of $41,000 related to loss on disposal of property, plant and equipment.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net loss for the years ended December 31, 2022 and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(14,086,000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(18,479,000</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220" w:type="dxa"/>
            <w:vAlign w:val="bottom"/>
            <w:vMerge w:val="continue"/>
          </w:tcPr>
          <w:p>
            <w:pPr>
              <w:spacing w:after="0"/>
              <w:rPr>
                <w:sz w:val="17"/>
                <w:szCs w:val="17"/>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(0.69</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cash on hand at December 31, 2022 was $96,270,000, compared to $42,167,000 at December 31, 2021. Since inception through December 31, 2022, we incurred aggregate losses of $109,493,000.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we believe that cash and cash equivalents of $96,270,000 at December 31, 2022, along with proceeds received from the BR Loan will be sufficient to sustain our planned level of operations and capital expenditures for at least the next 12 months. We also may consider the sale of certain assets including, but not limited to, part of, or all of, our ownership interest in Eton, Surface, Melt, and/or any of our consolidated subsidiaries. However, our plans for this period may change, our estimates of our operating expenses, capital expenditures and working capital requirements could be inaccurate, we may pursue acquisitions of products, companies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use our current cash position and funds generated from our operations and any financing to pursue our business plan, which includes developing and commercializing FDA-approved products, compounded formulations, and technologies, developing our overall operations, pursuing potential future strategic transactions as opportunities arise, including potential acquisitions of products, compounding pharmacies and outsourcing facilities, drug companies and manufacturers,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provides detailed information about our net cash flows for the years ended December 31, 2022 and 2021:</w:t>
      </w:r>
    </w:p>
    <w:p>
      <w:pPr>
        <w:spacing w:after="0" w:line="221"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5715</wp:posOffset>
            </wp:positionV>
            <wp:extent cx="20999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99945" cy="1714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1"/>
                <w:szCs w:val="21"/>
                <w:color w:val="auto"/>
              </w:rPr>
            </w:pPr>
          </w:p>
        </w:tc>
        <w:tc>
          <w:tcPr>
            <w:tcW w:w="2260" w:type="dxa"/>
            <w:vAlign w:val="bottom"/>
          </w:tcPr>
          <w:p>
            <w:pPr>
              <w:spacing w:after="0"/>
              <w:rPr>
                <w:sz w:val="21"/>
                <w:szCs w:val="21"/>
                <w:color w:val="auto"/>
              </w:rPr>
            </w:pPr>
          </w:p>
        </w:tc>
      </w:tr>
      <w:tr>
        <w:trPr>
          <w:trHeight w:val="24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60" w:type="dxa"/>
            <w:vAlign w:val="bottom"/>
          </w:tcPr>
          <w:p>
            <w:pPr>
              <w:spacing w:after="0"/>
              <w:rPr>
                <w:sz w:val="21"/>
                <w:szCs w:val="21"/>
                <w:color w:val="auto"/>
              </w:rPr>
            </w:pP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34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1,705,000</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5,082,000</w:t>
            </w:r>
          </w:p>
        </w:tc>
        <w:tc>
          <w:tcPr>
            <w:tcW w:w="226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(1,743,000)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(18,686,000)</w:t>
            </w:r>
          </w:p>
        </w:tc>
        <w:tc>
          <w:tcPr>
            <w:tcW w:w="2260" w:type="dxa"/>
            <w:vAlign w:val="bottom"/>
          </w:tcPr>
          <w:p>
            <w:pPr>
              <w:spacing w:after="0"/>
              <w:rPr>
                <w:sz w:val="18"/>
                <w:szCs w:val="18"/>
                <w:color w:val="auto"/>
              </w:rPr>
            </w:pPr>
          </w:p>
        </w:tc>
      </w:tr>
      <w:tr>
        <w:trPr>
          <w:trHeight w:val="23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54,141,000</w:t>
            </w:r>
          </w:p>
        </w:tc>
        <w:tc>
          <w:tcPr>
            <w:tcW w:w="3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51,470,000</w:t>
            </w:r>
          </w:p>
        </w:tc>
        <w:tc>
          <w:tcPr>
            <w:tcW w:w="2260" w:type="dxa"/>
            <w:vAlign w:val="bottom"/>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54,103,000</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37,866,000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3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42,167,000</w:t>
            </w:r>
          </w:p>
        </w:tc>
        <w:tc>
          <w:tcPr>
            <w:tcW w:w="3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4,301,000</w:t>
            </w:r>
          </w:p>
        </w:tc>
        <w:tc>
          <w:tcPr>
            <w:tcW w:w="2260" w:type="dxa"/>
            <w:vAlign w:val="bottom"/>
          </w:tcPr>
          <w:p>
            <w:pPr>
              <w:spacing w:after="0"/>
              <w:rPr>
                <w:sz w:val="20"/>
                <w:szCs w:val="20"/>
                <w:color w:val="auto"/>
              </w:rPr>
            </w:pPr>
          </w:p>
        </w:tc>
      </w:tr>
      <w:tr>
        <w:trPr>
          <w:trHeight w:val="23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96,270,000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42,167,000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9"/>
        </w:trPr>
        <w:tc>
          <w:tcPr>
            <w:tcW w:w="46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46</w:t>
            </w: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$1,705,000 in 2022, compared to $5,082,000 in the prior year. Net cash provided by operating activities during the year ended December 31, 2022 decreased primarily as a result of an increase in operating expenses during year in preparation of the launch of IHEEZO and in support of operationalizing other product acquisitions.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 2022 and 2021 was $(1,743,000) and $(18,686,000), respectively. Cash used in investing activities during the 2022 period was primarily associated with equipment and software purchases and upgrades along with investments in our intellectual property portfolio, offset by cash received on the sale of our non-ophthalmic assets. Cash used in investing activities in 2021 was primarily associated with cash payments made in connection with the Melt note receivable and the acquisition of MAXITRO, IOPIDINE and MOXEZA, offset by cash received through the sale of a portion of our Eton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in 2022 and 2021 was $54,141,000 and $51,470,000, respectively. Net cash provided by financing activities during the year ended December 31, 2022 was primarily related to net proceeds from the sale of $35,000,000 Notes and sale of common stock. Net cash provided by financing activities during the year ended December 31, 2021 was primarily related to net proceeds received from the sale of $75,000,000 senior notes due April 2026, net of the payment of all outstanding obligations to the Company’s previous senior lender, SWK Funding, LLC, and its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sources of cash consist of cash provided by operating activities from our ImprimisRx business, our brand ophthalmic pharmaceuticals business, proceeds from the sale of the Notes and sale of Eton common stock. We may also sell some or all of our ownership interests in Surface, Melt or our other subsidiaries, along with the some or all of the remaining portion of our Eton common stock.</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changing trends and overall economic outlook, including the historic interim stay-at-home orders and bans on elective surgeries associated with the COVID-19 pandemic, created uncertainty surrounding our operating outlook and may impact our future operating results if there is a resurgence in COVID-19 cases in the U.S. In addition, we may acquire new products, product candidates and/or businesses and,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on the use of estimates and make assumptions that impact our financial condition and results. These estimates and assumptions are based on historical results and trends as well as our forecasts of how results and trends might change in the future. Although we believe that the estimates we use are reasonable, actual results could differ materially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0" w:name="page51"/>
    <w:bookmarkEnd w:id="5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are critical to understanding our business, results of operations and financial condition because they involve the use of more significant judgments and estimates in the preparation of our consolidated financial statements. An accounting policy is deemed to be critical if it requires an accounting estimate to be made based on assumptions about matters that are highly uncertain at the time the estimate is made, and any changes in the assumptions used in making the accounting estimates that are reasonably likely to occur could materially impact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Deferred Revenue</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account for contracts with customers in accordance with Accounting Standards Codification (“ASC”) 606, </w:t>
      </w:r>
      <w:r>
        <w:rPr>
          <w:rFonts w:ascii="Times New Roman" w:cs="Times New Roman" w:eastAsia="Times New Roman" w:hAnsi="Times New Roman"/>
          <w:sz w:val="18"/>
          <w:szCs w:val="18"/>
          <w:i w:val="1"/>
          <w:iCs w:val="1"/>
          <w:color w:val="auto"/>
        </w:rPr>
        <w:t>Revenues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We have two primary streams of revenue: (1) revenue recognized from our sale of products within our pharmacy services and (2)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from intellectual property license and asset purchase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 from Pharmacy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prescription medications directly through our pharmacy, outsourcing facility and 3PL partner. Revenue from our pharmacy services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principles of ASC 606, we have identified the following:</w:t>
      </w:r>
    </w:p>
    <w:p>
      <w:pPr>
        <w:spacing w:after="0" w:line="178" w:lineRule="exact"/>
        <w:rPr>
          <w:sz w:val="20"/>
          <w:szCs w:val="20"/>
          <w:color w:val="auto"/>
        </w:rPr>
      </w:pPr>
    </w:p>
    <w:p>
      <w:pPr>
        <w:jc w:val="both"/>
        <w:ind w:left="340" w:hanging="332"/>
        <w:spacing w:after="0" w:line="267"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Identify the contract(s) with a customer</w:t>
      </w:r>
      <w:r>
        <w:rPr>
          <w:rFonts w:ascii="Times New Roman" w:cs="Times New Roman" w:eastAsia="Times New Roman" w:hAnsi="Times New Roman"/>
          <w:sz w:val="18"/>
          <w:szCs w:val="18"/>
          <w:color w:val="auto"/>
        </w:rPr>
        <w:t>: A contract is deemed to exist when the customer places an order through receipt of a prescription, via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order or via receipt of a purchase order from a customer. For branded products, orders are received through our 3PL partner, and the customer takes title of the products via formal purchase orders placed and fulfilled.</w:t>
      </w:r>
    </w:p>
    <w:p>
      <w:pPr>
        <w:spacing w:after="0" w:line="20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Identify the performance obligations in the contract</w:t>
      </w:r>
      <w:r>
        <w:rPr>
          <w:rFonts w:ascii="Times New Roman" w:cs="Times New Roman" w:eastAsia="Times New Roman" w:hAnsi="Times New Roman"/>
          <w:sz w:val="18"/>
          <w:szCs w:val="18"/>
          <w:color w:val="auto"/>
        </w:rPr>
        <w:t>: Obligations for fulfillment of our contracts consist of delivering the product to customers at their</w:t>
      </w:r>
    </w:p>
    <w:p>
      <w:pPr>
        <w:spacing w:after="0" w:line="29" w:lineRule="exact"/>
        <w:rPr>
          <w:rFonts w:ascii="Times New Roman" w:cs="Times New Roman" w:eastAsia="Times New Roman" w:hAnsi="Times New Roman"/>
          <w:sz w:val="18"/>
          <w:szCs w:val="18"/>
          <w:color w:val="auto"/>
        </w:rPr>
      </w:pPr>
    </w:p>
    <w:p>
      <w:pPr>
        <w:jc w:val="both"/>
        <w:ind w:left="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destination. ASU 2016-10 was issued in April 2016 and amended ASC 606 for shipping and handling activities as follows: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We have elected to treat its shipping and handling activities as a fulfillment cost.</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Determine the transaction price</w:t>
      </w:r>
      <w:r>
        <w:rPr>
          <w:rFonts w:ascii="Times New Roman" w:cs="Times New Roman" w:eastAsia="Times New Roman" w:hAnsi="Times New Roman"/>
          <w:sz w:val="18"/>
          <w:szCs w:val="18"/>
          <w:color w:val="auto"/>
        </w:rPr>
        <w:t>: The transaction price is based on an amount that reflects the consideration to which we expect to be entitled,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accruals for estimated rebates, wholesaler chargebacks, discounts and other deductions (collectively, sales deductions) and an estimate for returns and replacements established at the time of sale. We utilize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p>
      <w:pPr>
        <w:spacing w:after="0" w:line="210"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Allocate the transaction price to the performance obligations in the contract</w:t>
      </w:r>
      <w:r>
        <w:rPr>
          <w:rFonts w:ascii="Times New Roman" w:cs="Times New Roman" w:eastAsia="Times New Roman" w:hAnsi="Times New Roman"/>
          <w:sz w:val="18"/>
          <w:szCs w:val="18"/>
          <w:color w:val="auto"/>
        </w:rPr>
        <w:t>: Given that there is only one performance obligation for product sales,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is necessary.</w:t>
      </w:r>
    </w:p>
    <w:p>
      <w:pPr>
        <w:spacing w:after="0" w:line="185"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Recognize revenue when (or as) the entity satisfies a performance obligation</w:t>
      </w:r>
      <w:r>
        <w:rPr>
          <w:rFonts w:ascii="Times New Roman" w:cs="Times New Roman" w:eastAsia="Times New Roman" w:hAnsi="Times New Roman"/>
          <w:sz w:val="18"/>
          <w:szCs w:val="18"/>
          <w:color w:val="auto"/>
        </w:rPr>
        <w:t>: Revenue from products is recognized upon transfer of control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to a customer. This generally occurs upon shipment unless contractual terms with a customer state that transfer of control occurs at delivery.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 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entered into an agreement whereby we are paid a fee calculated based on sales we generate from a pharmaceutical product that is owned by a third party. The revenue earned from this arrangement is recognized, at which point there is no future performance obligation required by us and no consequential continuing involvement on our part to recognize the associated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Transfer of Acquired Product Profit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entered into an agreement whereby we purchased the exclusive commercial rights to assets associated with certain ophthalmic products from another pharmaceutical company (the “Seller”). During a temporary, six month transition period, the Seller continued to manufacture and market these products and transfer the net profit from the sale of the products to us. The revenue we recognized from the transfer of net profit was recognized at the time profit from the product sales was calculated by the Seller and confirmed by us, typically on a monthly basis, at which point there is no future performance obligation required and no consequential continuing involvement on our part to recognize the associated revenue. On a quarterly basis, the Seller invoiced us for all credits and reimbursements (“Chargebacks”) made to customers related to the products. We used historical actual experience to estimate Chargebacks associated with the net profit transferred. The estimate is recorded as a reduction in revenues in our consolidated statements of operations and accounts receivable in the consolidated balance sheets at the time the revenue is recognized.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Intellectual Property License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hold five intellectual property licenses and related agreements pursuant to which we have agreed to license or sell to a customer with the right to access our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Non-refundable fees that are not contingent on any future performance and require no consequential continuing involvement on our part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We defer recognition of non-refundable fees if it has continuing performance obligations without which the technology, right, product or service conveyed in conjunction with the non-refundable fee has no utility to the licensee and that are separate and independent of our performance under the other elements of the arrangement. In addition, if our continued involvement is required, through research and development services that are related to its proprietary know-how and expertise of the delivered technology or can only be performed by us, then such non-refundable fees are deferred and recognized over the period of continuing involvement. Guaranteed minimum annual royalties are recognized on a straight-line basis over the applicable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Eton Pharmaceuticals, Inc.</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own 1,982,000 shares of Eton common stock, which represented approximately 8% of the equity and voting interests of Eton as of December 31, 2022. At December 31, 2022, the fair market value of Eton’s common stock was $2.82 per share. In accordance with Accounting Standard Update (“ASU”) 2016-01, </w:t>
      </w:r>
      <w:r>
        <w:rPr>
          <w:rFonts w:ascii="Times New Roman" w:cs="Times New Roman" w:eastAsia="Times New Roman" w:hAnsi="Times New Roman"/>
          <w:sz w:val="18"/>
          <w:szCs w:val="18"/>
          <w:i w:val="1"/>
          <w:iCs w:val="1"/>
          <w:color w:val="auto"/>
        </w:rPr>
        <w:t>Financial Instruments-Overall (Subtopic 825-10): Recognition and Measurement of Financial Assets and Financial Liabilities</w:t>
      </w:r>
      <w:r>
        <w:rPr>
          <w:rFonts w:ascii="Times New Roman" w:cs="Times New Roman" w:eastAsia="Times New Roman" w:hAnsi="Times New Roman"/>
          <w:sz w:val="18"/>
          <w:szCs w:val="18"/>
          <w:color w:val="auto"/>
        </w:rPr>
        <w:t>, for the years ended December 31, 2022 and 2021, we recorded an investment loss from our Eton common stock position of $2,914,000 and $10,126,000 respectively, related to the change in fair market value of our investment in Eton during the measurement periods, including a realized loss of $1,406,000 from the sale of 1,518,000 shares of Eton’s common stock during the year ended December 31, 2021. As of December 31, 2022 and 2021, the fair market value of our investment in Eton was $5,589,000 and $8,503,000,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Surface Ophthalmics, Inc. – Related Party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own 3,500,000 common shares of Surface, which represented approximately 20% of the equity and voting interests as of December 31, 2022, and use the equity method of accounting for this investment, as management has determined that we have the ability to exercise significant influence over the operating and financial decisions of Surface. Under this method, we recognize earnings and losses in Surface in its consolidated financial statements and adjusts the carrying amount of its investment in Surface accordingly. Our share of earnings and losses are based on our ownership interest of Surface. Any intra-entity profits and losses are eliminated. We recorded equity in the net loss of Surface of $1,314,000 during the year ended December 31, 2021. As of December 31, 2022 and 2021, the carrying value of our investment in Surface was $0 and $0,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6 to our consolidated financial statements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Melt Pharmaceuticals, Inc. – Related Party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2018, we formed Melt as a wholly-owned subsidiary. In January and March of 2019, Melt entered into definitive stock purchase agreements (collectively, the “Melt Series A Preferred Stock Agreement”) with certain investors and closed on the purchase and sale of Melt’s Series A Preferred Stock (the “Melt Series A Stock”), totaling approximately $11,400,000 of proceeds (collectively the “Melt Series A Round”) at a purchase price of $5.00 per share. As a result, we lost voting and ownership control of Melt and ceased consolidating Melt’s financial statements.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At the time of deconsolidation, we recorded a gain of $5,810,000 and adjusted the carrying value in Melt to reflect the increased valuation of Melt and our new ownership interest in accordance with ASC 810-10-40-4(c),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own 3,500,000 common shares of Melt, which represented approximately 46% of its equity and voting interests as of December 31, 2022. We analyze our investment in Melt and related agreements on a regular basis to evaluate our position of variable interests in Melt. We no longer have a controlling position in Melt; however, we do have the ability to exercise significant influence over the operating and financial decisions of Melt. We use the equity method of accounting for this investment. Under this method, we recognize earnings and losses of Melt in its consolidated financial statements and adjusts the carrying amount of its investment in Melt accordingly. Our share of earnings and losses are based on our ownership interest of Melt. Any intra-entity profits and losses are eliminated. During the year ended December 31, 2021 we reduced our common stock investment in Melt to $0. As of December 31, 2022 and 2021 and at the time of entering into the Melt Loan Agreement, we owned 100% of the debt owed by Melt. Following the reduction of the carrying value of our common stock investment in Melt to $0 we began recording 100% of the equity method losses of Melt, based on our ownership of total debt owed by Melt. We recorded equity in net losses of Melt of $11,133,000 and $4,020,000 during the years ended December 31, 2021 and 2022, respectively. As of December 31, 2022, our investment in Melt was $0 and $139,000 is due from Melt for reimbursable expenses and amounts due under the Melt Master Service Agreement (“Melt MSA”).</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Notes 2 and 5 to our consolidated financial statements for more information and related party disclosure regarding Melt.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stock-based payments to employees, directors and consultants, including grants of stock options, warrants, restricted stock units and restricted stock, are recognized in the consolidated financial statements based upon their estimated fair values. We use the Black-Scholes option pricing model and Monte-Carlo simulation model to estimate the fair value of stock-based awards. Fair value is determined at the date of grant. The financial statement effect of forfeitures is estimated at the time of grant and revised, if necessary, if the actual effect differs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must estimate the actual current tax assets and liabilities and assess permanent and temporary differences that result from differing treatment of items for tax and accounting purposes. The temporary differences result in deferred tax assets and liabilities, which are included within the consolidated balance sheets. We must assess the likelihood that the deferred tax assets will be recovered from future taxable income and, to the extent we believe that recovery is not more likely than not, a valuation allowance must be established which reduces the amount of deferred tax assets recorded on the consolidated balance sheets. To the extent we establish a valuation allowance or increase or decrease this allowance in a period, the impact will be included in income tax expense in the consolidated statements of operations.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account for income taxes under the provisions of Financial Accounting Standards Board (the “FASB”)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of December 31, 2022 and 2021, there were no unrecognized tax benefits included in the consolidated balance sheets that would, if recognized, affect the effective tax rate. Our practice is to recognize interest and/or penalties related to income tax matters in income tax expense. We had no accrual for interest or penalties in its consolidated balance sheets at December 31, 2022 and 2021, and have not recognized interest and/or penalties in the consolidated statements of operations for the years ended December 31, 2022 and 2021. We are subject to taxation in the United States, California, Florida, Georgia, Illinois, New Jersey, New York, Tennessee, and Wisconsin. Our tax years since 2000 may be subject to examination by the federal and state tax authorities due to the carryforward of unutilized net operating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R&amp;D expenses consist of expenses incurred in performing research and development activities, including salaries and benefits, other overhead expenses, and costs related to clinical trials, contract services and outsourced contracts. We expense all costs related to R&amp;D as they are incurred.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Upfront and milestone payments related to the acquisition and licensing of technology for drug and product candidates that are not yet approved by the FDA are considered acquisition of in process R&amp;D and expensed as R&amp;D in the period in which the expense occurs.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below). We began capitalizing certain costs associated with acquiring intellectual property rights during 2015, if costs are not capitalized, they are expensed as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Long-lived assets, such as property, plant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Patents and trademarks are recorded at cost and capitalized at a time when the future economic benefits of such patents and trademarks become more certain. At that time, we capitalize third-party legal costs and filing fees associated with obtaining and prosecuting claims related to its patents and trademarks. Once the patents have been issued, we amortize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review our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76"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of the our business relative to expected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economic and industry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our market capitalization for an extended period of time relative to net book value;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impairment test consists of a two-step process as follows: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Step 1. We compare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we then perform the second step of the impairment test. If the fair value of a reporting unit exceeds its carrying amount, no further analysis is required.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Step 2. If further analysis is required, we compare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 and Debt Discount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Debt issuance costs and the debt discount are recorded net of loans payable in the consolidated balance sheet. Amortization of debt issuance costs and the debt discount is calculated using the effective interest method over the term of the debt and is recorded in interest expense in the accompanying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are included in this Annual Report beginning on page F-1 immediately following the signature page hereto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(“CEO”), our principal executive officer, and our Chief Financial Officer (“CFO”), our principal financial and accounting officer, conducted an evaluation of the effectiveness of our disclosure controls and procedures as of December 31, 2022, the end of the period covered by this Annual Report, pursuant to Rules 13a-15(b) and 15d-15(b) under the Securities Exchange Act of 1934, as amended (the “Exchange Act”).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that evaluation, our CEO and CFO concluded that, as of December 31, 2022, our disclosure controls and procedures were effective. For the purpose of this review, disclosure controls and procedures means controls and procedures designed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officer, principal financial officer and principal accounting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under the supervision and with the participation of our CEO and CFO,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Based on such evaluation, management concluded that our internal control over financial reporting was effective as of December 31, 2022.</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internal control over financial reporting, in accordance with applicable SEC rules that permit us to provide only management’s report in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during the year ended December 31, 2022,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“Election of Directors,” “Executive Officers,” “Corporate Governance,” “Corporate Governance — Delinquent Section 16(a) Reports,” and “Corporate Governance — Code of Business Conduct and Ethics” in the Company’s Proxy Statement for the 2023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“Executive Compensation” and “Director Compensation” in the Company’s Proxy Statement for the 2023 Annual Meeting of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“Security Ownership of Certain Beneficial Owners and Management and Related Stockholder Matters” and “Executive Compensation — Securities Authorized for Issuance Under Equity Compensation Plans” in the Company’s Proxy Statement for the 2023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“Corporate Governance — Transactions with Related Persons” and “Corporate Governance — Director Independence” in the Company’s Proxy Statement for the 2023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 “Ratification of Selection of Independent Registered Public Accounting Firm” in the Company’s Proxy Statement for the 2023 Annual Meeting of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1100" w:hanging="444"/>
        <w:spacing w:after="0"/>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the following documents filed as part of the report:</w:t>
      </w:r>
    </w:p>
    <w:p>
      <w:pPr>
        <w:spacing w:after="0" w:line="225"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index to our consolidated financial statements on page F-1 for a list of the financial statements being filed in this Annual Report.</w:t>
      </w:r>
    </w:p>
    <w:p>
      <w:pPr>
        <w:spacing w:after="0" w:line="161"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because they are not applicable or the required information is shown in the consolidated financial statements or the notes thereto.</w:t>
      </w:r>
    </w:p>
    <w:p>
      <w:pPr>
        <w:spacing w:after="0" w:line="16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15(b) below for all exhibits being filed or incorporated by reference herein.</w:t>
      </w:r>
    </w:p>
    <w:p>
      <w:pPr>
        <w:spacing w:after="0" w:line="225"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20" w:type="dxa"/>
            <w:vAlign w:val="bottom"/>
            <w:gridSpan w:val="11"/>
          </w:tcPr>
          <w:p>
            <w:pPr>
              <w:ind w:left="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2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280" w:type="dxa"/>
            <w:vAlign w:val="bottom"/>
            <w:tcBorders>
              <w:top w:val="single" w:sz="8" w:color="auto"/>
              <w:bottom w:val="single" w:sz="8" w:color="0000EE"/>
            </w:tcBorders>
            <w:gridSpan w:val="19"/>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Agreement and Plan of Merger, dated as of September 17, 2007, by and among Imprimis Pharmaceuticals, Inc., Transdel Pharmaceuticals</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Holdings, Inc. and Trans-Pharma Acquisition Corp. Incorporation (incorporated herein by reference to Exhibit 2.1 to the Current Report on</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Form 8-K of Imprimis Pharmaceuticals, Inc. filed with the Securities and Exchange Commission on September 21, 2007)</w:t>
              </w:r>
            </w:hyperlink>
          </w:p>
        </w:tc>
        <w:tc>
          <w:tcPr>
            <w:tcW w:w="1520" w:type="dxa"/>
            <w:vAlign w:val="bottom"/>
            <w:gridSpan w:val="3"/>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Amended and Restated Certificate of Incorporation, as amended by the Certificate of Amendment to Amended and Restated Certificate of</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Incorporation effective February 28, 2012, as further amended by the Certificate of Amendment to Amended and Restated Certificate of</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Incorporation effective February 7, 2013, and as further amended by the Certificate of Amendment to Amended and Restated Certificate of</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9"/>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Incorporation effective September 10, 2014</w:t>
              </w:r>
            </w:hyperlink>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Amended and Restated Bylaws of Imprimis Pharmaceuticals, Inc. (incorporated herein by reference to Exhibit 3.2 to the Annual Report on</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Form 8-K of Imprimis Pharmaceuticals, Inc. filed with the Securities and Exchange Commission on March 28, 2014)</w:t>
              </w:r>
            </w:hyperlink>
          </w:p>
        </w:tc>
        <w:tc>
          <w:tcPr>
            <w:tcW w:w="1820" w:type="dxa"/>
            <w:vAlign w:val="bottom"/>
            <w:gridSpan w:val="4"/>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Certificate of Designation of Series A Convertible Preferred Stock of Imprimis Pharmaceuticals, Inc. (incorporated herein by reference to</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Exhibit 3.1 to the Current Report on Form 8-K of Imprimis Pharmaceuticals, Inc. filed with the Securities and Exchange Commission on</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69">
              <w:r>
                <w:rPr>
                  <w:rFonts w:ascii="Times New Roman" w:cs="Times New Roman" w:eastAsia="Times New Roman" w:hAnsi="Times New Roman"/>
                  <w:sz w:val="18"/>
                  <w:szCs w:val="18"/>
                  <w:color w:val="0000EE"/>
                  <w:w w:val="98"/>
                </w:rPr>
                <w:t>December 20, 2011)</w:t>
              </w:r>
            </w:hyperlink>
          </w:p>
        </w:tc>
        <w:tc>
          <w:tcPr>
            <w:tcW w:w="8800" w:type="dxa"/>
            <w:vAlign w:val="bottom"/>
            <w:gridSpan w:val="16"/>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Amended and Restated Certificate of Incorporation, filed July 2, 2018 (incorporated herein by reference to Exhibit 3.1 to the Current Report</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on Form 8-K of Imprimis Pharmaceuticals, Inc. filed with the Securities and Exchange Commission on July 2, 2018)</w:t>
              </w:r>
            </w:hyperlink>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Amendment to the Restated Certificate of Incorporation for the name change, filed as of December 27, 2018 (incorporated herein by reference</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to Exhibit 3.1 to the Current Report on Form 8-K of Imprimis Pharmaceuticals, Inc. filed with the Securities and Exchange Commission on</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9"/>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December 31, 2018)</w:t>
              </w:r>
            </w:hyperlink>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Certificate of Designation of Series B Cumulative Preferred Stock of Harrow Health, Inc. (incorporated herein by reference to Exhibit 3.1 to</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the Current Report on Form 8-K of Harrow Health, Inc. filed with the Securities and Exchange Commission on May 5, 2021)</w:t>
              </w:r>
            </w:hyperlink>
          </w:p>
        </w:tc>
        <w:tc>
          <w:tcPr>
            <w:tcW w:w="1240" w:type="dxa"/>
            <w:vAlign w:val="bottom"/>
            <w:gridSpan w:val="2"/>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Company’s Securities</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Indenture dated April 20, 2021 between Harrow Health, Inc. and U.S. Bank National Association, as Trustee (incorporated herein by reference</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to Exhibit 4.1 to the Current Report on Form 8-K of Harrow Health, Inc. filed with the Securities and Exchange Commission on April 20,</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2021).</w:t>
              </w:r>
            </w:hyperlink>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10280" w:type="dxa"/>
            <w:vAlign w:val="bottom"/>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First Supplemental Indenture dated April 20, 2021 between Harrow Health, Inc. and U.S. Bank National Association, as Trustee (incorporated</w:t>
              </w:r>
            </w:hyperlink>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herein by reference to Exhibit 4.2 to the Current Report on Form 8-K of Harrow Health, Inc. filed with the Securities and Exchange</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Commission on April 20, 2021).</w:t>
              </w:r>
            </w:hyperlink>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8.625% Senior Note due 2026 (incorporated herein by reference to Exhibit 4.3 to the Current Report on Form 8-K of Harrow Health,</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Inc. filed with the Securities and Exchange Commission on April 20, 2021).</w:t>
              </w:r>
            </w:hyperlink>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Second Supplemental Indenture dated December 20, 2022 between Harrow Health, Inc. and U.S. Bank Trust Company, National Association</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(incorporated herein by reference to Exhibit 4.2 to the Current Report on Form 8-K of Harrow Health, Inc. filed with the Securities and</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Exchange Commission on December 20, 2022).</w:t>
              </w:r>
            </w:hyperlink>
          </w:p>
        </w:tc>
        <w:tc>
          <w:tcPr>
            <w:tcW w:w="6820" w:type="dxa"/>
            <w:vAlign w:val="bottom"/>
            <w:gridSpan w:val="11"/>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11.875% Senior Note due 2027 (incorporated herein by reference to Exhibit 4.3 to the Current Report on Form 8-K of Harrow</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Health, Inc. filed with the Securities and Exchange Commission on December 20, 2022).</w:t>
              </w:r>
            </w:hyperlink>
          </w:p>
        </w:tc>
        <w:tc>
          <w:tcPr>
            <w:tcW w:w="3860" w:type="dxa"/>
            <w:vAlign w:val="bottom"/>
            <w:gridSpan w:val="9"/>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Directors and Officers Indemnification Agreement (incorporated herein by reference to Exhibit 10.8 to the Current Report on Form</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19"/>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8-K of Imprimis Pharmaceuticals, Inc. filed with the Securities and Exchange Commission on September 21, 2007)</w:t>
              </w:r>
            </w:hyperlink>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4500" w:type="dxa"/>
            <w:vAlign w:val="bottom"/>
            <w:gridSpan w:val="6"/>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Imprimis Pharmaceuticals, Inc. Amended and Restated 2007 Stock Incentive and Awards Plan (incorporated herein by reference to Exhibit</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Quarterly Report on Form 10-Q of Imprimis Pharmaceuticals, Inc. filed with the Securities and Exchange Commission on May 8,</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77">
              <w:r>
                <w:rPr>
                  <w:rFonts w:ascii="Times New Roman" w:cs="Times New Roman" w:eastAsia="Times New Roman" w:hAnsi="Times New Roman"/>
                  <w:sz w:val="18"/>
                  <w:szCs w:val="18"/>
                  <w:color w:val="0000EE"/>
                  <w:w w:val="95"/>
                </w:rPr>
                <w:t>2013)</w:t>
              </w:r>
            </w:hyperlink>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Amendment No. 1 to Imprimis Pharmaceuticals, Inc. Amended and Restated 2007 Incentive Stock and Awards Plan (incorporated herein by</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reference to Exhibit 10.3 to the Quarterly Report on Form 10-Q of Imprimis Pharmaceuticals, Inc. filed with the Securities and Exchange</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Commission on November 6, 2013)</w:t>
              </w:r>
            </w:hyperlink>
          </w:p>
        </w:tc>
        <w:tc>
          <w:tcPr>
            <w:tcW w:w="7680" w:type="dxa"/>
            <w:vAlign w:val="bottom"/>
            <w:gridSpan w:val="14"/>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Form of Incentive Stock Option Agreement (incorporated herein by reference to Exhibit 10.12 to the Current Report on Form 8-K of Imprimis</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Pharmaceuticals, Inc. filed with the Securities and Exchange Commission on September 21, 2007)</w:t>
              </w:r>
            </w:hyperlink>
          </w:p>
        </w:tc>
        <w:tc>
          <w:tcPr>
            <w:tcW w:w="3180" w:type="dxa"/>
            <w:vAlign w:val="bottom"/>
            <w:gridSpan w:val="8"/>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10280" w:type="dxa"/>
            <w:vAlign w:val="bottom"/>
            <w:gridSpan w:val="19"/>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Non-Qualified Stock Option Agreement (incorporated herein by reference to Exhibit 10.13 to the Current Report on Form 8-K of</w:t>
              </w:r>
            </w:hyperlink>
          </w:p>
        </w:tc>
      </w:tr>
      <w:tr>
        <w:trPr>
          <w:trHeight w:val="19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Imprimis Pharmaceuticals, Inc. filed with the Securities and Exchange Commission on September 21, 2007)</w:t>
              </w:r>
            </w:hyperlink>
          </w:p>
        </w:tc>
        <w:tc>
          <w:tcPr>
            <w:tcW w:w="20" w:type="dxa"/>
            <w:vAlign w:val="bottom"/>
          </w:tcPr>
          <w:p>
            <w:pPr>
              <w:spacing w:after="0"/>
              <w:rPr>
                <w:sz w:val="17"/>
                <w:szCs w:val="17"/>
                <w:color w:val="auto"/>
              </w:rPr>
            </w:pPr>
          </w:p>
        </w:tc>
      </w:tr>
      <w:tr>
        <w:trPr>
          <w:trHeight w:val="459"/>
        </w:trPr>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80" w:type="dxa"/>
            <w:vAlign w:val="bottom"/>
            <w:tcBorders>
              <w:top w:val="single" w:sz="8" w:color="0000EE"/>
              <w:bottom w:val="single" w:sz="8" w:color="auto"/>
            </w:tcBorders>
            <w:gridSpan w:val="9"/>
          </w:tcPr>
          <w:p>
            <w:pPr>
              <w:ind w:left="4580"/>
              <w:spacing w:after="0"/>
              <w:rPr>
                <w:sz w:val="20"/>
                <w:szCs w:val="20"/>
                <w:color w:val="auto"/>
              </w:rPr>
            </w:pPr>
            <w:r>
              <w:rPr>
                <w:rFonts w:ascii="Times New Roman" w:cs="Times New Roman" w:eastAsia="Times New Roman" w:hAnsi="Times New Roman"/>
                <w:sz w:val="18"/>
                <w:szCs w:val="18"/>
                <w:color w:val="auto"/>
              </w:rPr>
              <w:t>54</w:t>
            </w:r>
          </w:p>
        </w:tc>
        <w:tc>
          <w:tcPr>
            <w:tcW w:w="94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825" w:gutter="0" w:footer="0" w:header="0"/>
        </w:sectPr>
      </w:pPr>
    </w:p>
    <w:bookmarkStart w:id="57" w:name="page58"/>
    <w:bookmarkEnd w:id="57"/>
    <w:p>
      <w:pPr>
        <w:jc w:val="both"/>
        <w:ind w:left="960" w:hanging="957"/>
        <w:spacing w:after="0" w:line="261"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81">
        <w:r>
          <w:rPr>
            <w:rFonts w:ascii="Times New Roman" w:cs="Times New Roman" w:eastAsia="Times New Roman" w:hAnsi="Times New Roman"/>
            <w:sz w:val="18"/>
            <w:szCs w:val="18"/>
            <w:u w:val="single" w:color="auto"/>
            <w:color w:val="0000EE"/>
          </w:rPr>
          <w:t>Form of Restricted Stock Unit Agreement (incorporated herein by reference to Exhibit 10.4 to the Quarterly Report on Form 10-Q of</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Imprimis Pharmaceuticals, Inc. filed with the Securities and Exchange Commission on May 8, 2013)</w:t>
        </w:r>
      </w:hyperlink>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82">
        <w:r>
          <w:rPr>
            <w:rFonts w:ascii="Times New Roman" w:cs="Times New Roman" w:eastAsia="Times New Roman" w:hAnsi="Times New Roman"/>
            <w:sz w:val="18"/>
            <w:szCs w:val="18"/>
            <w:u w:val="single" w:color="auto"/>
            <w:color w:val="0000EE"/>
          </w:rPr>
          <w:t>Stand-alone Restricted Stock Unit Agreement, dated July 18, 2012, granted by Imprimis Pharmaceuticals, Inc. to Mark L. Baum (incorporated</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herein by reference to Exhibit 10.40 to the Company’s Registration Statement on Form S-1 (File No. 333-182846) filed on July 25, 2012)</w:t>
        </w:r>
      </w:hyperlink>
    </w:p>
    <w:p>
      <w:pPr>
        <w:spacing w:after="0" w:line="1" w:lineRule="exact"/>
        <w:rPr>
          <w:sz w:val="20"/>
          <w:szCs w:val="20"/>
          <w:color w:val="auto"/>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83">
        <w:r>
          <w:rPr>
            <w:rFonts w:ascii="Times New Roman" w:cs="Times New Roman" w:eastAsia="Times New Roman" w:hAnsi="Times New Roman"/>
            <w:sz w:val="18"/>
            <w:szCs w:val="18"/>
            <w:u w:val="single" w:color="auto"/>
            <w:color w:val="0000EE"/>
          </w:rPr>
          <w:t>Stand-alone Restricted Stock Unit Agreement, dated July 18, 2012, granted by Imprimis Pharmaceuticals, Inc. to Robert J. Kammer</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(incorporated herein by reference to Exhibit 10.41 to the Company’s Registration Statement on Form S-1 (File No. 333-182846) filed on July</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25, 2012)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84">
        <w:r>
          <w:rPr>
            <w:rFonts w:ascii="Times New Roman" w:cs="Times New Roman" w:eastAsia="Times New Roman" w:hAnsi="Times New Roman"/>
            <w:sz w:val="18"/>
            <w:szCs w:val="18"/>
            <w:u w:val="single" w:color="auto"/>
            <w:color w:val="0000EE"/>
          </w:rPr>
          <w:t>Form of Underwriter’s Warrant (incorporated herein by reference to Exhibit 10.41 to the Company’s Registration Statement on Form S-1 (File</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No. 333-182846) filed on October 26, 2012)</w:t>
        </w:r>
      </w:hyperlink>
    </w:p>
    <w:p>
      <w:pPr>
        <w:spacing w:after="0" w:line="1" w:lineRule="exact"/>
        <w:rPr>
          <w:sz w:val="20"/>
          <w:szCs w:val="20"/>
          <w:color w:val="auto"/>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85">
        <w:r>
          <w:rPr>
            <w:rFonts w:ascii="Times New Roman" w:cs="Times New Roman" w:eastAsia="Times New Roman" w:hAnsi="Times New Roman"/>
            <w:sz w:val="18"/>
            <w:szCs w:val="18"/>
            <w:u w:val="single" w:color="auto"/>
            <w:color w:val="0000EE"/>
          </w:rPr>
          <w:t>Employment Agreement, dated as of April 25, 2016, by and between Imprimis Pharmaceuticals, Inc. and Mark L. Baum (incorporated herein</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by reference to Exhibit 10.1 to the Company’s Current Report on Form 8-K filed with the Securities and Exchange Commission on April 26,</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2016)</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86">
        <w:r>
          <w:rPr>
            <w:rFonts w:ascii="Times New Roman" w:cs="Times New Roman" w:eastAsia="Times New Roman" w:hAnsi="Times New Roman"/>
            <w:sz w:val="18"/>
            <w:szCs w:val="18"/>
            <w:u w:val="single" w:color="auto"/>
            <w:color w:val="0000EE"/>
          </w:rPr>
          <w:t>Performance Stock Units Agreement, dated May 2, 2013, by and between Imprimis Pharmaceuticals, Inc. and Mark L. Baum (incorporated</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herein by reference to Exhibit 10.4 to the Company’s Quarterly Report on Form 10-Q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August 14, 2013)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87">
        <w:r>
          <w:rPr>
            <w:rFonts w:ascii="Times New Roman" w:cs="Times New Roman" w:eastAsia="Times New Roman" w:hAnsi="Times New Roman"/>
            <w:sz w:val="18"/>
            <w:szCs w:val="18"/>
            <w:u w:val="single" w:color="auto"/>
            <w:color w:val="0000EE"/>
          </w:rPr>
          <w:t>Employment Agreement, dated as of April 25, 2016, by and between Imprimis Pharmaceuticals, Inc. and Andrew R. Boll (incorporated herein</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by reference to Exhibit 10.4 to the Company’s Current Report on Form 8-K filed with the Securities and Exchange Commission on April 26,</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2016)</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88">
        <w:r>
          <w:rPr>
            <w:rFonts w:ascii="Times New Roman" w:cs="Times New Roman" w:eastAsia="Times New Roman" w:hAnsi="Times New Roman"/>
            <w:sz w:val="18"/>
            <w:szCs w:val="18"/>
            <w:u w:val="single" w:color="auto"/>
            <w:color w:val="0000EE"/>
          </w:rPr>
          <w:t>Performance Stock Units Award Agreement, effective as of February 1, 2015, by and between Imprimis Pharmaceuticals, Inc. and Andrew R.</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Boll (incorporated herein by reference to Exhibit 10.2 to the Company’s Current Report on Form 8-K filed with the Securities and Exchange</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Commission on February 2, 2015)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89">
        <w:r>
          <w:rPr>
            <w:rFonts w:ascii="Times New Roman" w:cs="Times New Roman" w:eastAsia="Times New Roman" w:hAnsi="Times New Roman"/>
            <w:sz w:val="18"/>
            <w:szCs w:val="18"/>
            <w:u w:val="single" w:color="auto"/>
            <w:color w:val="0000EE"/>
          </w:rPr>
          <w:t>Employment Agreement, dated as of April 25, 2016, by and between Imprimis Pharmaceuticals, Inc. and John P. Saharek (incorporated herein</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by reference to Exhibit 10.7 to the Company’s Current Report on Form 8-K filed with the Securities and Exchange Commission on April 26,</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2016)</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90">
        <w:r>
          <w:rPr>
            <w:rFonts w:ascii="Times New Roman" w:cs="Times New Roman" w:eastAsia="Times New Roman" w:hAnsi="Times New Roman"/>
            <w:sz w:val="18"/>
            <w:szCs w:val="18"/>
            <w:u w:val="single" w:color="auto"/>
            <w:color w:val="0000EE"/>
          </w:rPr>
          <w:t>Warrant to Purchase Stock, dated May 11, 2015, issued by Imprimis Pharmaceuticals, Inc. (incorporated herein by reference to Exhibit 10.2 to</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the Current Report on Form 8-K of Imprimis Pharmaceuticals, Inc. filed with the Securities and Exchange Commission on May 12, 2015)</w:t>
        </w:r>
      </w:hyperlink>
    </w:p>
    <w:p>
      <w:pPr>
        <w:spacing w:after="0" w:line="1" w:lineRule="exact"/>
        <w:rPr>
          <w:sz w:val="20"/>
          <w:szCs w:val="20"/>
          <w:color w:val="auto"/>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91">
        <w:r>
          <w:rPr>
            <w:rFonts w:ascii="Times New Roman" w:cs="Times New Roman" w:eastAsia="Times New Roman" w:hAnsi="Times New Roman"/>
            <w:sz w:val="18"/>
            <w:szCs w:val="18"/>
            <w:u w:val="single" w:color="auto"/>
            <w:color w:val="0000EE"/>
          </w:rPr>
          <w:t>Warrant Amendment to Purchase Stock, dated December 27, 2016, issued by Imprimis Pharmaceuticals, Inc. (incorporated herein by</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reference to Exhibit 10.3 to the Current Report on Form 8-K of Imprimis Pharmaceuticals, Inc. filed with the Securities and Exchange</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Commission on December 29, 2016)</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92">
        <w:r>
          <w:rPr>
            <w:rFonts w:ascii="Times New Roman" w:cs="Times New Roman" w:eastAsia="Times New Roman" w:hAnsi="Times New Roman"/>
            <w:sz w:val="18"/>
            <w:szCs w:val="18"/>
            <w:u w:val="single" w:color="auto"/>
            <w:color w:val="0000EE"/>
          </w:rPr>
          <w:t>Form of Securities Purchase Agreement, dated March 21, 2017, between the Registrant and the Investors (incorporated herein by reference to</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Exhibit 10.1 to the Current Report on Form 8-K of Imprimis Pharmaceuticals,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March 22,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93">
        <w:r>
          <w:rPr>
            <w:rFonts w:ascii="Times New Roman" w:cs="Times New Roman" w:eastAsia="Times New Roman" w:hAnsi="Times New Roman"/>
            <w:sz w:val="18"/>
            <w:szCs w:val="18"/>
            <w:u w:val="single" w:color="auto"/>
            <w:color w:val="0000EE"/>
          </w:rPr>
          <w:t>License Agreement dated April 1, 2017 between Imprimis Pharmaceuticals, Inc. and Richard L. Lindstrom, M.D. (incorporated herein by</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reference to Exhibit 10.1 to the Current Report on Form 8-K of Imprimis Pharmaceuticals, Inc. filed with the Securities and Exchange</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Commission on April 6,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94">
        <w:r>
          <w:rPr>
            <w:rFonts w:ascii="Times New Roman" w:cs="Times New Roman" w:eastAsia="Times New Roman" w:hAnsi="Times New Roman"/>
            <w:sz w:val="18"/>
            <w:szCs w:val="18"/>
            <w:u w:val="single" w:color="auto"/>
            <w:color w:val="0000EE"/>
          </w:rPr>
          <w:t>Strategic Sales &amp; Marketing Agreement dated April 13, 2017 between Imprimis Pharmaceuticals, Inc. and Cameron Ehlen Group, Inc.</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(incorporated herein by reference to Exhibit 10.1 to the Current Report on Form 8-K of Imprimis Pharmaceuticals, Inc. filed with the</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Securities and Exchange Commission on April 17,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95">
        <w:r>
          <w:rPr>
            <w:rFonts w:ascii="Times New Roman" w:cs="Times New Roman" w:eastAsia="Times New Roman" w:hAnsi="Times New Roman"/>
            <w:sz w:val="18"/>
            <w:szCs w:val="18"/>
            <w:u w:val="single" w:color="auto"/>
            <w:color w:val="0000EE"/>
          </w:rPr>
          <w:t>Strategic Sales &amp; Marketing Agreement dated April 28, 2017 between Imprimis Pharmaceuticals, Inc. and SightLife Surgical, Inc.</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(incorporated herein by reference to Exhibit 10.1 to the Current Report on Form 8-K of Imprimis Pharmaceuticals, Inc. filed with the</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Securities and Exchange Commission on May 2, 2017)</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96">
        <w:r>
          <w:rPr>
            <w:rFonts w:ascii="Times New Roman" w:cs="Times New Roman" w:eastAsia="Times New Roman" w:hAnsi="Times New Roman"/>
            <w:sz w:val="18"/>
            <w:szCs w:val="18"/>
            <w:u w:val="single" w:color="auto"/>
            <w:color w:val="0000EE"/>
          </w:rPr>
          <w:t>Consulting Agreement dated May 1, 2017 between Eton Pharmaceuticals, Inc. and Mark L. Baum (incorporated herein by reference to Exhibit</w:t>
        </w:r>
      </w:hyperlink>
    </w:p>
    <w:p>
      <w:pPr>
        <w:spacing w:after="0" w:line="9" w:lineRule="exact"/>
        <w:rPr>
          <w:rFonts w:ascii="Times New Roman" w:cs="Times New Roman" w:eastAsia="Times New Roman" w:hAnsi="Times New Roman"/>
          <w:sz w:val="18"/>
          <w:szCs w:val="18"/>
          <w:u w:val="single" w:color="auto"/>
          <w:color w:val="0000EE"/>
        </w:rPr>
      </w:pPr>
    </w:p>
    <w:p>
      <w:pPr>
        <w:ind w:left="960"/>
        <w:spacing w:after="0"/>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10.8 to the Quarterly Report on Form 10-Q of Imprimis Pharmaceuticals, Inc. filed with the Securities and Exchange Commission on August</w:t>
        </w:r>
      </w:hyperlink>
    </w:p>
    <w:p>
      <w:pPr>
        <w:spacing w:after="0" w:line="9" w:lineRule="exact"/>
        <w:rPr>
          <w:rFonts w:ascii="Times New Roman" w:cs="Times New Roman" w:eastAsia="Times New Roman" w:hAnsi="Times New Roman"/>
          <w:sz w:val="18"/>
          <w:szCs w:val="18"/>
          <w:u w:val="single" w:color="auto"/>
          <w:color w:val="0000EE"/>
        </w:rPr>
      </w:pPr>
    </w:p>
    <w:p>
      <w:pPr>
        <w:ind w:left="960"/>
        <w:spacing w:after="0"/>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10, 2017)</w:t>
        </w:r>
      </w:hyperlink>
    </w:p>
    <w:p>
      <w:pPr>
        <w:spacing w:after="0" w:line="9"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97">
        <w:r>
          <w:rPr>
            <w:rFonts w:ascii="Times New Roman" w:cs="Times New Roman" w:eastAsia="Times New Roman" w:hAnsi="Times New Roman"/>
            <w:sz w:val="18"/>
            <w:szCs w:val="18"/>
            <w:u w:val="single" w:color="auto"/>
            <w:color w:val="0000EE"/>
          </w:rPr>
          <w:t>Consulting Agreement dated May 1, 2017 between Eton Pharmaceuticals, Inc. and Andrew R. Boll (incorporated herein by reference to</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Exhibit 10.9 to the Quarterly Report on Form 10-Q of Imprimis Pharmaceuticals,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August 10,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5"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98">
        <w:r>
          <w:rPr>
            <w:rFonts w:ascii="Times New Roman" w:cs="Times New Roman" w:eastAsia="Times New Roman" w:hAnsi="Times New Roman"/>
            <w:sz w:val="18"/>
            <w:szCs w:val="18"/>
            <w:u w:val="single" w:color="auto"/>
            <w:color w:val="0000EE"/>
          </w:rPr>
          <w:t>Consulting Agreement dated May 1, 2017 between Eton Pharmaceuticals, Inc. and John P. Saharek (incorporated herein by reference to</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Exhibit 10.10 to the Quarterly Report on Form 10-Q of Imprimis Pharmaceuticals,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August 10, 2017)</w:t>
        </w:r>
      </w:hyperlink>
    </w:p>
    <w:p>
      <w:pPr>
        <w:spacing w:after="0" w:line="186"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left="960" w:hanging="957"/>
        <w:spacing w:after="0" w:line="257"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00">
        <w:r>
          <w:rPr>
            <w:rFonts w:ascii="Times New Roman" w:cs="Times New Roman" w:eastAsia="Times New Roman" w:hAnsi="Times New Roman"/>
            <w:sz w:val="18"/>
            <w:szCs w:val="18"/>
            <w:u w:val="single" w:color="auto"/>
            <w:color w:val="0000EE"/>
          </w:rPr>
          <w:t>Asset Purchase and License Agreement (pentoxifylline) dated May 9, 2017 between Imprimis Pharmaceuticals, Inc. and Eton</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Pharmaceuticals, Inc. (incorporated herein by reference to Exhibit 10.1 to the Current Report on Form 8-K of Imprimis Pharmaceuticals, Inc.</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filed with the Securities and Exchange Commission on June 20,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01">
        <w:r>
          <w:rPr>
            <w:rFonts w:ascii="Times New Roman" w:cs="Times New Roman" w:eastAsia="Times New Roman" w:hAnsi="Times New Roman"/>
            <w:sz w:val="18"/>
            <w:szCs w:val="18"/>
            <w:u w:val="single" w:color="auto"/>
            <w:color w:val="0000EE"/>
          </w:rPr>
          <w:t>Asset Purchase and License Agreement (corticotropin) dated May 9, 2017 between Imprimis Pharmaceuticals, Inc. and Eton Pharmaceuticals,</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Inc. (incorporated herein by reference to Exhibit 10.2 to the Current Report on Form 8-K of Imprimis Pharmaceuticals, Inc. filed with the</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Securities and Exchange Commission on June 20,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02">
        <w:r>
          <w:rPr>
            <w:rFonts w:ascii="Times New Roman" w:cs="Times New Roman" w:eastAsia="Times New Roman" w:hAnsi="Times New Roman"/>
            <w:sz w:val="18"/>
            <w:szCs w:val="18"/>
            <w:u w:val="single" w:color="auto"/>
            <w:color w:val="0000EE"/>
          </w:rPr>
          <w:t>Management Services Agreement dated May 1, 2017 between Imprimis Pharmaceuticals, Inc. and Eton Pharmaceuticals, Inc. (incorporated</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herein by reference to Exhibit 10.4 to the Current Report on Form 8-K of Imprimis Pharmaceuticals, Inc. filed with the Securities and</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Exchange Commission on June 20,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03">
        <w:r>
          <w:rPr>
            <w:rFonts w:ascii="Times New Roman" w:cs="Times New Roman" w:eastAsia="Times New Roman" w:hAnsi="Times New Roman"/>
            <w:sz w:val="18"/>
            <w:szCs w:val="18"/>
            <w:u w:val="single" w:color="auto"/>
            <w:color w:val="0000EE"/>
          </w:rPr>
          <w:t>Consulting Agreement dated October 27, 2017 between Surface Pharmaceuticals, Inc. and Mark L. Baum (incorporated herein by reference to</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Exhibit 10.53 to the Annual Report on Form 10-K of Imprimis Pharmaceuticals,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March 8,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04">
        <w:r>
          <w:rPr>
            <w:rFonts w:ascii="Times New Roman" w:cs="Times New Roman" w:eastAsia="Times New Roman" w:hAnsi="Times New Roman"/>
            <w:sz w:val="18"/>
            <w:szCs w:val="18"/>
            <w:u w:val="single" w:color="auto"/>
            <w:color w:val="0000EE"/>
          </w:rPr>
          <w:t>Consulting Agreement dated October 27, 2017 between Surface Pharmaceuticals, Inc. and Andrew R. Boll (incorporated herein by reference</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to Exhibit 10.54 to the Annual Report on Form 10-K of Imprimis Pharmaceuticals, Inc. filed with the Securities and Exchange Commission</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on March 8,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right="2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05">
        <w:r>
          <w:rPr>
            <w:rFonts w:ascii="Times New Roman" w:cs="Times New Roman" w:eastAsia="Times New Roman" w:hAnsi="Times New Roman"/>
            <w:sz w:val="18"/>
            <w:szCs w:val="18"/>
            <w:u w:val="single" w:color="auto"/>
            <w:color w:val="0000EE"/>
          </w:rPr>
          <w:t>Consulting Agreement dated October 27, 2017 between Surface Pharmaceuticals, Inc. and John P. Saharek (incorporated herein by reference</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to Exhibit 10.55 to the Annual Report on Form 10-K of Imprimis Pharmaceuticals, Inc. filed with the Securities and Exchange Commission</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on March 8,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06">
        <w:r>
          <w:rPr>
            <w:rFonts w:ascii="Times New Roman" w:cs="Times New Roman" w:eastAsia="Times New Roman" w:hAnsi="Times New Roman"/>
            <w:sz w:val="18"/>
            <w:szCs w:val="18"/>
            <w:u w:val="single" w:color="auto"/>
            <w:color w:val="0000EE"/>
          </w:rPr>
          <w:t>Asset Purchase and License Agreement dated September 28, 2017 between Imprimis Pharmaceuticals, Inc. and Surface Pharmaceuticals, Inc.</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(incorporated herein by reference to Exhibit 10.1 to the Current Report on Form 8-K of Imprimis Pharmaceuticals, Inc. filed with the</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Securities and Exchange Commission on May 15, 2018)</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07">
        <w:r>
          <w:rPr>
            <w:rFonts w:ascii="Times New Roman" w:cs="Times New Roman" w:eastAsia="Times New Roman" w:hAnsi="Times New Roman"/>
            <w:sz w:val="18"/>
            <w:szCs w:val="18"/>
            <w:u w:val="single" w:color="auto"/>
            <w:color w:val="0000EE"/>
          </w:rPr>
          <w:t>Amended and Restated Asset Purchase and License Agreement dated April 10, 2018 between Imprimis Pharmaceuticals, Inc. and Surface</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Pharmaceuticals, Inc. (incorporated herein by reference to Exhibit 10.2 to the Current Report on Form 8-K of Imprimis Pharmaceuticals, Inc.</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filed with the Securities and Exchange Commission on May 15, 2018)</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08">
        <w:r>
          <w:rPr>
            <w:rFonts w:ascii="Times New Roman" w:cs="Times New Roman" w:eastAsia="Times New Roman" w:hAnsi="Times New Roman"/>
            <w:sz w:val="18"/>
            <w:szCs w:val="18"/>
            <w:u w:val="single" w:color="auto"/>
            <w:color w:val="0000EE"/>
          </w:rPr>
          <w:t>Amended and Restated License Agreement dated April 10, 2018 between Imprimis Pharmaceuticals, Inc. and Richard L. Lindstrom, M.D.</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(incorporated herein by reference to Exhibit 10.3 to the Quarterly Report on Form 10-Q of Imprimis Pharmaceuticals, Inc. filed with the</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Securities and Exchange Commission on August 6, 2018)</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09">
        <w:r>
          <w:rPr>
            <w:rFonts w:ascii="Times New Roman" w:cs="Times New Roman" w:eastAsia="Times New Roman" w:hAnsi="Times New Roman"/>
            <w:sz w:val="18"/>
            <w:szCs w:val="18"/>
            <w:u w:val="single" w:color="auto"/>
            <w:color w:val="0000EE"/>
          </w:rPr>
          <w:t>Consulting Agreement dated March 1, 2018 between Surface Pharmaceuticals, Inc. and Richard L. Lindstrom, M.D. (incorporated herein by</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reference to Exhibit 10.4 to the Quarterly Report on Form 10-Q of Imprimis Pharmaceuticals, Inc. filed with the Securities and Exchange</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Commission on August 6, 2018)</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10">
        <w:r>
          <w:rPr>
            <w:rFonts w:ascii="Times New Roman" w:cs="Times New Roman" w:eastAsia="Times New Roman" w:hAnsi="Times New Roman"/>
            <w:sz w:val="18"/>
            <w:szCs w:val="18"/>
            <w:u w:val="single" w:color="auto"/>
            <w:color w:val="0000EE"/>
          </w:rPr>
          <w:t>Consulting Agreement dated May 1, 2018 between Melt Pharmaceuticals, Inc. and Mark L. Baum (incorporated herein by reference to Exhibit</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10.1 to the Quarterly Report on Form 10-Q of Imprimis Pharmaceuticals,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November 13, 2018)</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11">
        <w:r>
          <w:rPr>
            <w:rFonts w:ascii="Times New Roman" w:cs="Times New Roman" w:eastAsia="Times New Roman" w:hAnsi="Times New Roman"/>
            <w:sz w:val="18"/>
            <w:szCs w:val="18"/>
            <w:u w:val="single" w:color="auto"/>
            <w:color w:val="0000EE"/>
          </w:rPr>
          <w:t>Consulting Agreement dated May 1, 2018 between Melt Pharmaceuticals, Inc. and Andrew R. Boll (incorporated herein by reference to</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Exhibit 10.2 to the Quarterly Report on Form 10-Q of Imprimis Pharmaceuticals,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November 13, 2018)</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112">
        <w:r>
          <w:rPr>
            <w:rFonts w:ascii="Times New Roman" w:cs="Times New Roman" w:eastAsia="Times New Roman" w:hAnsi="Times New Roman"/>
            <w:sz w:val="18"/>
            <w:szCs w:val="18"/>
            <w:u w:val="single" w:color="auto"/>
            <w:color w:val="0000EE"/>
          </w:rPr>
          <w:t>Consulting Agreement dated May 1, 2018 between Melt Pharmaceuticals, Inc. and John P. Saharek (incorporated herein by reference to</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Exhibit 10.3 to the Quarterly Report on Form 10-Q of Imprimis Pharmaceuticals,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November 13, 2018)</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113">
        <w:r>
          <w:rPr>
            <w:rFonts w:ascii="Times New Roman" w:cs="Times New Roman" w:eastAsia="Times New Roman" w:hAnsi="Times New Roman"/>
            <w:sz w:val="18"/>
            <w:szCs w:val="18"/>
            <w:u w:val="single" w:color="auto"/>
            <w:color w:val="0000EE"/>
          </w:rPr>
          <w:t>Asset Purchase Agreement dated December 11, 2018 between Harrow Health, Inc. (fka Imprimis Pharmaceuticals, Inc.) and Melt</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Pharmaceuticals, Inc. (incorporated herein by reference to Exhibit 10.1 to the Current Report on Form 8-K of Harrow Health, Inc. filed with</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the Securities and Exchange Commission on February 5, 2019)</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114">
        <w:r>
          <w:rPr>
            <w:rFonts w:ascii="Times New Roman" w:cs="Times New Roman" w:eastAsia="Times New Roman" w:hAnsi="Times New Roman"/>
            <w:sz w:val="18"/>
            <w:szCs w:val="18"/>
            <w:u w:val="single" w:color="auto"/>
            <w:color w:val="0000EE"/>
          </w:rPr>
          <w:t>Asset Purchase Agreement dated February 1, 2019 between Harrow Health, Inc. and Mayfield Pharmaceuticals, Inc. (incorporated herein by</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reference to Exhibit 10.2 to the Quarterly Report on Form 10-Q of Harrow Health,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May 9, 2019)</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115">
        <w:r>
          <w:rPr>
            <w:rFonts w:ascii="Times New Roman" w:cs="Times New Roman" w:eastAsia="Times New Roman" w:hAnsi="Times New Roman"/>
            <w:sz w:val="18"/>
            <w:szCs w:val="18"/>
            <w:u w:val="single" w:color="auto"/>
            <w:color w:val="0000EE"/>
          </w:rPr>
          <w:t>Asset Purchase Agreement dated February 1, 2019 between Harrow Health, Inc. and Elle Pharmaceuticals, Inc. (incorporated herein by</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reference to Exhibit 10.3 to the Quarterly Report on Form 10-Q of Harrow Health,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May 9, 2019)</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5"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10.40</w:t>
      </w:r>
      <w:r>
        <w:rPr>
          <w:sz w:val="20"/>
          <w:szCs w:val="20"/>
          <w:color w:val="auto"/>
        </w:rPr>
        <w:tab/>
      </w:r>
      <w:hyperlink r:id="rId116">
        <w:r>
          <w:rPr>
            <w:rFonts w:ascii="Times New Roman" w:cs="Times New Roman" w:eastAsia="Times New Roman" w:hAnsi="Times New Roman"/>
            <w:sz w:val="18"/>
            <w:szCs w:val="18"/>
            <w:u w:val="single" w:color="auto"/>
            <w:color w:val="0000EE"/>
          </w:rPr>
          <w:t>Joinder and Amendment to Loan and Security Agreement, dated May 24, 2019, by and between Harrow Health, Inc., each of its wholly-</w:t>
        </w:r>
      </w:hyperlink>
      <w:hyperlink r:id="rId116">
        <w:r>
          <w:rPr>
            <w:rFonts w:ascii="Times New Roman" w:cs="Times New Roman" w:eastAsia="Times New Roman" w:hAnsi="Times New Roman"/>
            <w:sz w:val="18"/>
            <w:szCs w:val="18"/>
            <w:u w:val="single" w:color="auto"/>
            <w:color w:val="0000EE"/>
          </w:rPr>
          <w:t>owned subsidiaries and SWK Funding LLC. (incorporated herein by reference to Exhibit 10.1 to the Current Report on Form 8-K of Harrow</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Health, Inc. filed with the Securities and Exchange Commission on May 29, 2019)</w:t>
        </w:r>
      </w:hyperlink>
    </w:p>
    <w:p>
      <w:pPr>
        <w:spacing w:after="0" w:line="186"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line="69" w:lineRule="exact"/>
        <w:rPr>
          <w:sz w:val="20"/>
          <w:szCs w:val="20"/>
          <w:color w:val="auto"/>
        </w:rPr>
      </w:pPr>
    </w:p>
    <w:p>
      <w:pPr>
        <w:jc w:val="both"/>
        <w:ind w:left="960" w:hanging="957"/>
        <w:spacing w:after="0" w:line="257"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r:id="rId118">
        <w:r>
          <w:rPr>
            <w:rFonts w:ascii="Times New Roman" w:cs="Times New Roman" w:eastAsia="Times New Roman" w:hAnsi="Times New Roman"/>
            <w:sz w:val="18"/>
            <w:szCs w:val="18"/>
            <w:u w:val="single" w:color="auto"/>
            <w:color w:val="0000EE"/>
          </w:rPr>
          <w:t>Consulting Agreement dated June 3, 2019 between Mayfield Pharmaceuticals, Inc. and Mark L. Baum (incorporated herein by reference to</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Exhibit 10.3 to the Quarterly Report on Form 10-Q of Harrow Health, Inc. filed with the Securities and Exchange Commission on August 14,</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2019)</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10.42#</w:t>
      </w:r>
      <w:r>
        <w:rPr>
          <w:sz w:val="20"/>
          <w:szCs w:val="20"/>
          <w:color w:val="auto"/>
        </w:rPr>
        <w:tab/>
      </w:r>
      <w:hyperlink r:id="rId119">
        <w:r>
          <w:rPr>
            <w:rFonts w:ascii="Times New Roman" w:cs="Times New Roman" w:eastAsia="Times New Roman" w:hAnsi="Times New Roman"/>
            <w:sz w:val="18"/>
            <w:szCs w:val="18"/>
            <w:u w:val="single" w:color="auto"/>
            <w:color w:val="0000EE"/>
          </w:rPr>
          <w:t>Consulting Agreement dated June 3, 2019 between Mayfield Pharmaceuticals, Inc. and Andrew R. Boll (incorporated herein by reference to</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Exhibit 10.2 to the Quarterly Report on Form 10-Q of Harrow Health, Inc. filed with the Securities and Exchange Commission on August 14,</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2019)</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10.43#</w:t>
      </w:r>
      <w:r>
        <w:rPr>
          <w:sz w:val="20"/>
          <w:szCs w:val="20"/>
          <w:color w:val="auto"/>
        </w:rPr>
        <w:tab/>
      </w:r>
      <w:hyperlink r:id="rId120">
        <w:r>
          <w:rPr>
            <w:rFonts w:ascii="Times New Roman" w:cs="Times New Roman" w:eastAsia="Times New Roman" w:hAnsi="Times New Roman"/>
            <w:sz w:val="18"/>
            <w:szCs w:val="18"/>
            <w:u w:val="single" w:color="auto"/>
            <w:color w:val="0000EE"/>
          </w:rPr>
          <w:t>Consulting Agreement dated June 3, 2019 between Mayfield Pharmaceuticals, Inc. and John P. Saharek (incorporated herein by reference to</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Exhibit 10.4 to the Quarterly Report on Form 10-Q of Harrow Health, Inc. filed with the Securities and Exchange Commission on August 14,</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2019)</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10.44</w:t>
      </w:r>
      <w:r>
        <w:rPr>
          <w:sz w:val="20"/>
          <w:szCs w:val="20"/>
          <w:color w:val="auto"/>
        </w:rPr>
        <w:tab/>
      </w:r>
      <w:hyperlink r:id="rId121">
        <w:r>
          <w:rPr>
            <w:rFonts w:ascii="Times New Roman" w:cs="Times New Roman" w:eastAsia="Times New Roman" w:hAnsi="Times New Roman"/>
            <w:sz w:val="18"/>
            <w:szCs w:val="18"/>
            <w:u w:val="single" w:color="auto"/>
            <w:color w:val="0000EE"/>
          </w:rPr>
          <w:t>License Agreement, dated July 28, 2019, among Mayfield Pharmaceuticals, Inc., TGV-Health, LLC and TGV-Gyneconix, LLC (incorporated</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herein by reference to Exhibit 10.3 to the Quarterly Report on Form 10-Q of Harrow Health, Inc. filed with the Securities and Exchange</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Commission on November 13, 2019).</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10.45</w:t>
      </w:r>
      <w:r>
        <w:rPr>
          <w:sz w:val="20"/>
          <w:szCs w:val="20"/>
          <w:color w:val="auto"/>
        </w:rPr>
        <w:tab/>
      </w:r>
      <w:hyperlink r:id="rId122">
        <w:r>
          <w:rPr>
            <w:rFonts w:ascii="Times New Roman" w:cs="Times New Roman" w:eastAsia="Times New Roman" w:hAnsi="Times New Roman"/>
            <w:sz w:val="18"/>
            <w:szCs w:val="18"/>
            <w:u w:val="single" w:color="auto"/>
            <w:color w:val="0000EE"/>
          </w:rPr>
          <w:t>License Agreement, dated July 29, 2019, among Stowe Pharmaceuticals, Inc., TGV-Health, LLC and TGV-Ophthalnix, LLC (incorporated</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herein by reference to Exhibit 10.4 to the Quarterly Report on Form 10-Q of Harrow Health, Inc. filed with the Securities and Exchange</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Commission on November 13, 2019).</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10.46#</w:t>
      </w:r>
      <w:r>
        <w:rPr>
          <w:sz w:val="20"/>
          <w:szCs w:val="20"/>
          <w:color w:val="auto"/>
        </w:rPr>
        <w:tab/>
      </w:r>
      <w:hyperlink r:id="rId123">
        <w:r>
          <w:rPr>
            <w:rFonts w:ascii="Times New Roman" w:cs="Times New Roman" w:eastAsia="Times New Roman" w:hAnsi="Times New Roman"/>
            <w:sz w:val="18"/>
            <w:szCs w:val="18"/>
            <w:u w:val="single" w:color="auto"/>
            <w:color w:val="0000EE"/>
          </w:rPr>
          <w:t>Consulting Agreement dated February 13, 2020 between Stowe Pharmaceuticals, Inc. and Mark L. Baum (incorporated herein by reference to</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Exhibit 10.65#* to the Annual Report on Form 10-K of Harrow Health, Inc. filed with the Securities and Exchange Commission on March 13,</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2020).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10.47#</w:t>
      </w:r>
      <w:r>
        <w:rPr>
          <w:sz w:val="20"/>
          <w:szCs w:val="20"/>
          <w:color w:val="auto"/>
        </w:rPr>
        <w:tab/>
      </w:r>
      <w:hyperlink r:id="rId124">
        <w:r>
          <w:rPr>
            <w:rFonts w:ascii="Times New Roman" w:cs="Times New Roman" w:eastAsia="Times New Roman" w:hAnsi="Times New Roman"/>
            <w:sz w:val="18"/>
            <w:szCs w:val="18"/>
            <w:u w:val="single" w:color="auto"/>
            <w:color w:val="0000EE"/>
          </w:rPr>
          <w:t>Consulting Agreement dated February 13, 2020 between Stowe Pharmaceuticals, Inc. and Andrew R. Boll (incorporated herein by reference</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to Exhibit 10.65#* to the Annual Report on Form 10-K of Harrow Health, Inc. filed with the Securities and Exchange Commission on March</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13, 2020).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10.48#</w:t>
      </w:r>
      <w:r>
        <w:rPr>
          <w:sz w:val="20"/>
          <w:szCs w:val="20"/>
          <w:color w:val="auto"/>
        </w:rPr>
        <w:tab/>
      </w:r>
      <w:hyperlink r:id="rId125">
        <w:r>
          <w:rPr>
            <w:rFonts w:ascii="Times New Roman" w:cs="Times New Roman" w:eastAsia="Times New Roman" w:hAnsi="Times New Roman"/>
            <w:sz w:val="18"/>
            <w:szCs w:val="18"/>
            <w:u w:val="single" w:color="auto"/>
            <w:color w:val="0000EE"/>
          </w:rPr>
          <w:t>Consulting Agreement dated February 13, 2020 between Stowe Pharmaceuticals, Inc. and John P. Saharek (incorporated herein by reference</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to Exhibit 10.65#* to the Annual Report on Form 10-K of Harrow Health, Inc. filed with the Securities and Exchange Commission on March</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13, 2020).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10.49</w:t>
      </w:r>
      <w:r>
        <w:rPr>
          <w:sz w:val="20"/>
          <w:szCs w:val="20"/>
          <w:color w:val="auto"/>
        </w:rPr>
        <w:tab/>
      </w:r>
      <w:hyperlink r:id="rId126">
        <w:r>
          <w:rPr>
            <w:rFonts w:ascii="Times New Roman" w:cs="Times New Roman" w:eastAsia="Times New Roman" w:hAnsi="Times New Roman"/>
            <w:sz w:val="18"/>
            <w:szCs w:val="18"/>
            <w:u w:val="single" w:color="auto"/>
            <w:color w:val="0000EE"/>
          </w:rPr>
          <w:t>Business Loan Agreement with Renasant Bank pursuant to the Paycheck Protection Program, dated April 27, 2020 (incorporated herein by</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reference to Exhibit 10.1* to the Quarterly Report on Form 10-Q of Harrow Health, Inc. filed with the Securities and Exchange Commission</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on August 10, 2020).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right="2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10.50</w:t>
      </w:r>
      <w:r>
        <w:rPr>
          <w:sz w:val="20"/>
          <w:szCs w:val="20"/>
          <w:color w:val="auto"/>
        </w:rPr>
        <w:tab/>
      </w:r>
      <w:hyperlink r:id="rId127">
        <w:r>
          <w:rPr>
            <w:rFonts w:ascii="Times New Roman" w:cs="Times New Roman" w:eastAsia="Times New Roman" w:hAnsi="Times New Roman"/>
            <w:sz w:val="18"/>
            <w:szCs w:val="18"/>
            <w:u w:val="single" w:color="auto"/>
            <w:color w:val="0000EE"/>
          </w:rPr>
          <w:t>Second Amendment, dated as of April 1, 2020, to the Loan and Security Agreement by and among Harrow Health, Inc., several of its wholly-</w:t>
        </w:r>
      </w:hyperlink>
      <w:hyperlink r:id="rId127">
        <w:r>
          <w:rPr>
            <w:rFonts w:ascii="Times New Roman" w:cs="Times New Roman" w:eastAsia="Times New Roman" w:hAnsi="Times New Roman"/>
            <w:sz w:val="18"/>
            <w:szCs w:val="18"/>
            <w:u w:val="single" w:color="auto"/>
            <w:color w:val="0000EE"/>
          </w:rPr>
          <w:t>owned subsidiaries and the Lenders named therein (incorporated herein by reference to Exhibit 10.2 to the Quarterly Report on Form 10-Q of</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Harrow Health, Inc. filed with the Securities and Exchange Commission on August 10, 2020).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10.51</w:t>
      </w:r>
      <w:r>
        <w:rPr>
          <w:sz w:val="20"/>
          <w:szCs w:val="20"/>
          <w:color w:val="auto"/>
        </w:rPr>
        <w:tab/>
      </w:r>
      <w:hyperlink r:id="rId128">
        <w:r>
          <w:rPr>
            <w:rFonts w:ascii="Times New Roman" w:cs="Times New Roman" w:eastAsia="Times New Roman" w:hAnsi="Times New Roman"/>
            <w:sz w:val="18"/>
            <w:szCs w:val="18"/>
            <w:u w:val="single" w:color="auto"/>
            <w:color w:val="0000EE"/>
          </w:rPr>
          <w:t>Commercial Alliance Agreement between Eyepoint Pharmaceuticals, Inc. and ImprimisRx, LLC dated August 1, 2020 (incorporated herein</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by reference to Exhibit 10.1*# to the Quarterly Report on Form 10-Q of Harrow Health, Inc. filed with the Securities and Exchange</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Commission on November 9, 2020).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10.52</w:t>
      </w:r>
      <w:r>
        <w:rPr>
          <w:sz w:val="20"/>
          <w:szCs w:val="20"/>
          <w:color w:val="auto"/>
        </w:rPr>
        <w:tab/>
      </w:r>
      <w:hyperlink r:id="rId129">
        <w:r>
          <w:rPr>
            <w:rFonts w:ascii="Times New Roman" w:cs="Times New Roman" w:eastAsia="Times New Roman" w:hAnsi="Times New Roman"/>
            <w:sz w:val="18"/>
            <w:szCs w:val="18"/>
            <w:u w:val="single" w:color="auto"/>
            <w:color w:val="0000EE"/>
          </w:rPr>
          <w:t>Expansion Term Letter Agreement dated December 6, 2021 between Eyepoint Pharmaceuticals, Inc. and ImprimisRx, LLC (incorporated</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herein by reference to Exhibit 10.50 to the Annual Report on Form 10-K of Harrow Health, Inc. filed with the Securities and Exchange</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Commission on March 10,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10.53</w:t>
      </w:r>
      <w:r>
        <w:rPr>
          <w:sz w:val="20"/>
          <w:szCs w:val="20"/>
          <w:color w:val="auto"/>
        </w:rPr>
        <w:tab/>
      </w:r>
      <w:hyperlink r:id="rId130">
        <w:r>
          <w:rPr>
            <w:rFonts w:ascii="Times New Roman" w:cs="Times New Roman" w:eastAsia="Times New Roman" w:hAnsi="Times New Roman"/>
            <w:sz w:val="18"/>
            <w:szCs w:val="18"/>
            <w:u w:val="single" w:color="auto"/>
            <w:color w:val="0000EE"/>
          </w:rPr>
          <w:t>Mutual Termination Agreement dated October 7, 2022 between ImprimisRx and EyePoint Pharmaceuticals, Inc. (incorporated herein by</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reference to Exhibit 10.3 to the Quarterly Report on Form 10-Q of Harrow Health,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November 14,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10.54</w:t>
      </w:r>
      <w:r>
        <w:rPr>
          <w:sz w:val="20"/>
          <w:szCs w:val="20"/>
          <w:color w:val="auto"/>
        </w:rPr>
        <w:tab/>
      </w:r>
      <w:hyperlink r:id="rId131">
        <w:r>
          <w:rPr>
            <w:rFonts w:ascii="Times New Roman" w:cs="Times New Roman" w:eastAsia="Times New Roman" w:hAnsi="Times New Roman"/>
            <w:sz w:val="18"/>
            <w:szCs w:val="18"/>
            <w:u w:val="single" w:color="auto"/>
            <w:color w:val="0000EE"/>
          </w:rPr>
          <w:t>License and Supply Agreement dated July 25, 2021 between Harrow Health, Inc. and Sintetica, S.A. (incorporated herein by reference to</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Exhibit 10.2 to the Current Report on Form 10-Q of Harrow Health, Inc. filed with the Securities and Exchange Commission on August 10,</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2021)</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10.55#</w:t>
      </w:r>
      <w:r>
        <w:rPr>
          <w:sz w:val="20"/>
          <w:szCs w:val="20"/>
          <w:color w:val="auto"/>
        </w:rPr>
        <w:tab/>
      </w:r>
      <w:hyperlink r:id="rId132">
        <w:r>
          <w:rPr>
            <w:rFonts w:ascii="Times New Roman" w:cs="Times New Roman" w:eastAsia="Times New Roman" w:hAnsi="Times New Roman"/>
            <w:sz w:val="18"/>
            <w:szCs w:val="18"/>
            <w:u w:val="single" w:color="auto"/>
            <w:color w:val="0000EE"/>
          </w:rPr>
          <w:t>Harrow Health, Inc. 2017 Incentive Stock and Awards Plan (incorporated herein by reference to Exhibit 10.1 to the Registration Statement on</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Form S-8 of Imprimis Pharmaceuticals, Inc. filed with the Securities and Exchange Commission on August 25, 2017)</w:t>
        </w:r>
      </w:hyperlink>
    </w:p>
    <w:p>
      <w:pPr>
        <w:spacing w:after="0" w:line="1" w:lineRule="exact"/>
        <w:rPr>
          <w:sz w:val="20"/>
          <w:szCs w:val="20"/>
          <w:color w:val="auto"/>
        </w:rPr>
      </w:pPr>
    </w:p>
    <w:p>
      <w:pPr>
        <w:jc w:val="both"/>
        <w:ind w:left="960" w:right="2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10.56#</w:t>
      </w:r>
      <w:r>
        <w:rPr>
          <w:sz w:val="20"/>
          <w:szCs w:val="20"/>
          <w:color w:val="auto"/>
        </w:rPr>
        <w:tab/>
      </w:r>
      <w:hyperlink r:id="rId133">
        <w:r>
          <w:rPr>
            <w:rFonts w:ascii="Times New Roman" w:cs="Times New Roman" w:eastAsia="Times New Roman" w:hAnsi="Times New Roman"/>
            <w:sz w:val="18"/>
            <w:szCs w:val="18"/>
            <w:u w:val="single" w:color="auto"/>
            <w:color w:val="0000EE"/>
          </w:rPr>
          <w:t>First Amendment to the Harrow Health, Inc. 2017 Incentive Stock and Awards Plan (incorporated herein by reference to Appendix A to</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Harrow Health, Inc.’s Definitive Proxy Statement filed with the Securities and Exchange Commission on April 23, 2021)</w:t>
        </w:r>
      </w:hyperlink>
    </w:p>
    <w:p>
      <w:pPr>
        <w:spacing w:after="0" w:line="1" w:lineRule="exact"/>
        <w:rPr>
          <w:sz w:val="20"/>
          <w:szCs w:val="20"/>
          <w:color w:val="auto"/>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10.57</w:t>
      </w:r>
      <w:r>
        <w:rPr>
          <w:sz w:val="20"/>
          <w:szCs w:val="20"/>
          <w:color w:val="auto"/>
        </w:rPr>
        <w:tab/>
      </w:r>
      <w:hyperlink r:id="rId134">
        <w:r>
          <w:rPr>
            <w:rFonts w:ascii="Times New Roman" w:cs="Times New Roman" w:eastAsia="Times New Roman" w:hAnsi="Times New Roman"/>
            <w:sz w:val="18"/>
            <w:szCs w:val="18"/>
            <w:u w:val="single" w:color="auto"/>
            <w:color w:val="0000EE"/>
          </w:rPr>
          <w:t>Loan and Security Agreement dated September 1, 2021 among Harrow Health, Inc. and Melt Pharmaceuticals, Inc. (incorporated herein by</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reference to Exhibit 10.1 to the Current Report on Form 8-K of Harrow Health,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September 2, 2021)</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10.58</w:t>
      </w:r>
      <w:r>
        <w:rPr>
          <w:sz w:val="20"/>
          <w:szCs w:val="20"/>
          <w:color w:val="auto"/>
        </w:rPr>
        <w:tab/>
      </w:r>
      <w:hyperlink r:id="rId135">
        <w:r>
          <w:rPr>
            <w:rFonts w:ascii="Times New Roman" w:cs="Times New Roman" w:eastAsia="Times New Roman" w:hAnsi="Times New Roman"/>
            <w:sz w:val="18"/>
            <w:szCs w:val="18"/>
            <w:u w:val="single" w:color="auto"/>
            <w:color w:val="0000EE"/>
          </w:rPr>
          <w:t>First Amendment to Loan and Security Agreement dated April 8, 2022 between Harrow Health, Inc. and Melt Pharmaceuticals, Inc.</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(incorporated herein by reference to Exhibit 10.1 to the Quarterly Report on Form 10-Q of Harrow Health, Inc. filed with the Securities and</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Exchange Commission on November 14,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10.59</w:t>
      </w:r>
      <w:r>
        <w:rPr>
          <w:sz w:val="20"/>
          <w:szCs w:val="20"/>
          <w:color w:val="auto"/>
        </w:rPr>
        <w:tab/>
      </w:r>
      <w:hyperlink r:id="rId136">
        <w:r>
          <w:rPr>
            <w:rFonts w:ascii="Times New Roman" w:cs="Times New Roman" w:eastAsia="Times New Roman" w:hAnsi="Times New Roman"/>
            <w:sz w:val="18"/>
            <w:szCs w:val="18"/>
            <w:u w:val="single" w:color="auto"/>
            <w:color w:val="0000EE"/>
          </w:rPr>
          <w:t>Second Amendment to Loan and Security Agreement dated September 21, 2022 between Harrow Health, Inc. and Melt Pharmaceuticals, Inc.</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(incorporated herein by reference to Exhibit 10.2 to the Quarterly Report on Form 10-Q of Harrow Health, Inc. filed with the Securities and</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Exchange Commission on November 14,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10.60</w:t>
      </w:r>
      <w:r>
        <w:rPr>
          <w:sz w:val="20"/>
          <w:szCs w:val="20"/>
          <w:color w:val="auto"/>
        </w:rPr>
        <w:tab/>
      </w:r>
      <w:hyperlink r:id="rId137">
        <w:r>
          <w:rPr>
            <w:rFonts w:ascii="Times New Roman" w:cs="Times New Roman" w:eastAsia="Times New Roman" w:hAnsi="Times New Roman"/>
            <w:sz w:val="18"/>
            <w:szCs w:val="18"/>
            <w:u w:val="single" w:color="auto"/>
            <w:color w:val="0000EE"/>
          </w:rPr>
          <w:t>Basic Sale and Purchase Agreement dated August 18, 2021 between Harrow Health, Inc. and Wakamoto Pharmaceutical Co., Ltd.</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(incorporated herein by reference to Exhibit 10.3 to the Quarterly Report on Form 10-Q of Harrow Health, Inc. filed with the Securities and</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Exchange Commission on November 9, 2021)</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10.61</w:t>
      </w:r>
      <w:r>
        <w:rPr>
          <w:sz w:val="20"/>
          <w:szCs w:val="20"/>
          <w:color w:val="auto"/>
        </w:rPr>
        <w:tab/>
      </w:r>
      <w:hyperlink r:id="rId138">
        <w:r>
          <w:rPr>
            <w:rFonts w:ascii="Times New Roman" w:cs="Times New Roman" w:eastAsia="Times New Roman" w:hAnsi="Times New Roman"/>
            <w:sz w:val="18"/>
            <w:szCs w:val="18"/>
            <w:u w:val="single" w:color="auto"/>
            <w:color w:val="0000EE"/>
          </w:rPr>
          <w:t>License Agreement dated August 18, 2021 between Harrow Health, Inc. and Wakamoto Pharmaceutical Co., Ltd. (incorporated herein by</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reference to Exhibit 10.4 to the Quarterly Report on Form 10-Q of Harrow Health,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November 9, 2021)</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10.62</w:t>
      </w:r>
      <w:r>
        <w:rPr>
          <w:sz w:val="20"/>
          <w:szCs w:val="20"/>
          <w:color w:val="auto"/>
        </w:rPr>
        <w:tab/>
      </w:r>
      <w:hyperlink r:id="rId139">
        <w:r>
          <w:rPr>
            <w:rFonts w:ascii="Times New Roman" w:cs="Times New Roman" w:eastAsia="Times New Roman" w:hAnsi="Times New Roman"/>
            <w:sz w:val="18"/>
            <w:szCs w:val="18"/>
            <w:u w:val="single" w:color="auto"/>
            <w:color w:val="0000EE"/>
          </w:rPr>
          <w:t>Asset Purchase Agreement dated December 17, 2021 between Harrow Health, Inc. and Novartis Technology, LLC and Novartis Ophthalmics</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AG (incorporated herein by reference to Exhibit 10.51 to the Annual Report on Form 10-K of Harrow Health, Inc. filed with the Securities</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and Exchange Commission on March 10,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10.63</w:t>
      </w:r>
      <w:r>
        <w:rPr>
          <w:sz w:val="20"/>
          <w:szCs w:val="20"/>
          <w:color w:val="auto"/>
        </w:rPr>
        <w:tab/>
      </w:r>
      <w:hyperlink r:id="rId140">
        <w:r>
          <w:rPr>
            <w:rFonts w:ascii="Times New Roman" w:cs="Times New Roman" w:eastAsia="Times New Roman" w:hAnsi="Times New Roman"/>
            <w:sz w:val="18"/>
            <w:szCs w:val="18"/>
            <w:u w:val="single" w:color="auto"/>
            <w:color w:val="0000EE"/>
          </w:rPr>
          <w:t>Asset Purchase Agreement dated December 13, 2022 between Harrow Health, Inc. and Novartis Technology, LLC and Novartis Innovative</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Therapies AG (incorporated herein by reference to Exhibit 10.1 to the Current Report on Form 10-K of Harrow Health, Inc. filed with the</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Securities and Exchange Commission on December 14, 2022).</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EE"/>
        </w:rPr>
        <w:t>List of Subsidiaries</w:t>
      </w:r>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the signature page to this Annual Report)</w:t>
      </w:r>
    </w:p>
    <w:p>
      <w:pPr>
        <w:spacing w:after="0" w:line="9" w:lineRule="exact"/>
        <w:rPr>
          <w:rFonts w:ascii="Times New Roman" w:cs="Times New Roman" w:eastAsia="Times New Roman" w:hAnsi="Times New Roman"/>
          <w:sz w:val="18"/>
          <w:szCs w:val="18"/>
          <w:u w:val="single" w:color="auto"/>
          <w:color w:val="0000EE"/>
        </w:rPr>
      </w:pPr>
    </w:p>
    <w:p>
      <w:pPr>
        <w:jc w:val="both"/>
        <w:ind w:left="960" w:hanging="957"/>
        <w:spacing w:after="0" w:line="250" w:lineRule="auto"/>
        <w:tabs>
          <w:tab w:leader="none" w:pos="9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Mark L. Baum, Chief Executive Officer, pursuant to Rule 13a-14(a) or 15d-14(a) of the Securities and Exchange Act of 1934, as adopted pursuant to Section 302 of the Sarbanes-Oxley Act of 2002.</w:t>
      </w:r>
    </w:p>
    <w:p>
      <w:pPr>
        <w:spacing w:after="0" w:line="1" w:lineRule="exact"/>
        <w:rPr>
          <w:rFonts w:ascii="Times New Roman" w:cs="Times New Roman" w:eastAsia="Times New Roman" w:hAnsi="Times New Roman"/>
          <w:sz w:val="18"/>
          <w:szCs w:val="18"/>
          <w:u w:val="single" w:color="auto"/>
          <w:color w:val="0000EE"/>
        </w:rPr>
      </w:pPr>
    </w:p>
    <w:p>
      <w:pPr>
        <w:jc w:val="both"/>
        <w:ind w:left="960" w:right="20" w:hanging="957"/>
        <w:spacing w:after="0" w:line="260" w:lineRule="auto"/>
        <w:tabs>
          <w:tab w:leader="none" w:pos="9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Andrew R. Boll, Chief Financial Officer, pursuant to Rule 13a-14(a) or 15d-14(a) of the Securities and Exchange Act of 1934, as adopted pursuant to Section 302 of the Sarbanes-Oxley Act of 2002.</w:t>
      </w:r>
    </w:p>
    <w:p>
      <w:pPr>
        <w:sectPr>
          <w:pgSz w:w="11900" w:h="16908" w:orient="portrait"/>
          <w:cols w:equalWidth="0" w:num="1">
            <w:col w:w="11240"/>
          </w:cols>
          <w:pgMar w:left="320" w:top="688" w:right="33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executed by Mark L.</w:t>
            </w:r>
          </w:p>
        </w:tc>
      </w:tr>
      <w:tr>
        <w:trPr>
          <w:trHeight w:val="196"/>
        </w:trPr>
        <w:tc>
          <w:tcPr>
            <w:tcW w:w="960" w:type="dxa"/>
            <w:vAlign w:val="bottom"/>
          </w:tcPr>
          <w:p>
            <w:pPr>
              <w:spacing w:after="0"/>
              <w:rPr>
                <w:sz w:val="17"/>
                <w:szCs w:val="17"/>
                <w:color w:val="auto"/>
              </w:rPr>
            </w:pPr>
          </w:p>
        </w:tc>
        <w:tc>
          <w:tcPr>
            <w:tcW w:w="102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Baum, Chief Executive Officer.</w:t>
            </w:r>
          </w:p>
        </w:tc>
      </w:tr>
      <w:tr>
        <w:trPr>
          <w:trHeight w:val="20"/>
        </w:trPr>
        <w:tc>
          <w:tcPr>
            <w:tcW w:w="96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executed by Andrew</w:t>
            </w:r>
          </w:p>
        </w:tc>
      </w:tr>
      <w:tr>
        <w:trPr>
          <w:trHeight w:val="196"/>
        </w:trPr>
        <w:tc>
          <w:tcPr>
            <w:tcW w:w="960" w:type="dxa"/>
            <w:vAlign w:val="bottom"/>
          </w:tcPr>
          <w:p>
            <w:pPr>
              <w:spacing w:after="0"/>
              <w:rPr>
                <w:sz w:val="17"/>
                <w:szCs w:val="17"/>
                <w:color w:val="auto"/>
              </w:rPr>
            </w:pPr>
          </w:p>
        </w:tc>
        <w:tc>
          <w:tcPr>
            <w:tcW w:w="102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 Boll, Chief Financial Officer.</w:t>
            </w:r>
          </w:p>
        </w:tc>
      </w:tr>
      <w:tr>
        <w:trPr>
          <w:trHeight w:val="20"/>
        </w:trPr>
        <w:tc>
          <w:tcPr>
            <w:tcW w:w="96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Instant Document - the instance document does not appear in the Interactive Data File because its XBRL tags are embedded within the</w:t>
            </w:r>
          </w:p>
        </w:tc>
      </w:tr>
      <w:tr>
        <w:trPr>
          <w:trHeight w:val="216"/>
        </w:trPr>
        <w:tc>
          <w:tcPr>
            <w:tcW w:w="960" w:type="dxa"/>
            <w:vAlign w:val="bottom"/>
          </w:tcPr>
          <w:p>
            <w:pPr>
              <w:spacing w:after="0"/>
              <w:rPr>
                <w:sz w:val="18"/>
                <w:szCs w:val="18"/>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the Company’s Annual Report on Form 10-K for the year ended December 31, 2020 has been formatted in Inline XBRL</w:t>
            </w:r>
          </w:p>
        </w:tc>
      </w:tr>
    </w:tbl>
    <w:p>
      <w:pPr>
        <w:spacing w:after="0" w:line="198" w:lineRule="exact"/>
        <w:rPr>
          <w:sz w:val="20"/>
          <w:szCs w:val="20"/>
          <w:color w:val="auto"/>
        </w:rPr>
      </w:pPr>
    </w:p>
    <w:p>
      <w:pPr>
        <w:ind w:right="6560" w:firstLine="8"/>
        <w:spacing w:after="0" w:line="261" w:lineRule="auto"/>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9" w:lineRule="exact"/>
        <w:rPr>
          <w:rFonts w:ascii="Times New Roman" w:cs="Times New Roman" w:eastAsia="Times New Roman" w:hAnsi="Times New Roman"/>
          <w:sz w:val="18"/>
          <w:szCs w:val="18"/>
          <w:color w:val="auto"/>
        </w:rPr>
      </w:pPr>
    </w:p>
    <w:p>
      <w:pPr>
        <w:ind w:left="340" w:hanging="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has been granted with respect to portions of this exhibit pursuant to Rule 24b-2 of the Exchange Act and these confidential portions have been redacted from the filing that is incorporated herein by reference. A complete copy of this exhibit, including the redacted terms, has been separately filed with the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32061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23, 2023</w:t>
      </w:r>
    </w:p>
    <w:p>
      <w:pPr>
        <w:spacing w:after="0" w:line="2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Mark L. Baum and Andrew R. Boll, and each of them individually, as his true and lawful attorneys-in-fact and agents with full power of substitution and resubstitution, for him and in his name, place and stead, in any and all capacities to any or all amendments to this Annual Report, and to file the same, with all exhibits thereto, and other documents in connection therewith, with the Securities and Exchange Commission, granting unto said attorneys-in-fact and agents or any of them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substitutes, may lawfully do or cause to be done by virtue thereof.</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6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2"/>
                <w:szCs w:val="22"/>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20" w:type="dxa"/>
            <w:vAlign w:val="bottom"/>
          </w:tcPr>
          <w:p>
            <w:pPr>
              <w:spacing w:after="0"/>
              <w:rPr>
                <w:sz w:val="22"/>
                <w:szCs w:val="22"/>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L. Baum</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Mark L. Baum</w:t>
            </w:r>
          </w:p>
        </w:tc>
        <w:tc>
          <w:tcPr>
            <w:tcW w:w="220" w:type="dxa"/>
            <w:vAlign w:val="bottom"/>
          </w:tcPr>
          <w:p>
            <w:pPr>
              <w:spacing w:after="0"/>
              <w:rPr>
                <w:sz w:val="20"/>
                <w:szCs w:val="20"/>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 and Corporate Secretary</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Andrew R. Boll</w:t>
            </w:r>
          </w:p>
        </w:tc>
        <w:tc>
          <w:tcPr>
            <w:tcW w:w="220" w:type="dxa"/>
            <w:vAlign w:val="bottom"/>
          </w:tcPr>
          <w:p>
            <w:pPr>
              <w:spacing w:after="0"/>
              <w:rPr>
                <w:sz w:val="20"/>
                <w:szCs w:val="20"/>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 Lawrence Van Horn</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 Lawrence Van Horn</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Teresa F. Sparks</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Teresa F. Sparks</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Richard L. Lindstrom</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Richard L. Lindstrom</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Perry J. Sternberg</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Perry J. Sternberg</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Martin Makary</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Martin Makary</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00" w:type="dxa"/>
            <w:vAlign w:val="bottom"/>
            <w:gridSpan w:val="4"/>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7"/>
              </w:rPr>
              <w:t>FINANCIAL STATEMENTS</w:t>
            </w: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00" w:type="dxa"/>
            <w:vAlign w:val="bottom"/>
            <w:gridSpan w:val="4"/>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Harrow Health, Inc.</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5720" w:type="dxa"/>
            <w:vAlign w:val="bottom"/>
            <w:gridSpan w:val="6"/>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170)</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at December 31, 2022 and 2021</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2022 and 2021</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2022 and 2021</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2022 and 2021</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700" w:type="dxa"/>
            <w:vAlign w:val="bottom"/>
            <w:tcBorders>
              <w:top w:val="single" w:sz="8" w:color="CCEEFF"/>
              <w:bottom w:val="single" w:sz="8" w:color="auto"/>
            </w:tcBorders>
            <w:gridSpan w:val="4"/>
          </w:tcPr>
          <w:p>
            <w:pPr>
              <w:jc w:val="center"/>
              <w:ind w:right="2340"/>
              <w:spacing w:after="0"/>
              <w:rPr>
                <w:sz w:val="20"/>
                <w:szCs w:val="20"/>
                <w:color w:val="auto"/>
              </w:rPr>
            </w:pPr>
            <w:r>
              <w:rPr>
                <w:rFonts w:ascii="Times New Roman" w:cs="Times New Roman" w:eastAsia="Times New Roman" w:hAnsi="Times New Roman"/>
                <w:sz w:val="18"/>
                <w:szCs w:val="18"/>
                <w:color w:val="auto"/>
                <w:w w:val="95"/>
              </w:rPr>
              <w:t>F-1</w:t>
            </w:r>
          </w:p>
        </w:tc>
        <w:tc>
          <w:tcPr>
            <w:tcW w:w="21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63" w:name="page64"/>
    <w:bookmarkEnd w:id="63"/>
    <w:p>
      <w:pPr>
        <w:spacing w:after="0" w:line="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Harrow Health, Inc. and subsidiaries (the “Company”) as of December 31, 2022 and 2021, the related consolidated statements of operations, stockholders’ equity and cash flows for each of the two years in the period ended December 31, 2022, and the related notes (collectively referred to as the “consolidated financial statements”). In our opinion, the consolidated financial statements referred to above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Deductions – Branded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revenues from branded product sales are recognized net of accruals for estimated rebates, wholesaler chargebacks, discounts and other deductions (collectively, “sales deductions”), which are established at the time of sale. Management’s estimate of sales deductions for branded products is based on the inventory levels in the distribution channel as provided by wholesalers, as well as the actual average selling price for each product which is impacted by changes in customer mix, changes in negotiated terms with customers, and changes in the volume of purchases. In addition, management utilizes the services of a third-party professional services firm to estimate rebates and chargebacks associated with sales of its branded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estimates of accruals for sales deductions as a critical audit matter given the limited sales history of the Company’s branded products and the significant judgment required by management with respect to the measurement uncertainty, as the calculation of the sales deductions includes assumptions such as average selling price, purchasing trends of wholesalers and historical branded product sales used to predict future sales. This required a high degree of auditor judgment and an increased extent of audit effort in applying the procedures related to management’s assumptions.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test management’s estimated branded product sales deductions, we obtained management’s calculations for the respective estimates and performed the following procedures, among others. We tested management’s estimation process for determining accruals for product sales deductions by developing an independent expectation of the estimated accrual rates, including comparison of rates used in management’s analysis to external industry data, historical actual information, and executed third-party contracts. We evaluated management’s historic ability to accurately estimate the sales deduction accruals by retrospectively comparing historically recorded accruals to the actual amounts that were ultimately claimed by the wholesalers. In addition, we assessed subsequent events to determine whether there was any new information that would require adjustment to the accruals.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KMJ Corbin &amp; Company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91" w:orient="portrait"/>
          <w:cols w:equalWidth="0" w:num="1">
            <w:col w:w="11240"/>
          </w:cols>
          <w:pgMar w:left="320" w:top="684" w:right="339" w:bottom="0"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96,270,000</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42,167,000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Eton Pharmaceuticals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5,589,000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8,503,000</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6,249,000</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4,470,000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6,541,000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4,217,000</w:t>
            </w: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3,611,000</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1,305,000</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118,260,000</w:t>
            </w:r>
          </w:p>
        </w:tc>
        <w:tc>
          <w:tcPr>
            <w:tcW w:w="3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60,662,000</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3,486,000</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3,141,000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costs, net</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2,112,000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1,313,000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1,950,000</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7,513,000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5,935,000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23,725,000</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15,813,000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Melt Pharmaceuticals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11,133,000</w:t>
            </w: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332,000</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332,000</w:t>
            </w:r>
          </w:p>
        </w:tc>
      </w:tr>
      <w:tr>
        <w:trPr>
          <w:trHeight w:val="256"/>
        </w:trPr>
        <w:tc>
          <w:tcPr>
            <w:tcW w:w="744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157,378,000</w:t>
            </w:r>
          </w:p>
        </w:tc>
        <w:tc>
          <w:tcPr>
            <w:tcW w:w="32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98,329,000</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7440" w:type="dxa"/>
            <w:vAlign w:val="bottom"/>
            <w:shd w:val="clear" w:color="auto" w:fill="CCEEFF"/>
          </w:tcPr>
          <w:p>
            <w:pPr>
              <w:ind w:left="176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13,771,000</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6,337,000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4,025,000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3,089,000</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113,000</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723,000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272,000</w:t>
            </w: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18,632,000</w:t>
            </w:r>
          </w:p>
        </w:tc>
        <w:tc>
          <w:tcPr>
            <w:tcW w:w="3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9,722,000</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7,332,000</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6,012,000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 net of current portion</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unamortized debt discount</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104,174,000</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71,654,000</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130,138,000</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87,398,000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shares authorized, 29,901,530 and 26,902,763</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2022 and December 31, 2021, respectively</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27,000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137,058,000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106,666,000</w:t>
            </w: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(109,493,000)</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(95,407,000)</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HARROW HEALTH STOCKHOLDERS’ EQUITY</w:t>
            </w: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27,595,000</w:t>
            </w:r>
          </w:p>
        </w:tc>
        <w:tc>
          <w:tcPr>
            <w:tcW w:w="3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11,286,000</w:t>
            </w:r>
          </w:p>
        </w:tc>
        <w:tc>
          <w:tcPr>
            <w:tcW w:w="100" w:type="dxa"/>
            <w:vAlign w:val="bottom"/>
            <w:tcBorders>
              <w:top w:val="single" w:sz="8" w:color="CCEEFF"/>
            </w:tcBorders>
          </w:tcPr>
          <w:p>
            <w:pPr>
              <w:spacing w:after="0"/>
              <w:rPr>
                <w:sz w:val="17"/>
                <w:szCs w:val="17"/>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(355,000)</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(355,000)</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27,240,000</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10,931,000</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7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157,378,000</w:t>
            </w:r>
          </w:p>
        </w:tc>
        <w:tc>
          <w:tcPr>
            <w:tcW w:w="3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98,329,000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481"/>
              <w:spacing w:after="0"/>
              <w:rPr>
                <w:sz w:val="20"/>
                <w:szCs w:val="20"/>
                <w:color w:val="auto"/>
              </w:rPr>
            </w:pPr>
            <w:r>
              <w:rPr>
                <w:rFonts w:ascii="Times New Roman" w:cs="Times New Roman" w:eastAsia="Times New Roman" w:hAnsi="Times New Roman"/>
                <w:sz w:val="18"/>
                <w:szCs w:val="18"/>
                <w:color w:val="auto"/>
              </w:rPr>
              <w:t>For the</w:t>
            </w:r>
          </w:p>
        </w:tc>
        <w:tc>
          <w:tcPr>
            <w:tcW w:w="200" w:type="dxa"/>
            <w:vAlign w:val="bottom"/>
          </w:tcPr>
          <w:p>
            <w:pPr>
              <w:spacing w:after="0"/>
              <w:rPr>
                <w:sz w:val="18"/>
                <w:szCs w:val="18"/>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For the</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481"/>
              <w:spacing w:after="0"/>
              <w:rPr>
                <w:sz w:val="20"/>
                <w:szCs w:val="20"/>
                <w:color w:val="auto"/>
              </w:rPr>
            </w:pPr>
            <w:r>
              <w:rPr>
                <w:rFonts w:ascii="Times New Roman" w:cs="Times New Roman" w:eastAsia="Times New Roman" w:hAnsi="Times New Roman"/>
                <w:sz w:val="18"/>
                <w:szCs w:val="18"/>
                <w:color w:val="auto"/>
                <w:w w:val="98"/>
              </w:rPr>
              <w:t>Year Ended</w:t>
            </w:r>
          </w:p>
        </w:tc>
        <w:tc>
          <w:tcPr>
            <w:tcW w:w="200" w:type="dxa"/>
            <w:vAlign w:val="bottom"/>
          </w:tcPr>
          <w:p>
            <w:pPr>
              <w:spacing w:after="0"/>
              <w:rPr>
                <w:sz w:val="18"/>
                <w:szCs w:val="18"/>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Year Ended</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center"/>
              <w:ind w:right="481"/>
              <w:spacing w:after="0"/>
              <w:rPr>
                <w:sz w:val="20"/>
                <w:szCs w:val="20"/>
                <w:color w:val="auto"/>
              </w:rPr>
            </w:pPr>
            <w:r>
              <w:rPr>
                <w:rFonts w:ascii="Times New Roman" w:cs="Times New Roman" w:eastAsia="Times New Roman" w:hAnsi="Times New Roman"/>
                <w:sz w:val="18"/>
                <w:szCs w:val="18"/>
                <w:color w:val="auto"/>
                <w:w w:val="98"/>
              </w:rPr>
              <w:t>December 31,</w:t>
            </w:r>
          </w:p>
        </w:tc>
        <w:tc>
          <w:tcPr>
            <w:tcW w:w="200" w:type="dxa"/>
            <w:vAlign w:val="bottom"/>
          </w:tcPr>
          <w:p>
            <w:pPr>
              <w:spacing w:after="0"/>
              <w:rPr>
                <w:sz w:val="19"/>
                <w:szCs w:val="19"/>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 net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83,524,000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69,104,000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5,071,000</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88,595,000</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72,476,000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(25,383,000)</w:t>
            </w:r>
          </w:p>
        </w:tc>
        <w:tc>
          <w:tcPr>
            <w:tcW w:w="20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(18,214,000)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63,212,000</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54,262,000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58,243,000</w:t>
            </w:r>
          </w:p>
        </w:tc>
        <w:tc>
          <w:tcPr>
            <w:tcW w:w="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41,315,000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3,050,000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tcPr>
          <w:p>
            <w:pPr>
              <w:spacing w:after="0"/>
              <w:rPr>
                <w:sz w:val="20"/>
                <w:szCs w:val="20"/>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61,293,000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52,648,000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1,919,000</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1,614,000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(7,244,000)</w:t>
            </w:r>
          </w:p>
        </w:tc>
        <w:tc>
          <w:tcPr>
            <w:tcW w:w="20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(5,436,000)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losses of unconsolidated entities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(11,133,000)</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(5,334,000)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loss from Eton Pharmaceuticals</w:t>
            </w:r>
          </w:p>
        </w:tc>
        <w:tc>
          <w:tcPr>
            <w:tcW w:w="22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(2,914,000)</w:t>
            </w:r>
          </w:p>
        </w:tc>
        <w:tc>
          <w:tcPr>
            <w:tcW w:w="20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(10,126,000)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(756,000)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forgiveness of PPP loan</w:t>
            </w:r>
          </w:p>
        </w:tc>
        <w:tc>
          <w:tcPr>
            <w:tcW w:w="22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non-ophthalmology assets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5,259,000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20"/>
                <w:szCs w:val="20"/>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102,000</w:t>
            </w:r>
          </w:p>
        </w:tc>
        <w:tc>
          <w:tcPr>
            <w:tcW w:w="2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(19,488,000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 provision</w:t>
            </w:r>
          </w:p>
        </w:tc>
        <w:tc>
          <w:tcPr>
            <w:tcW w:w="2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(14,011,000)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(17,874,000)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(133,000)</w:t>
            </w: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(14,086,000)</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(18,007,000)</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dividends and accretion of preferred stock issuance costs</w:t>
            </w:r>
          </w:p>
        </w:tc>
        <w:tc>
          <w:tcPr>
            <w:tcW w:w="2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(472,000)</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(14,086,000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(18,479,000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basic and diluted</w:t>
            </w: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27,460,968</w:t>
            </w:r>
          </w:p>
        </w:tc>
        <w:tc>
          <w:tcPr>
            <w:tcW w:w="32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26,757,451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Harrow</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2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5"/>
            <w:vMerge w:val="continue"/>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Additional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Health, Inc.</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Noncontrolling</w:t>
            </w:r>
          </w:p>
        </w:tc>
        <w:tc>
          <w:tcPr>
            <w:tcW w:w="14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Par</w:t>
            </w: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Par</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Paid-in</w:t>
            </w:r>
          </w:p>
        </w:tc>
        <w:tc>
          <w:tcPr>
            <w:tcW w:w="6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Accumulated</w:t>
            </w:r>
          </w:p>
        </w:tc>
        <w:tc>
          <w:tcPr>
            <w:tcW w:w="6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Stockholders’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Interests</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20"/>
                <w:szCs w:val="20"/>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Value</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Value</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Capital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Deficit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Equity</w:t>
            </w:r>
          </w:p>
        </w:tc>
        <w:tc>
          <w:tcPr>
            <w:tcW w:w="14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184"/>
        </w:trPr>
        <w:tc>
          <w:tcPr>
            <w:tcW w:w="16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at</w:t>
            </w: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25,749,875</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$ 26,000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$ 104,557,000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(77,400,000)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27,183,000</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26,828,000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in connection</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options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25,480</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311,369</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1,207,500</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net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settlement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equity awards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(391,461)</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(3,228,000)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(3,228,000)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(3,228,000)</w:t>
            </w:r>
          </w:p>
        </w:tc>
        <w:tc>
          <w:tcPr>
            <w:tcW w:w="0" w:type="dxa"/>
            <w:vAlign w:val="bottom"/>
          </w:tcPr>
          <w:p>
            <w:pPr>
              <w:spacing w:after="0"/>
              <w:rPr>
                <w:sz w:val="1"/>
                <w:szCs w:val="1"/>
                <w:color w:val="auto"/>
              </w:rPr>
            </w:pPr>
          </w:p>
        </w:tc>
      </w:tr>
      <w:tr>
        <w:trPr>
          <w:trHeight w:val="198"/>
        </w:trPr>
        <w:tc>
          <w:tcPr>
            <w:tcW w:w="1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net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of discounts and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10,655,000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10,655,000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Redemption of</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(11,000,000)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(11,000,000)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(11,000,000)</w:t>
            </w:r>
          </w:p>
        </w:tc>
        <w:tc>
          <w:tcPr>
            <w:tcW w:w="0" w:type="dxa"/>
            <w:vAlign w:val="bottom"/>
          </w:tcPr>
          <w:p>
            <w:pPr>
              <w:spacing w:after="0"/>
              <w:rPr>
                <w:sz w:val="1"/>
                <w:szCs w:val="1"/>
                <w:color w:val="auto"/>
              </w:rPr>
            </w:pPr>
          </w:p>
        </w:tc>
      </w:tr>
      <w:tr>
        <w:trPr>
          <w:trHeight w:val="198"/>
        </w:trPr>
        <w:tc>
          <w:tcPr>
            <w:tcW w:w="1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Payment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preferred dividends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(127,000)</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5,745,000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5,745,000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(18,007,000)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(18,007,000)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(18,007,000)</w:t>
            </w:r>
          </w:p>
        </w:tc>
        <w:tc>
          <w:tcPr>
            <w:tcW w:w="0" w:type="dxa"/>
            <w:vAlign w:val="bottom"/>
          </w:tcPr>
          <w:p>
            <w:pPr>
              <w:spacing w:after="0"/>
              <w:rPr>
                <w:sz w:val="1"/>
                <w:szCs w:val="1"/>
                <w:color w:val="auto"/>
              </w:rPr>
            </w:pPr>
          </w:p>
        </w:tc>
      </w:tr>
      <w:tr>
        <w:trPr>
          <w:trHeight w:val="184"/>
        </w:trPr>
        <w:tc>
          <w:tcPr>
            <w:tcW w:w="16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at</w:t>
            </w: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26,902,763</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$ 27,000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$ 106,666,000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(95,407,000)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11,286,000</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in connection</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consultant stock-</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options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19,679</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options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221,086</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586,000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587,000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306,347</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185,000</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to net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settlement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equity awards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(109,771)</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(876,000)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(876,000)</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from public</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net of</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2,376,426</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22,653,000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22,655,000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7,974,000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7,974,000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(14,086,000)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(14,086,000)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(14,086,000)</w:t>
            </w:r>
          </w:p>
        </w:tc>
        <w:tc>
          <w:tcPr>
            <w:tcW w:w="0" w:type="dxa"/>
            <w:vAlign w:val="bottom"/>
          </w:tcPr>
          <w:p>
            <w:pPr>
              <w:spacing w:after="0"/>
              <w:rPr>
                <w:sz w:val="1"/>
                <w:szCs w:val="1"/>
                <w:color w:val="auto"/>
              </w:rPr>
            </w:pPr>
          </w:p>
        </w:tc>
      </w:tr>
      <w:tr>
        <w:trPr>
          <w:trHeight w:val="171"/>
        </w:trPr>
        <w:tc>
          <w:tcPr>
            <w:tcW w:w="162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at</w:t>
            </w: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29,901,530</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30,000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137,058,000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(109,493,000)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27,595,000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For the Years Ended</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(14,086,000)</w:t>
            </w: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(18,007,000)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1,477,000</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1,717,000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1,578,000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161,000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610,000</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518,000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81,000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782,000</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677,000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forgiveness of PPP loan</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loss from Eton Pharmaceuticals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2,914,000</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10,126,000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losses of unconsolidated entities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11,133,000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5,334,000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69,000</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loan</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706,000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249,000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7,974,000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5,745,000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non-ophthalmology assets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(5,259,000)</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(1,860,000)</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(1,831,000)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(2,324,000)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(4,256,000)</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1,839,000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1,730,000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936,000</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774,000</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97,000</w:t>
            </w:r>
          </w:p>
        </w:tc>
        <w:tc>
          <w:tcPr>
            <w:tcW w:w="6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1,705,000</w:t>
            </w:r>
          </w:p>
        </w:tc>
        <w:tc>
          <w:tcPr>
            <w:tcW w:w="32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5,082,000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proceeds from sale of investments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9,826,000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note receivable, Melt Pharmaceuticals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(12,592,000)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non-ophthalmology assets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6,000,000</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patent and trademark assets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(176,000)</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licenses, product NDAs and patents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(5,000,000)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(14,050,000)</w:t>
            </w:r>
          </w:p>
        </w:tc>
        <w:tc>
          <w:tcPr>
            <w:tcW w:w="0" w:type="dxa"/>
            <w:vAlign w:val="bottom"/>
          </w:tcPr>
          <w:p>
            <w:pPr>
              <w:spacing w:after="0"/>
              <w:rPr>
                <w:sz w:val="1"/>
                <w:szCs w:val="1"/>
                <w:color w:val="auto"/>
              </w:rPr>
            </w:pPr>
          </w:p>
        </w:tc>
      </w:tr>
      <w:tr>
        <w:trPr>
          <w:trHeight w:val="237"/>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(2,597,000)</w:t>
            </w:r>
          </w:p>
        </w:tc>
        <w:tc>
          <w:tcPr>
            <w:tcW w:w="6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(1,786,000)</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(18,686,000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8.625% notes payable, net of costs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71,073,000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11.875% notes payable, net of costs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31,738,000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and exit fee payments on SWK loan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(15,961,000)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common stock, net of offering costs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22,655,000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taxes upon vesting of RSUs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(876,000)</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(3,228,000)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642,000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 of preferred stock, net of discount and issuance costs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10,655,000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preferred stock</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(11,000,000)</w:t>
            </w:r>
          </w:p>
        </w:tc>
        <w:tc>
          <w:tcPr>
            <w:tcW w:w="0" w:type="dxa"/>
            <w:vAlign w:val="bottom"/>
          </w:tcPr>
          <w:p>
            <w:pPr>
              <w:spacing w:after="0"/>
              <w:rPr>
                <w:sz w:val="1"/>
                <w:szCs w:val="1"/>
                <w:color w:val="auto"/>
              </w:rPr>
            </w:pPr>
          </w:p>
        </w:tc>
      </w:tr>
      <w:tr>
        <w:trPr>
          <w:trHeight w:val="23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preferred stock dividends</w:t>
            </w:r>
          </w:p>
        </w:tc>
        <w:tc>
          <w:tcPr>
            <w:tcW w:w="380" w:type="dxa"/>
            <w:vAlign w:val="bottom"/>
          </w:tcPr>
          <w:p>
            <w:pPr>
              <w:spacing w:after="0"/>
              <w:rPr>
                <w:sz w:val="20"/>
                <w:szCs w:val="20"/>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54,141,000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CHANGE IN CASH AND CASH EQUIVALENTS</w:t>
            </w:r>
          </w:p>
        </w:tc>
        <w:tc>
          <w:tcPr>
            <w:tcW w:w="3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54,103,000</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37,866,000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42,167,000</w:t>
            </w:r>
          </w:p>
        </w:tc>
        <w:tc>
          <w:tcPr>
            <w:tcW w:w="6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4,301,000</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96,270,000</w:t>
            </w:r>
          </w:p>
        </w:tc>
        <w:tc>
          <w:tcPr>
            <w:tcW w:w="320" w:type="dxa"/>
            <w:vAlign w:val="bottom"/>
            <w:tcBorders>
              <w:top w:val="single" w:sz="8" w:color="CCEEFF"/>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42,167,000</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75,000</w:t>
            </w: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196"/>
        </w:trPr>
        <w:tc>
          <w:tcPr>
            <w:tcW w:w="744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6,480,000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4,823,000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SUPPLEMENTAL DISCLOSURES OF NON-CASH INVESTING</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 included in accounts payable and accrued expenses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123,000</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123,000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 included in accounts payable and accrued expenses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5,000,000</w:t>
            </w:r>
          </w:p>
        </w:tc>
        <w:tc>
          <w:tcPr>
            <w:tcW w:w="32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 obligations</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2,188,000</w:t>
            </w:r>
          </w:p>
        </w:tc>
        <w:tc>
          <w:tcPr>
            <w:tcW w:w="3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Net reduction in right-of-use assets and lease obligations due to modification</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346,000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Melt accounts receivable transferred to note receivable</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908,000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64"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Harrow Health, Inc. (together with its subsidiaries, partially owned companies and royalty arrangements unless the context indicates or otherwise requires, the “Company” or “Harrow”) is an eyecare pharmaceutical company exclusively focused on the discovery, development, and commercialization of innovative ophthalmic therapies that are accessible and affordable.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owns non-controlling equity positions in Surface Ophthalmics, Inc. (“Surface”) and Melt Pharmaceuticals, Inc. (“Melt”), both companies that began as subsidiaries of Harrow. Harrow also owns royalty rights in various drug candidates being developed by Surface and Melt.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Harrow has prepared the accompanying consolidated financial statements in accordance with accounting principles generally accepted in the United States of America (“GAAP”). The accompanying consolidated financial statements include the accounts of the Company and its wholly owned and majority-owned subsidiaries.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Harrow consolidates entities in which it has a controlling financial interest. The Company assesses control under the variable interest entity (“VIE”) model to determine whether the Company is the primary beneficiary of that entity’s operations. The Company consolidates (i) entities in which it holds and/or controls, directly or indirectly, more than 50% of the voting rights, and (ii) entities that the Company deems to be a VIE. All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variable consideration determined based on accruals for chargebacks, administrative fees and rebates, government rebates, returns and other allowances, renewal periods and discount rates for leases, realizability of inventories, recoverability of investments, realizability of deferred taxes, goodwill and intangible assets, recoverability of long-lived assets and goodwill, fair value of loans payable, and valuation of stock-based transactions with employees and non-employees.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Uncertainties and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any noncontrolling interest as a separate line item in equity in the consolidated financial statements. A noncontrolling interest represents the portion of equity ownership in a less-than-wholly-owned subsidiary not attributable to the Company. Generally, any interest that holds less than 50% of the outstanding voting shares is deemed to be a noncontrolling interest; however, there are other factors that are considered as well, such as decision-making rights. When applicable, and in prior periods, the Company includes the amount of net loss attributable to noncontrolling interests in consolidated net loss on the face of the consolidated statements of operations.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provides in the consolidated statements of stockholders’ equity a reconciliation at the beginning and the end of the period of the carrying amount of total equity, equity attributable to the parent, and equity attributable to the noncontrolling interests that separately discloses:</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or loss;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owners acting in their capacity as owners, showing separately contributions from and distributions to owners;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component of other income or loss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noncontrolling interests in the consolidated balance sheets as of December 31, 2022 and 2021, relate to consolidated subsidiaries that the Company owns a controlling stake in, but not 100% of the equity interests, and that no longer have active operations, assets and related financial activity.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shifts in the Company’s strategic plans to further focus on growing the Company’s ImprimisRx business and suspension of activities related to starting up development-stage pharmaceutical companies, along with changes to the Company’s organizational and internal reporting structure, beginning in January 2022, management no longer evaluates the Company’s business in two segments and instead focuses on the performance of the business as a single operating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Deferred 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at the time of transfer of promised goods or services to customers in an amount that reflects the consideration to which the Company expects to be entitled in exchange for those goods or services (see Note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includes direct and indirect costs to manufacture formulations and other products sold, including active pharmaceutical ingredients, personnel costs, packaging, storage, royalties, shipping and handling costs, depreciation and amortization of certain intangible assets and the write-off of obsolete inventory.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consist of expenses incurred in performing research and development activities, including salaries and benefits, other overhead expenses, and costs related to clinical trials, contract services and outsourced contracts. We expense all costs related to R&amp;D as they are incurred.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Upfront and milestone payments related to the acquisition and licensing of technology for drug and product candidates that are not yet approved by the FDA are considered acquisition of in process R&amp;D and expensed as R&amp;D in the period in which the expense occurs.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issuance costs and the debt discount are recorded net of loans payable in the consolidated balance sheets. Amortization of debt issuance costs and the debt discount is calculated using the effective interest method over the term of the related debt and is recorded in interest expense in the accompanying consolidated statements of operations. At December 31, 2022, the Company recorded deferred financing costs of $1,950,000 related to the B. Riley Loan and Security Agreement, which will be recorded as a debt issuance cost and net of the related BR Loan in January 2023 (see Notes 13 and 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below). If costs are not capitalized they are expensed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the Company’s consolidated financial statements, the Company must estimate the actual current tax assets and liabilities and assess permanent and temporary differences that result from differing treatment of items for tax and accounting purposes. The temporary differences result in deferred tax assets and liabilities, which are included within the consolidated balance sheets. The Company must assess the likelihood that the deferred tax assets will be recovered from future taxable income and, to the extent the Company believes that recovery is not more likely than not, a valuation allowance must be established which reduces the amount of deferred tax assets recorded on the consolidated balance sheets. To the extent the Company establishes a valuation allowance or increase or decrease this allowance in a period, the impact will be included in income tax expense in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provisions of Financial Accounting Standards Board (“FASB”)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of December 31, 2022 and 2021, there were no unrecognized tax benefits included in the consolidated balance sheets that would, if recognized, affect the effective tax rate. The Company’s practice is to recognize interest and/or penalties related to income tax matters in income tax expense. The Company had no accrual for interest or penalties in its consolidated balance sheets at December 31, 2022 and 2021, and has not recognized interest and/or penalties in the consolidated statements of operations for the years ended December 31, 2022 and 2021. The Company is subject to taxation in the United States, California, Florida, Georgia, Illinois, New Jersey, New York, Tennessee, and Wisconsin. The Company’s tax years since 2000 may be subject to examination by the federal and state tax authorities due to the carryforward of unutilized net operating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places its cash with financial institutions deemed by management to be of high credit quality. The Federal Deposit Insurance Corporation (“FDIC”) provides basic deposit coverage with limits up to $250,000 per owner. In various accounts the Company has cash deposits in excess of FDIC limits.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Eton Pharmaceuticals, Inc. – Related Party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investment in Eton Pharmaceuticals, Inc. (“Eton”) consists of common stock with a readily determinable fair value which is carried at fair value with changes in fair value recognized in earnings. In accordance with the Accounting Standards Update (“ASU”) 2016-01, </w:t>
      </w:r>
      <w:r>
        <w:rPr>
          <w:rFonts w:ascii="Times New Roman" w:cs="Times New Roman" w:eastAsia="Times New Roman" w:hAnsi="Times New Roman"/>
          <w:sz w:val="18"/>
          <w:szCs w:val="18"/>
          <w:i w:val="1"/>
          <w:iCs w:val="1"/>
          <w:color w:val="auto"/>
        </w:rPr>
        <w:t>Financial Instruments-Overall (Subtopic 825-10): Recognition and Measurement of Financial Assets and Financial Liabilities</w:t>
      </w:r>
      <w:r>
        <w:rPr>
          <w:rFonts w:ascii="Times New Roman" w:cs="Times New Roman" w:eastAsia="Times New Roman" w:hAnsi="Times New Roman"/>
          <w:sz w:val="18"/>
          <w:szCs w:val="18"/>
          <w:color w:val="auto"/>
        </w:rPr>
        <w:t>, the Company recorded an unrealized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from its Eton common stock position of $(2,914,000) and $(8,720,000), during the years ended December 31, 2022 and 2021, respectively, related to the change in fair market value of its investment in Eton during the measurement period.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the Company sold 1,518,000 shares of its Eton common stock through an underwritten public offering at a public offering price of $7.00 per share (the “Eton Stock Sale”). The gross proceeds to the Company from the Eton Stock Sale were $10,626,000, before deducting underwriting discounts and commissions and other offering expenses payable by the Company of $799,000. During the year ended December 31, 2021, the Company recorded a realized loss of $1,406,000 related to the Eton Stock Sale. Following the Eton Stock Sale and as of December 31, 2022, the Company owns 1,982,000 shares of Eton common stock, which represents less than 10% of the equity interests of Eton. At December 31, 2022, the fair market value of Eton’s common stock was $2.82 per share. As of December 31, 2022 and 2021, the fair market value of the Company’s investment in Eton was $5,589,000 and $8,503,000,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are stated net of allowances for doubtful accounts and contractual adjustments. The accounts receivable balance primarily includes amounts due from customers the Company has invoiced or from third-party providers (e.g., insurance companies and governmental agencies), but for which payment has not been received. Charges to bad debt are based on both historical write-offs and specifically identified receivables. Accounts receivable are presented net of allowances for doubtful accounts and contractual adjustments in the amount of $779,000 and $40,000 as of December 31, 2022 and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on a first-in, first-out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owns 3,500,000 shares of common stock of Melt (representing approximately 46% of the equity interests as of December 31, 2022).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earnings and losses in Melt in its consolidated financial statements and adjusts the carrying amount of its investment in Melt accordingly. Any intra-entity profits and losses are eliminated. During the year ended December 31, 2021, the Company reduced the carrying value of its common stock investment in Melt to $0 as a result of the Company recording its share of equity losses in Melt since its deconsolidation in 2019. As of December 31, 2022 and 2021, and at the time of entering into the Melt Loan Agreement (see Note 5), the Company owned 100% of Melt’s indebtedness. Following the reduction of the carrying value of the Company’s common stock investment in Melt to $0, the Company began recording 100% of the equity method losses of Melt, based on its ownership of Melt’s total indebtedness. In addition, the Company treats interest paid in kind on the Melt Loan Agreement as an in-substance capital contribution and reduces its investment in Melt accordingly, rather than recording interest income. The Company has no other requirements to advance funds to Melt.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in Melt as of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8"/>
              </w:rPr>
              <w:t>In-substance</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w:t>
            </w:r>
          </w:p>
        </w:tc>
        <w:tc>
          <w:tcPr>
            <w:tcW w:w="154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Share of Equity</w:t>
            </w:r>
          </w:p>
        </w:tc>
        <w:tc>
          <w:tcPr>
            <w:tcW w:w="1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Paid-in-Kind</w:t>
            </w:r>
          </w:p>
        </w:tc>
        <w:tc>
          <w:tcPr>
            <w:tcW w:w="100" w:type="dxa"/>
            <w:vAlign w:val="bottom"/>
          </w:tcPr>
          <w:p>
            <w:pPr>
              <w:spacing w:after="0"/>
              <w:rPr>
                <w:sz w:val="18"/>
                <w:szCs w:val="18"/>
                <w:color w:val="auto"/>
              </w:rPr>
            </w:pPr>
          </w:p>
        </w:tc>
        <w:tc>
          <w:tcPr>
            <w:tcW w:w="13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9"/>
              </w:rPr>
              <w:t>Capital</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Net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Basis</w:t>
            </w:r>
          </w:p>
        </w:tc>
        <w:tc>
          <w:tcPr>
            <w:tcW w:w="154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Method Losses</w:t>
            </w:r>
          </w:p>
        </w:tc>
        <w:tc>
          <w:tcPr>
            <w:tcW w:w="10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20"/>
                <w:szCs w:val="20"/>
                <w:color w:val="auto"/>
              </w:rPr>
            </w:pPr>
          </w:p>
        </w:tc>
        <w:tc>
          <w:tcPr>
            <w:tcW w:w="13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8"/>
              </w:rPr>
              <w:t>Contributions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Carrying value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13,500,000</w:t>
            </w:r>
          </w:p>
        </w:tc>
        <w:tc>
          <w:tcPr>
            <w:tcW w:w="240" w:type="dxa"/>
            <w:vAlign w:val="bottom"/>
          </w:tcPr>
          <w:p>
            <w:pPr>
              <w:spacing w:after="0"/>
              <w:rPr>
                <w:sz w:val="20"/>
                <w:szCs w:val="20"/>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(13,500,000)</w:t>
            </w:r>
          </w:p>
        </w:tc>
        <w:tc>
          <w:tcPr>
            <w:tcW w:w="1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2,484,000</w:t>
            </w:r>
          </w:p>
        </w:tc>
        <w:tc>
          <w:tcPr>
            <w:tcW w:w="100" w:type="dxa"/>
            <w:vAlign w:val="bottom"/>
          </w:tcPr>
          <w:p>
            <w:pPr>
              <w:spacing w:after="0"/>
              <w:rPr>
                <w:sz w:val="20"/>
                <w:szCs w:val="20"/>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(2,484,000)</w:t>
            </w:r>
          </w:p>
        </w:tc>
        <w:tc>
          <w:tcPr>
            <w:tcW w:w="114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(19,310,000</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(2,484,000</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in Melt as of December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8"/>
              </w:rPr>
              <w:t>In-substance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6"/>
              </w:rPr>
              <w:t>Cost</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Share of Equity</w:t>
            </w: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Paid-in-Kind</w:t>
            </w:r>
          </w:p>
        </w:tc>
        <w:tc>
          <w:tcPr>
            <w:tcW w:w="100" w:type="dxa"/>
            <w:vAlign w:val="bottom"/>
          </w:tcPr>
          <w:p>
            <w:pPr>
              <w:spacing w:after="0"/>
              <w:rPr>
                <w:sz w:val="18"/>
                <w:szCs w:val="18"/>
                <w:color w:val="auto"/>
              </w:rPr>
            </w:pPr>
          </w:p>
        </w:tc>
        <w:tc>
          <w:tcPr>
            <w:tcW w:w="13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9"/>
              </w:rPr>
              <w:t>Capital</w:t>
            </w:r>
          </w:p>
        </w:tc>
        <w:tc>
          <w:tcPr>
            <w:tcW w:w="26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41"/>
        </w:trPr>
        <w:tc>
          <w:tcPr>
            <w:tcW w:w="1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Basis</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Method Losses</w:t>
            </w:r>
          </w:p>
        </w:tc>
        <w:tc>
          <w:tcPr>
            <w:tcW w:w="12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20"/>
                <w:szCs w:val="20"/>
                <w:color w:val="auto"/>
              </w:rPr>
            </w:pPr>
          </w:p>
        </w:tc>
        <w:tc>
          <w:tcPr>
            <w:tcW w:w="13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8"/>
              </w:rPr>
              <w:t>Contributions</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Carrying value</w:t>
            </w:r>
          </w:p>
        </w:tc>
      </w:tr>
      <w:tr>
        <w:trPr>
          <w:trHeight w:val="216"/>
        </w:trPr>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0"/>
              </w:rPr>
              <w:t>(5,810,000)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13,500,000</w:t>
            </w:r>
          </w:p>
        </w:tc>
        <w:tc>
          <w:tcPr>
            <w:tcW w:w="28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(2,367,000)</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576,000</w:t>
            </w:r>
          </w:p>
        </w:tc>
        <w:tc>
          <w:tcPr>
            <w:tcW w:w="100" w:type="dxa"/>
            <w:vAlign w:val="bottom"/>
          </w:tcPr>
          <w:p>
            <w:pPr>
              <w:spacing w:after="0"/>
              <w:rPr>
                <w:sz w:val="20"/>
                <w:szCs w:val="20"/>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(576,000)</w:t>
            </w:r>
          </w:p>
        </w:tc>
        <w:tc>
          <w:tcPr>
            <w:tcW w:w="2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11,133,000</w:t>
            </w:r>
          </w:p>
        </w:tc>
      </w:tr>
      <w:tr>
        <w:trPr>
          <w:trHeight w:val="229"/>
        </w:trPr>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(8,177,000</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(576,000</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December 31, 2022 and 2021, the Company recorded $139,000 and $48,000, respectively, due from Melt for reimbursable expenses and amounts due under a Management Services Agreement between the Company and Melt (the “Melt MSA”), which are included in prepaid expenses and other current assets in the accompanying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owns 3,500,000 common shares of Surface (representing approximately 20% of Surface’s equity interests following the closing of a round of financing completed by Surface in July 2021)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of Surface. Any intra-entity profits and losses are eliminated. During the year ended December 31, 2021, the Company reduced its common stock investment in Surface to $0 as a result of the Company recording its share of equity losses of Surface. The Company has no other investments in Surface.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investment in Surface as of December 31, 2022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Cost</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Share of Equity</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41"/>
        </w:trPr>
        <w:tc>
          <w:tcPr>
            <w:tcW w:w="3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Basis</w:t>
            </w: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Method Losses</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Carrying value</w:t>
            </w:r>
          </w:p>
        </w:tc>
      </w:tr>
      <w:tr>
        <w:trPr>
          <w:trHeight w:val="229"/>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for more information and related party disclosure regarding Surface.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Impairment of Equity Method Investment and Note Receivable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 quarterly basis, management assesses whether there are any indicators that the carrying value of the Company’s equity method investments and note receivable may be other than temporarily impaired. Indicators include financial condition, operating performance, and near-term prospects of the investee. To the extent indicators suggest that a loss in value may have occurred, the Company will evaluate both quantitative and qualitative factors to determine if the loss in value is other than temporary. If a potential loss in value is determined to be other than temporary, the Company will recognize an impairment loss based on the estimated fair value of the equity method investments and note receivable. At December 31, 2022 and December 31, 2021, no indicators of impairment existed.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is stated at cost less accumulated depreciation and amortization. Depreciation and amortization is calculated using the straight-line method over the estimated useful life of the asset. Leasehold improvements and capital lease equipment are amortized over the estimated useful life or remaining lease term, whichever is shorter. Computer hardware and furniture and equipment are depreciated over three to five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Costs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certain costs related to the development of internal-use software. Costs incurred during the application development phase are capitalized only when the Company believes it is probable the development will result in new or additional functionality. The types of costs capitalized during the application development phase include consulting fees for third-party developers working on these projects. Costs related to the preliminary project stage and post-implementation activities are expensed as incurred. Internal-use software is amortized on a straight-line basis over the estimated useful life of the asset, which ranges from two to five years. When internal-use software that was previously capitalized is abandoned, the cost less the accumulated amortization, if any, is recorded as amortization expense. Fully amortized capitalized internal-use software costs are removed from their respective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and trademarks are recorded at cost and capitalized at a time when the future economic benefits of such patents and trademarks become more certain. At that time, the Company capitalizes third-party legal costs and filing fees associated with obtaining and prosecuting claims related to its patents and trademarks. Once the patents have been issued, the Company amortizes these costs over the shorter of the legal life of the patent or its estimated economic life, generally 20 years, using the straight-line method. Acquired product rights, including new drug applications (“NDAs”), are amortized over their estimated useful lives, generally 10 years, based on a straight-line method. Trademarks are an indefinite-lived intangible asset and are assessed for impairment based on future projected cash flows as further described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76"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of the Company’s business relative to expected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economic and industry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Company’s market capitalization for an extended period of time relative to net book value;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impairment test consists of a two-step process as follows: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Long-lived assets, such as property, plant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a contract the Company determines if the arrangement is, or contains, a lease. Operating lease right-of-use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Rent expense is recognized on a straight-line basis over the lease term.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made certain accounting policy elections whereby it (i) does not recognize ROU assets or lease liabilities for short-term leases (those with original terms of 12-months of less) and (ii) combines lease and non-lease elements of its operating leases. As of December 31, 2022, the Company did not have any finance leases.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0" w:lineRule="exact"/>
        <w:rPr>
          <w:sz w:val="20"/>
          <w:szCs w:val="20"/>
          <w:color w:val="auto"/>
        </w:rPr>
      </w:pPr>
    </w:p>
    <w:p>
      <w:pPr>
        <w:ind w:left="340" w:hanging="332"/>
        <w:spacing w:after="0" w:line="26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jc w:val="both"/>
        <w:ind w:left="34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and 2021, the Company measured its investment in Eton on a recurring basis. The Company’s investment in Eton is classified as Level 1 as the fair value is determined using quoted market prices in active markets for the same securities. As of December 31, 2022 and 2021, the fair market value of the Company’s investment in Eton was $5,589,000 and $8,503,000,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carries the 2026 Notes at face value, including the unamortized premium, less unamortized debt issuance costs, and the 2027 Notes are carried at face value less unamortized debt issuance costs on the consolidated balance sheets and presents fair value for disclosure purposes only. The 2026 Notes and 2027 Notes are classified as Level 1 instruments as the fair value is determined using quoted market prices in active markets for the same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fair values and the carrying values: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420"/>
              <w:spacing w:after="0"/>
              <w:rPr>
                <w:sz w:val="20"/>
                <w:szCs w:val="20"/>
                <w:color w:val="auto"/>
              </w:rPr>
            </w:pPr>
            <w:r>
              <w:rPr>
                <w:rFonts w:ascii="Times New Roman" w:cs="Times New Roman" w:eastAsia="Times New Roman" w:hAnsi="Times New Roman"/>
                <w:sz w:val="18"/>
                <w:szCs w:val="18"/>
                <w:color w:val="auto"/>
              </w:rPr>
              <w:t>December 31,</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37"/>
        </w:trPr>
        <w:tc>
          <w:tcPr>
            <w:tcW w:w="2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2021</w:t>
            </w: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36"/>
        </w:trPr>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Carrying Value</w:t>
            </w:r>
          </w:p>
        </w:tc>
        <w:tc>
          <w:tcPr>
            <w:tcW w:w="24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Fair Value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6"/>
              </w:rPr>
              <w:t>Carrying Value</w:t>
            </w:r>
          </w:p>
        </w:tc>
        <w:tc>
          <w:tcPr>
            <w:tcW w:w="24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2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72,436,000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71,550,000</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71,654,000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78,810,000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2027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31,738,000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35,112,000</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20"/>
                <w:szCs w:val="20"/>
                <w:color w:val="auto"/>
              </w:rPr>
            </w:pPr>
          </w:p>
        </w:tc>
      </w:tr>
      <w:tr>
        <w:trPr>
          <w:trHeight w:val="421"/>
        </w:trPr>
        <w:tc>
          <w:tcPr>
            <w:tcW w:w="2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F-12</w:t>
            </w: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other financial instruments include cash and cash equivalents, accounts receivable, accounts payable and accrued expenses, accrued payroll and related liabilities, deferred revenue and customer deposits and operating and finance lease liabilities. The carrying amount of these financial instruments, except for operating and finance lease liabilities, approximates fair value due to the short-term maturities of these instruments. Based on borrowing rates currently available to the Company, the carrying values of the operating and finance lease liabilities approximate their respective fair values.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stock-based payments to employees, directors and consultants, including grants of stock options, warrants, restricted stock units (“RSUs”) and restricted stock, are recognized in the consolidated financial statements based upon their estimated fair values. The Company uses the Black-Scholes-Merton option pricing model and Monte Carlo simulation model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for the period by the weighted average number of common shares outstanding during the period. Diluted income per share is computed by dividing the income attributable to common stockholders for the period by the weighted average number of common and common equivalent shares, such as stock options and warrants, outstanding during the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and diluted net loss per share is computed using the weighted average number of shares of common stock outstanding during the period. Common stock equivalents (using the treasury stock or “if converted” method) from stock options, unvested restricted stock units (“RSUs”) and warrants were 5,089,420 and 5,646,594 at December 31, 2022 and 2021, respectively, and are excluded in the calculation of diluted net income per share for the periods presented, because the effect is anti-dilutive for that time period. Included in the basic and diluted net income (loss) per share calculation were RSUs awarded to directors that had vested, but the issuance and delivery of the shares are deferred until the director resigns. The number of shares underlying vested RSUs at December 31, 2022 and 2021 was 319,859 and 267,761,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computation of basic net loss per share of common stock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2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loss attributable to Harrow Health, Inc. common stockholders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(14,086,000)</w:t>
            </w:r>
          </w:p>
        </w:tc>
        <w:tc>
          <w:tcPr>
            <w:tcW w:w="5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(18,479,000)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 – weighted average number of shares outstanding, basic</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27,460,968</w:t>
            </w:r>
          </w:p>
        </w:tc>
        <w:tc>
          <w:tcPr>
            <w:tcW w:w="1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26,757,451</w:t>
            </w:r>
          </w:p>
        </w:tc>
        <w:tc>
          <w:tcPr>
            <w:tcW w:w="8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This ASU replaces the incurred loss impairment methodology in current U.S. GAAP with a methodology that reflects expected credit losses and requires consideration of a broader range of reasonable and supportable information for credit loss estimates on certain types of financial instruments, including trade receivables. In addition, new disclosures are required. The ASU, as subsequently amended, is effective for the Company for fiscal years beginning after December 15, 2022, as the Company was a smaller reporting company as of November 15, 2019, the determination date. The Company plans to adopt ASU 2016-13 on January 1, 2023 and has evaluated the effect that this guidance will have on its consolidated financial statements. Based on the composition of the Company’s accounts receivable and other financial assets, including current market conditions and historical credit loss activity, the adoption of this standard is not expected to have a material impact on the Company’s consolidated financial statements.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2022, the FASB issued ASU 2022-02, </w:t>
      </w:r>
      <w:r>
        <w:rPr>
          <w:rFonts w:ascii="Times New Roman" w:cs="Times New Roman" w:eastAsia="Times New Roman" w:hAnsi="Times New Roman"/>
          <w:sz w:val="18"/>
          <w:szCs w:val="18"/>
          <w:i w:val="1"/>
          <w:iCs w:val="1"/>
          <w:color w:val="auto"/>
        </w:rPr>
        <w:t>Financial Instruments-Credit Losses (Topic 326): Troubled Debt Restructurings and Vintage Disclosures</w:t>
      </w:r>
      <w:r>
        <w:rPr>
          <w:rFonts w:ascii="Times New Roman" w:cs="Times New Roman" w:eastAsia="Times New Roman" w:hAnsi="Times New Roman"/>
          <w:sz w:val="18"/>
          <w:szCs w:val="18"/>
          <w:color w:val="auto"/>
        </w:rPr>
        <w:t>, which addresses and amends areas identified by the FASB as part of its post-implementation review of the accounting standard that introduced the current expected credit losses (“CECL”) model. The amendments eliminate the accounting guidance for troubled debt restructurings by creditors that have adopted the CECL model and enhance the disclosure requirements for loan refinancings and restructurings made with borrowers experiencing financial difficulty. In addition, the amendments require disclosure of current-period gross write offs for financing receivables and net investment in leases by year of origination in the vintage disclosures. For entities, such as the Company, that have not yet adopted the CECL accounting model in ASU 2016-13, the effective date for the amendments in ASU 2022-02 is the same as the effective date in ASU 2016-13 (i.e., fiscal years beginning after December 15, 2022 including interim periods within those fiscal years). The Company plans to adopt ASU 2022-02 on January 1, 2023. The Company has evaluated the effect of this guidance and does not expect it to have a material impact on its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items and amounts have been reclassified to conform to the classifications used to prepare the consolidated financial statements for the current period. These reclassifications had no material impact on the Company’s consolidated financial position, results of operations, or cash flows as previously reported.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contracts with customers in accordance with ASC 606, </w:t>
      </w:r>
      <w:r>
        <w:rPr>
          <w:rFonts w:ascii="Times New Roman" w:cs="Times New Roman" w:eastAsia="Times New Roman" w:hAnsi="Times New Roman"/>
          <w:sz w:val="18"/>
          <w:szCs w:val="18"/>
          <w:i w:val="1"/>
          <w:iCs w:val="1"/>
          <w:color w:val="auto"/>
        </w:rPr>
        <w:t>Revenues from Contracts with Customers</w:t>
      </w:r>
      <w:r>
        <w:rPr>
          <w:rFonts w:ascii="Times New Roman" w:cs="Times New Roman" w:eastAsia="Times New Roman" w:hAnsi="Times New Roman"/>
          <w:sz w:val="18"/>
          <w:szCs w:val="18"/>
          <w:color w:val="auto"/>
        </w:rPr>
        <w:t>. The Company has three primary streams of revenue: (1) revenue recognized from sales of products through its pharmacy and outsourcing facility and sales of branded products to wholesalers through a third-party logistics (“3PL”) partner, (2) revenue recognized from a commission agreement with a third party, and (3) revenue recognized from intellectual property licenses and asset purchase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w:t>
      </w:r>
    </w:p>
    <w:p>
      <w:pPr>
        <w:ind w:right="20" w:firstLine="8"/>
        <w:spacing w:after="0" w:line="260" w:lineRule="auto"/>
        <w:tabs>
          <w:tab w:leader="none" w:pos="2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to the Company by individuals, and (iii) customer copayments made directly to the pharmacy network. Sales taxes are not included in revenue. Following the core principles of ASC 606, the Company has identified the following:</w:t>
      </w:r>
    </w:p>
    <w:p>
      <w:pPr>
        <w:spacing w:after="0" w:line="179" w:lineRule="exact"/>
        <w:rPr>
          <w:sz w:val="20"/>
          <w:szCs w:val="20"/>
          <w:color w:val="auto"/>
        </w:rPr>
      </w:pPr>
    </w:p>
    <w:p>
      <w:pPr>
        <w:jc w:val="both"/>
        <w:ind w:left="340" w:hanging="332"/>
        <w:spacing w:after="0" w:line="267"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Identify the contract(s) with a customer</w:t>
      </w:r>
      <w:r>
        <w:rPr>
          <w:rFonts w:ascii="Times New Roman" w:cs="Times New Roman" w:eastAsia="Times New Roman" w:hAnsi="Times New Roman"/>
          <w:sz w:val="18"/>
          <w:szCs w:val="18"/>
          <w:color w:val="auto"/>
        </w:rPr>
        <w:t>: A contract is deemed to exist when the customer places an order through receipt of a prescription, via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order or via receipt of a purchase order from a customer. For branded products, orders are received through the Company’s 3PL partner, and the customer takes title of the products via formal purchase orders placed and fulfilled.</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Identify the performance obligations in the contract</w:t>
      </w:r>
      <w:r>
        <w:rPr>
          <w:rFonts w:ascii="Times New Roman" w:cs="Times New Roman" w:eastAsia="Times New Roman" w:hAnsi="Times New Roman"/>
          <w:sz w:val="18"/>
          <w:szCs w:val="18"/>
          <w:color w:val="auto"/>
        </w:rPr>
        <w:t>: Obligations for fulfillment of the Company’s contracts consist of delivering the product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at their specified destination. ASU 2016-10 was issued in April 2016 and amended ASC 606 for shipping and handling activities as follows: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Determine the transaction price</w:t>
      </w:r>
      <w:r>
        <w:rPr>
          <w:rFonts w:ascii="Times New Roman" w:cs="Times New Roman" w:eastAsia="Times New Roman" w:hAnsi="Times New Roman"/>
          <w:sz w:val="18"/>
          <w:szCs w:val="18"/>
          <w:color w:val="auto"/>
        </w:rPr>
        <w:t>: The transaction price is based on an amount that reflects the consideration to which the Company expects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net of accruals for estimated rebates, wholesaler chargebacks, discounts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p>
      <w:pPr>
        <w:spacing w:after="0" w:line="183"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Allocate the transaction price to the performance obligations in the contract</w:t>
      </w:r>
      <w:r>
        <w:rPr>
          <w:rFonts w:ascii="Times New Roman" w:cs="Times New Roman" w:eastAsia="Times New Roman" w:hAnsi="Times New Roman"/>
          <w:sz w:val="18"/>
          <w:szCs w:val="18"/>
          <w:color w:val="auto"/>
        </w:rPr>
        <w:t>: Given that there is only one performance obligation for product sales,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is necessary.</w:t>
      </w:r>
    </w:p>
    <w:p>
      <w:pPr>
        <w:spacing w:after="0" w:line="158"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Recognize revenue when (or as) the entity satisfies a performance obligation</w:t>
      </w:r>
      <w:r>
        <w:rPr>
          <w:rFonts w:ascii="Times New Roman" w:cs="Times New Roman" w:eastAsia="Times New Roman" w:hAnsi="Times New Roman"/>
          <w:sz w:val="18"/>
          <w:szCs w:val="18"/>
          <w:color w:val="auto"/>
        </w:rPr>
        <w:t>: Revenue from products is recognized upon transfer of control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to a customer. This generally occurs upon shipment unless contractual terms with a customer state that transfer of control occurs at delivery.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an agreement whereby it is paid a fee calculated based on sales the Company generates from a pharmaceutical product that is owned by a third party. The revenue earned from this arrangement is recognized, at which point there is no future performance obligation required by the Company and no consequential continuing involvement on the Company’s part to recognize the associated revenue.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Revenues From Transfer of Acquired Product Profit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agreement whereby it purchased the exclusive commercial rights to assets associated with certain ophthalmic products from another pharmaceutical company (the “Seller”). During a temporary, six month transition period, the Seller continued to manufacture and market these products and transfer the net profit from the sale of the products to the Company. The revenue recognized by the Company from the transfer of net profit was recognized at the time profit from the product sales was calculated by the Seller and confirmed by the Company, typically on a monthly basis, at which point there is no future performance obligation required by the Company and no consequential continuing involvement on the Company’s part to recognize the associated revenue. On a quarterly basis, the Seller invoiced the Company for all credits and reimbursements (“Chargebacks”) made to customers related to the products. The Company used historical actual experience to estimate Chargebacks associated with the net profit transferred. The estimate is recorded as a reduction in revenues in the Company’s consolidated statements of operations and accounts receivable in the consolidated balance sheets at the time the revenue is recognized.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License 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holds five intellectual property licenses and related agreements pursuant to which the Company has agreed to license or sell to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revenue source for the years ended December 31, 2022 and 2021,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44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sales,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83,524,000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69,104,000</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Commissions</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3,866,000</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3,253,000</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Transfer of profit</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1,205,000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99,000</w:t>
            </w:r>
          </w:p>
        </w:tc>
      </w:tr>
      <w:tr>
        <w:trPr>
          <w:trHeight w:val="23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88,595,000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72,476,000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and customer deposits at December 31, 2022 and 2021, were $113,000 and $16,000, respectively. All deferred revenue and customer deposit amounts at December 31, 2021 were recognized as revenue during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RECENT PRODUCT ACQUISITIONS, LICENSES AND DIVESTITURES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ILEVRO, NEVANAC, VIGAMOX, MAXIDEX, and TRIESENCE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the Company entered into an Asset Purchase Agreement (the “Fab 5 APA”) with Novartis Technology, LLC and Novartis Innovative Therapies AG (together, “Novartis”), pursuant to which the Company agreed to purchase from Novartis the exclusive commercial rights to assets associated with the following ophthalmic products (collectively the “Fab 5 Products”) in the U.S. (the “Fab 5 Acquisition”): ILEVRO, NEVANAC, VIGAMOX, MAXIDEX, and TRIESENCE. Subsequent to December 31, 2022, the Company closed the Fab 5 Acquisition in January 2023 (see Note 20).</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Fab 5 APA, the Company made a one-time payment of $130,000,000 at closing in January 2023, with up to another $45,000,000 due in a milestone payment related to the timing of the commercial availability of TRIESENCE. Pursuant to the Fab 5 APA and various ancillary agreements, immediately following the closing and subject to certain conditions, for a period that the Company expects to last approximately six months, and prior to the transfer of the Fab 5 Products new drug applications (the “NDAs”) to the Company, Novartis will continue to sell the Fab 5 Products on the Company’s behalf and transfer the net profit from the sale of the Fab 5 Products to the Company. Novartis has agreed to supply certain Fab 5 Products to the Company for a period of time after the NDAs are transferred and to assist with technology transfer of the Fab 5 Products manufacturing to other third-party manufacturers, if needed.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Divestiture of Non-Ophthalmic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2022, wholly-owned subsidiaries of the Company (“Imprimis”) entered into an Asset Purchase Agreement (the “RPC Agreement”) with Innovation Compounding Pharmacy, LLC (the “Buyer”). Under the terms of the RPC Agreement, Imprimis agreed to sell substantially all of its assets associated with its non-ophthalmology related compounding product line, including but not limited to, certain intellectual property rights, customer lists, databases, and formulations (the “RPC Assets”). The Buyer agreed to make offers of employment to six of the Company’s employees that were responsible for the sales activities associated with the RPC Assets. Under the terms of the RPC Agreement, the Buyer paid Imprimis an aggregate cash amount of $6,000,000 in October 2022. In addition, the Buyer is obligated to pay up to $4,500,000 to Imprimis based on mutually agreed upon revenue milestones during the calendar year 2023 (the “Contingent Amount”). During the year ended December 31, 2022, no amount related to the Contingent Amount was recognized by the Company. The Company will recognize a gain related to the Contingent Amount if/when the contingency (in this case, revenue thresholds for 2023) become likely and reasonably estimated.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RPC Agreement, Imprimis entered into a separate transition services agreement with the Buyer related to providing on going services associated with the RPC Assets, such as procuring and dispensing prescription orders, providing accounting and billing services and collecting accounts receivable. The Company expects Imprimis to provide transition services to the Buyer for up to six to nine months following the effective date of the RPC Agreement. The Company collected and will continue to collect cash on behalf of the Buyer for revenue generated by sales of RPC Assets from October 2022 through the transition period and the Company is obligated to transfer cash generated by such sales to the Buyer. The Company’s consolidated balance sheet as of December 31, 2022 reflected $579,000 of cash collected on behalf of the Buyer and a receivable within accounts receivable of $128,000 for cash to be collected on behalf of the Buyer for sales of RPC Assets sold through December 31, 2022.</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due from the Buyer for reimbursement of services performed under the transition services agreement was $254,000 as of December 31, 2022. Such amount was netted against the amounts collected on behalf of the Buyer and was unpaid within accrued expenses on the consolidated balance sheet as of December 31, 2022. The combined total of $453,000 was recorded within accrued expenses on the consolidated balance sheet as of December 31, 2022 and represents a payable to the Buyer. The Company recorded income from the transition services agreement of $102,000 which is presented in other income on the consolidated statement of operations for the year ended December 31, 2022.</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determined that the disposal of the related net assets does not qualify for reporting as discontinued operations because it does not represent a strategic shift that has or will have a major effect on the Company’s operations and financial results. During the year ended December 31, 2022, the Company recognized a net gain on the sale of the non-ophthalmology related compounding assets as follows:</w:t>
      </w:r>
    </w:p>
    <w:tbl>
      <w:tblPr>
        <w:tblLayout w:type="fixed"/>
        <w:tblInd w:w="0" w:type="dxa"/>
        <w:tblCellMar>
          <w:top w:w="0" w:type="dxa"/>
          <w:left w:w="0" w:type="dxa"/>
          <w:bottom w:w="0" w:type="dxa"/>
          <w:right w:w="0" w:type="dxa"/>
        </w:tblCellMar>
      </w:tblPr>
      <w:tr>
        <w:trPr>
          <w:trHeight w:val="197"/>
        </w:trPr>
        <w:tc>
          <w:tcPr>
            <w:tcW w:w="54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Gross consideration</w:t>
            </w: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6,000,000</w:t>
            </w:r>
          </w:p>
        </w:tc>
        <w:tc>
          <w:tcPr>
            <w:tcW w:w="20" w:type="dxa"/>
            <w:vAlign w:val="bottom"/>
            <w:shd w:val="clear" w:color="auto" w:fill="CCEEFF"/>
          </w:tcPr>
          <w:p>
            <w:pPr>
              <w:spacing w:after="0"/>
              <w:rPr>
                <w:sz w:val="17"/>
                <w:szCs w:val="17"/>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Closing and transaction costs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55,000</w:t>
            </w:r>
          </w:p>
        </w:tc>
        <w:tc>
          <w:tcPr>
            <w:tcW w:w="20" w:type="dxa"/>
            <w:vAlign w:val="bottom"/>
          </w:tcPr>
          <w:p>
            <w:pPr>
              <w:spacing w:after="0"/>
              <w:rPr>
                <w:sz w:val="20"/>
                <w:szCs w:val="20"/>
                <w:color w:val="auto"/>
              </w:rPr>
            </w:pPr>
          </w:p>
        </w:tc>
      </w:tr>
      <w:tr>
        <w:trPr>
          <w:trHeight w:val="236"/>
        </w:trPr>
        <w:tc>
          <w:tcPr>
            <w:tcW w:w="5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4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Book value of assets transferred:</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 intangible asset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686,000</w:t>
            </w:r>
          </w:p>
        </w:tc>
        <w:tc>
          <w:tcPr>
            <w:tcW w:w="20" w:type="dxa"/>
            <w:vAlign w:val="bottom"/>
            <w:shd w:val="clear" w:color="auto" w:fill="CCEEFF"/>
          </w:tcPr>
          <w:p>
            <w:pPr>
              <w:spacing w:after="0"/>
              <w:rPr>
                <w:sz w:val="21"/>
                <w:szCs w:val="21"/>
                <w:color w:val="auto"/>
              </w:rPr>
            </w:pPr>
          </w:p>
        </w:tc>
      </w:tr>
      <w:tr>
        <w:trPr>
          <w:trHeight w:val="217"/>
        </w:trPr>
        <w:tc>
          <w:tcPr>
            <w:tcW w:w="540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Gain on sale of non-ophthalmology assets</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5,259,000</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IOPIDINE, MAXITROL and MOXEZA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2021, the Company entered into an Asset Purchase Agreement (the “NVS Agreement”) with Novartis Technology, LLC and Novartis Ophthalmics AG (together, “NVS”), pursuant to which the Company purchased from NVS the exclusive commercial rights, including the NDAs, to assets associated with ophthalmic products Moxeza, Iopidine 1% and 0.5%, and Maxitrol eyedrops suspension (collectively the “NVS Products”) in the United States of America (“U.S.”). The Company made a one-time payment of $14,050,000 to NVS for the U.S. rights to the NVS Products and their related intellectual property. Pursuant to the NVS Agreement and various ancillary agreements, immediately following the Closing Date and subject to certain conditions, for a period of up to six months, and prior to the transfer of the NVS Products NDAs (the “NVS NDAs”) to the Company, NVS sold the NVS Products on the Company’s behalf and transferred the net profit from the sale of the NVS Products to the Company. NVS has agreed to supply certain NVS Products to the Company for a period of time after the NVS NDAs are transferred to the Company and to assist with technology transfer of the NVS Products manufacturing to other third-party manufacturers, if needed.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9" w:name="page80"/>
    <w:bookmarkEnd w:id="79"/>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accounted for this transaction as an asset acquisition, as the Company only acquired the rights and related intellectual property for the NVS Products and the cost was allocated to the acquired patents and NDAs based on their relative fair values.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Supply Agreement for IHEEZO</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2021, the Company entered into a License and Supply Agreement (the “Sintetica Agreement”) with Sintetica S.A. (“Sintetica”), pursuant to which Sintetica granted the Company the exclusive license and marketing rights to its patented ophthalmic drug candidate (“IHEEZO”) in the U.S. and Canada.</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Sintetica Agreement, the Company agreed to pay Sintetica a per unit transfer price to supply IHEEZO, along with a per unit royalty for units sold. The Company is required to pay Sintetica up to $18,000,000 in one-time milestone payments including a $5,000,000 payment (the “Upfront Payment”) due within 30 days of signing the Sintetica Agreement and the balance of payments due upon achievement of certain regulatory and commercial milestones. Under the terms of the Sintetica Agreement, Sintetica is responsible for regulatory filings for IHEEZO in the U.S. The Upfront Payment along with an additional milestone payment of $3,117,000 was paid and recorded as R&amp;D expenses during the year ended December 31, 2021. During the year ended December 31, 2022, $10,000,000 was paid or accrued under the Sintetica Agreement following the FDA approval of the United States NDA for IHEEZO, and was capitalized as an intangible asset.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limitations, the Sintetica Agreement has a ten-year term, and allows for a ten-year extension if certain sales thresholds are met.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Purchase of MAQ-100</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the Company entered into a License Agreement and a Basic Sale and Purchase Agreement (together, the “Wakamoto Agreements”) with Wakamoto Pharmaceutical Co., Ltd. (“Wakamoto”), pursuant to which Wakamoto granted the Company the exclusive license and marketing rights to its ophthalmic drug candidate (“MAQ-100”) in the U.S. and Canada.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Wakamoto Agreements, Wakamoto will supply MAQ-100 to the Company, and the Company will pay Wakamoto a per unit transfer price to supply MAQ-100. In addition, the Company is required to pay Wakamoto various one-time milestone payments totaling up to $2,000,000 upon the achievement of certain regulatory milestones and up to $6,200,000 upon the achievement of certain commercial milestones. Under the terms of the Agreements, the Company will be responsible for regulatory filings and fees for MAQ-100 in the U.S. and Canada. Through December 31, 2022, no amounts have been paid or accrued under the Wakamoto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certain limitations, the term of the Wakamoto Agreements is for five years from the date of the FDA’s market approval of MAQ-100 and allows for a five-year extension if certain unit sales thresholds are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IN MELT PHARMACEUTICALS, INC. AND AGREEMENTS -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mid-single digit royalty payments to the Company on net sales of the Melt Products while any patent rights remain outstanding, as well as other conditions.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2019, the Company and Melt entered into a Management Service Agreement between the Company and Melt (the “Melt MSA”), whereby the Company provides to Melt certain administrative services and support, including bookkeeping, web services and human resources related activities, and Melt is required to pay the Company a monthly amount of $10,000. During the year ended December 31, 2022, the Company recorded $91,000 due from Melt for reimbursable expenses and amounts payable pursuant to the Melt MSA, which are included in prepaid expenses and other current assets in the accompanying condensed consolidated balance sheets. As of December 31, 2022 and December 31, 2021, the Company was due $139,000 and $48,000, respectively, from Melt for reimbursable expenses and amounts due under the Melt MSA. Melt did not make any payments to the Company during the year ended December 31, 2022.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Mark L. Baum, was previously a member of the Melt board of directors until his resignation during the year ended December 31, 2021. Following Mr. Baum’s departure, the Company did not have any representation on Melt’s board of directors until January 2023, when Mr. Baum re-joined the Melt board of directors. At the time Mr. Baum re-joined, the Melt board of directors consists of five total board members, including Mr. Baum, who is the only representative of the Company on Melt’s board of directors.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The unaudited condensed results of operations information of Melt is summarized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35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20"/>
                <w:szCs w:val="20"/>
                <w:color w:val="auto"/>
              </w:rPr>
            </w:pPr>
          </w:p>
        </w:tc>
        <w:tc>
          <w:tcPr>
            <w:tcW w:w="6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12,443,000</w:t>
            </w:r>
          </w:p>
        </w:tc>
        <w:tc>
          <w:tcPr>
            <w:tcW w:w="4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6,069,000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(14,446,000)</w:t>
            </w:r>
          </w:p>
        </w:tc>
        <w:tc>
          <w:tcPr>
            <w:tcW w:w="4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balance sheet information of Melt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38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11,278,000</w:t>
            </w:r>
          </w:p>
        </w:tc>
        <w:tc>
          <w:tcPr>
            <w:tcW w:w="60" w:type="dxa"/>
            <w:vAlign w:val="bottom"/>
            <w:shd w:val="clear" w:color="auto" w:fill="CCEEFF"/>
          </w:tcPr>
          <w:p>
            <w:pPr>
              <w:spacing w:after="0"/>
              <w:rPr>
                <w:sz w:val="18"/>
                <w:szCs w:val="18"/>
                <w:color w:val="auto"/>
              </w:rPr>
            </w:pPr>
          </w:p>
        </w:tc>
      </w:tr>
      <w:tr>
        <w:trPr>
          <w:trHeight w:val="23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107,000</w:t>
            </w:r>
          </w:p>
        </w:tc>
        <w:tc>
          <w:tcPr>
            <w:tcW w:w="5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19,056,000</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15,732,000</w:t>
            </w:r>
          </w:p>
        </w:tc>
      </w:tr>
      <w:tr>
        <w:trPr>
          <w:trHeight w:val="23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preferred stock and stockholders’ deficit</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(18,294,000)</w:t>
            </w:r>
          </w:p>
        </w:tc>
        <w:tc>
          <w:tcPr>
            <w:tcW w:w="5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(4,454,000)</w:t>
            </w:r>
          </w:p>
        </w:tc>
      </w:tr>
      <w:tr>
        <w:trPr>
          <w:trHeight w:val="230"/>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 Note Receivable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 2021, the Company entered into a loan and security agreement in the principal amount of $13,500,000 (the “Melt Loan Agreement”), as lender, with Melt, as borrower. Amounts borrowed under the Melt Loan Agreement bear interest at 12.50% per annum, which interest can be paid in-kind at the option of Melt until the maturity date. The Melt Loan Agreement permits Melt to pay interest only on the principal amount loaned thereunder through the term and all amounts owed were previously due and payable on September 1, 2022. In April 2022, the Company entered into a First Amendment and in September 2022, a Second Amendment (together, the “Amendments”) to the Melt Loan Agreement. The Amendments (i) extended the maturity date of the Melt Loan Agreement to June 1, 2023, which can be extended further to September 1, 2026 upon Melt completing a qualifying financing of a minimum amount of $10,000,000 from third-party investors, (ii) added conditions related to minimum cash amounts following a qualifying financing, and (iii) clarified the definition of material adverse effects. Melt may elect to prepay all, but not less than all, of the amounts owed prior to the maturity date at any time without penalty.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Melt has granted the Company a security interest in substantially all of its personal property, rights and assets, including intellectual property rights, to secure the payment of all amounts owed under the Melt Loan Agreement. The Melt Loan Agreement contains customary representations, warranties and covenants, including covenants by Melt limiting additional indebtedness, liens, mergers and acquisitions, dispositions, investments, distributions, subordinated debt, and transactions with affiliates. The Melt Loan Agreement includes customary events of default, and upon the occurrence of an event of default (subject to cure periods for certain events of default), all amounts owed by Melt thereunder may be declared immediately due and payable by the Company, and the interest rate on the loan may be increased by 3% per annum.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net funds received by Melt excluded $908,000 owed to the Company for reimbursable expenses and amounts due under the Melt MSA prior to the effective date of the note receivable. As of December 31, 2022 and 2021, aggregate principal and accrued interest payable to the Company pursuant to the Melt Loan Agreement amounted to $15,984,000 and $14,076,000, respectively. In accordance with ASC 328, </w:t>
      </w:r>
      <w:r>
        <w:rPr>
          <w:rFonts w:ascii="Times New Roman" w:cs="Times New Roman" w:eastAsia="Times New Roman" w:hAnsi="Times New Roman"/>
          <w:sz w:val="18"/>
          <w:szCs w:val="18"/>
          <w:i w:val="1"/>
          <w:iCs w:val="1"/>
          <w:color w:val="auto"/>
        </w:rPr>
        <w:t>Investments – Equity Method and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Ventures</w:t>
      </w:r>
      <w:r>
        <w:rPr>
          <w:rFonts w:ascii="Times New Roman" w:cs="Times New Roman" w:eastAsia="Times New Roman" w:hAnsi="Times New Roman"/>
          <w:sz w:val="18"/>
          <w:szCs w:val="18"/>
          <w:color w:val="auto"/>
        </w:rPr>
        <w:t>, the carrying amount of the notes receivable has been reduced by the Company’s allocated share of Melt’s losses based on its ownership of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owed by Melt (see Note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INVESTMENT IN SURFACE OPHTHALMICS, INC. AND AGREEMENTS -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 digit royalty payments to the Company on net sales of the Surface Products while any patent rights remain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owned 3,500,000 shares of Surface common stock. Company directors Richard L. Lindstrom, Perry J. Sternberg and Mark L. Baum, who is also the Company’s Chief Executive Officer, are directors of Surface. Dr. Lindstrom is a principal of Flying L Partners, an affiliate of an investor who purchased Surface Series A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results of operations information of Surface is summarized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6"/>
        </w:trPr>
        <w:tc>
          <w:tcPr>
            <w:tcW w:w="35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20"/>
                <w:szCs w:val="20"/>
                <w:color w:val="auto"/>
              </w:rPr>
            </w:pPr>
          </w:p>
        </w:tc>
        <w:tc>
          <w:tcPr>
            <w:tcW w:w="6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(6,719,000)</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10,468,000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(6,579,000)</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balance sheet information of Surface is summarized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37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15,350,000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21,731,000</w:t>
            </w:r>
          </w:p>
        </w:tc>
        <w:tc>
          <w:tcPr>
            <w:tcW w:w="60" w:type="dxa"/>
            <w:vAlign w:val="bottom"/>
            <w:shd w:val="clear" w:color="auto" w:fill="CCEEFF"/>
          </w:tcPr>
          <w:p>
            <w:pPr>
              <w:spacing w:after="0"/>
              <w:rPr>
                <w:sz w:val="18"/>
                <w:szCs w:val="18"/>
                <w:color w:val="auto"/>
              </w:rPr>
            </w:pPr>
          </w:p>
        </w:tc>
      </w:tr>
      <w:tr>
        <w:trPr>
          <w:trHeight w:val="23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652,000</w:t>
            </w:r>
          </w:p>
        </w:tc>
        <w:tc>
          <w:tcPr>
            <w:tcW w:w="5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412,000</w:t>
            </w:r>
          </w:p>
        </w:tc>
      </w:tr>
      <w:tr>
        <w:trPr>
          <w:trHeight w:val="229"/>
        </w:trPr>
        <w:tc>
          <w:tcPr>
            <w:tcW w:w="3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16,002,000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22,143,000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3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1,586,000</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1,514,000</w:t>
            </w:r>
          </w:p>
        </w:tc>
      </w:tr>
      <w:tr>
        <w:trPr>
          <w:trHeight w:val="23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14,416,000</w:t>
            </w:r>
          </w:p>
        </w:tc>
        <w:tc>
          <w:tcPr>
            <w:tcW w:w="5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20,629,000</w:t>
            </w:r>
          </w:p>
        </w:tc>
      </w:tr>
      <w:tr>
        <w:trPr>
          <w:trHeight w:val="229"/>
        </w:trPr>
        <w:tc>
          <w:tcPr>
            <w:tcW w:w="3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16,002,000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22,143,000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December 31, 2022 and 2021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3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4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2,796,000</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1,776,000</w:t>
            </w:r>
          </w:p>
        </w:tc>
        <w:tc>
          <w:tcPr>
            <w:tcW w:w="40" w:type="dxa"/>
            <w:vAlign w:val="bottom"/>
            <w:shd w:val="clear" w:color="auto" w:fill="CCEEFF"/>
          </w:tcPr>
          <w:p>
            <w:pPr>
              <w:spacing w:after="0"/>
              <w:rPr>
                <w:sz w:val="21"/>
                <w:szCs w:val="21"/>
                <w:color w:val="auto"/>
              </w:rPr>
            </w:pPr>
          </w:p>
        </w:tc>
      </w:tr>
      <w:tr>
        <w:trPr>
          <w:trHeight w:val="217"/>
        </w:trPr>
        <w:tc>
          <w:tcPr>
            <w:tcW w:w="3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6,541,000</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4,217,000</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3380" w:type="dxa"/>
            <w:vAlign w:val="bottom"/>
          </w:tcPr>
          <w:p>
            <w:pPr>
              <w:spacing w:after="0"/>
              <w:rPr>
                <w:sz w:val="20"/>
                <w:szCs w:val="20"/>
                <w:color w:val="auto"/>
              </w:rPr>
            </w:pPr>
          </w:p>
        </w:tc>
      </w:tr>
      <w:tr>
        <w:trPr>
          <w:trHeight w:val="237"/>
        </w:trPr>
        <w:tc>
          <w:tcPr>
            <w:tcW w:w="44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380" w:type="dxa"/>
            <w:vAlign w:val="bottom"/>
          </w:tcPr>
          <w:p>
            <w:pPr>
              <w:spacing w:after="0"/>
              <w:rPr>
                <w:sz w:val="20"/>
                <w:szCs w:val="20"/>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858,000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728,000</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Prepaid computer software related expenses</w:t>
            </w: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1,165,000</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248,000</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1,331,000</w:t>
            </w:r>
          </w:p>
        </w:tc>
        <w:tc>
          <w:tcPr>
            <w:tcW w:w="5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189,000</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Receivable due from Melt</w:t>
            </w: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139,000</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3380" w:type="dxa"/>
            <w:vAlign w:val="bottom"/>
          </w:tcPr>
          <w:p>
            <w:pPr>
              <w:spacing w:after="0"/>
              <w:rPr>
                <w:sz w:val="18"/>
                <w:szCs w:val="18"/>
                <w:color w:val="auto"/>
              </w:rPr>
            </w:pPr>
          </w:p>
        </w:tc>
      </w:tr>
      <w:tr>
        <w:trPr>
          <w:trHeight w:val="25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3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118,000</w:t>
            </w:r>
          </w:p>
        </w:tc>
        <w:tc>
          <w:tcPr>
            <w:tcW w:w="52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3380" w:type="dxa"/>
            <w:vAlign w:val="bottom"/>
          </w:tcPr>
          <w:p>
            <w:pPr>
              <w:spacing w:after="0"/>
              <w:rPr>
                <w:sz w:val="21"/>
                <w:szCs w:val="21"/>
                <w:color w:val="auto"/>
              </w:rPr>
            </w:pPr>
          </w:p>
        </w:tc>
      </w:tr>
      <w:tr>
        <w:trPr>
          <w:trHeight w:val="217"/>
        </w:trPr>
        <w:tc>
          <w:tcPr>
            <w:tcW w:w="44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3,611,000</w:t>
            </w: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1,305,000</w:t>
            </w:r>
          </w:p>
        </w:tc>
        <w:tc>
          <w:tcPr>
            <w:tcW w:w="338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9"/>
        </w:trPr>
        <w:tc>
          <w:tcPr>
            <w:tcW w:w="4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F-19</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NOTE 9.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at December 31, 2022 and 2021 consisted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38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Computer hardware</w:t>
            </w: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979,000</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772,000</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equipment</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860,000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443,000</w:t>
            </w:r>
          </w:p>
        </w:tc>
        <w:tc>
          <w:tcPr>
            <w:tcW w:w="4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 and pharmacy equipment</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4,259,000</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4,056,000</w:t>
            </w:r>
          </w:p>
        </w:tc>
        <w:tc>
          <w:tcPr>
            <w:tcW w:w="40" w:type="dxa"/>
            <w:vAlign w:val="bottom"/>
          </w:tcPr>
          <w:p>
            <w:pPr>
              <w:spacing w:after="0"/>
              <w:rPr>
                <w:sz w:val="18"/>
                <w:szCs w:val="18"/>
                <w:color w:val="auto"/>
              </w:rPr>
            </w:pPr>
          </w:p>
        </w:tc>
      </w:tr>
      <w:tr>
        <w:trPr>
          <w:trHeight w:val="249"/>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6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6,449,000</w:t>
            </w:r>
          </w:p>
        </w:tc>
        <w:tc>
          <w:tcPr>
            <w:tcW w:w="5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5,703,000</w:t>
            </w:r>
          </w:p>
        </w:tc>
        <w:tc>
          <w:tcPr>
            <w:tcW w:w="40" w:type="dxa"/>
            <w:vAlign w:val="bottom"/>
            <w:shd w:val="clear" w:color="auto" w:fill="CCEEFF"/>
          </w:tcPr>
          <w:p>
            <w:pPr>
              <w:spacing w:after="0"/>
              <w:rPr>
                <w:sz w:val="21"/>
                <w:szCs w:val="21"/>
                <w:color w:val="auto"/>
              </w:rPr>
            </w:pPr>
          </w:p>
        </w:tc>
      </w:tr>
      <w:tr>
        <w:trPr>
          <w:trHeight w:val="203"/>
        </w:trPr>
        <w:tc>
          <w:tcPr>
            <w:tcW w:w="38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12,547,000</w:t>
            </w:r>
          </w:p>
        </w:tc>
        <w:tc>
          <w:tcPr>
            <w:tcW w:w="22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10,974,000</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4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6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(9,061,000)</w:t>
            </w:r>
          </w:p>
        </w:tc>
        <w:tc>
          <w:tcPr>
            <w:tcW w:w="5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(7,833,000)</w:t>
            </w:r>
          </w:p>
        </w:tc>
      </w:tr>
      <w:tr>
        <w:trPr>
          <w:trHeight w:val="217"/>
        </w:trPr>
        <w:tc>
          <w:tcPr>
            <w:tcW w:w="38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3,486,000</w:t>
            </w: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3,141,000</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disposed of property, plant and equipment with a net book value of $99,000 and $41,000, respectively, and during the year ended December 31, 2021 the Company recorded an impairment charge of $150,000 related to the discontinued use of certain lab equipment, which is included in other expense, net in the consolidated statements of operations. The Company recorded depreciation and amortization expense of $1,253,000 and $1,580,000 during the years ended December 31, 2022 and 2021,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2021, the Company purchased lab and pharmacy equipment at a cost of $753,000 from Eton.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CAPITALIZED SOFTWARE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 costs at December 31, 2022 and 2021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internal-use software development costs</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1,413,000</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942,000</w:t>
            </w:r>
          </w:p>
        </w:tc>
      </w:tr>
      <w:tr>
        <w:trPr>
          <w:trHeight w:val="25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third-party software license for internal-use</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159,000</w:t>
            </w:r>
          </w:p>
        </w:tc>
        <w:tc>
          <w:tcPr>
            <w:tcW w:w="5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159,000</w:t>
            </w:r>
          </w:p>
        </w:tc>
      </w:tr>
      <w:tr>
        <w:trPr>
          <w:trHeight w:val="210"/>
        </w:trPr>
        <w:tc>
          <w:tcPr>
            <w:tcW w:w="4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gross capitalized software for internal-use</w:t>
            </w:r>
          </w:p>
        </w:tc>
        <w:tc>
          <w:tcPr>
            <w:tcW w:w="2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1,572,000</w:t>
            </w:r>
          </w:p>
        </w:tc>
        <w:tc>
          <w:tcPr>
            <w:tcW w:w="2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1,101,000</w:t>
            </w:r>
          </w:p>
        </w:tc>
        <w:tc>
          <w:tcPr>
            <w:tcW w:w="60" w:type="dxa"/>
            <w:vAlign w:val="bottom"/>
            <w:tcBorders>
              <w:top w:val="single" w:sz="8" w:color="CCEEFF"/>
              <w:bottom w:val="single" w:sz="8" w:color="CCEEFF"/>
            </w:tcBorders>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(793,000)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(569,000)</w:t>
            </w:r>
          </w:p>
        </w:tc>
        <w:tc>
          <w:tcPr>
            <w:tcW w:w="60" w:type="dxa"/>
            <w:vAlign w:val="bottom"/>
            <w:shd w:val="clear" w:color="auto" w:fill="CCEEFF"/>
          </w:tcPr>
          <w:p>
            <w:pPr>
              <w:spacing w:after="0"/>
              <w:rPr>
                <w:sz w:val="18"/>
                <w:szCs w:val="18"/>
                <w:color w:val="auto"/>
              </w:rPr>
            </w:pPr>
          </w:p>
        </w:tc>
      </w:tr>
      <w:tr>
        <w:trPr>
          <w:trHeight w:val="23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internal-use software in process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1,333,000</w:t>
            </w:r>
          </w:p>
        </w:tc>
        <w:tc>
          <w:tcPr>
            <w:tcW w:w="5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781,000</w:t>
            </w:r>
          </w:p>
        </w:tc>
      </w:tr>
      <w:tr>
        <w:trPr>
          <w:trHeight w:val="229"/>
        </w:trPr>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amortization expense of $224,000 and $137,000 during the years ended December 31,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INTANGIBLE ASSETS AND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at December 31, 2022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Net</w:t>
            </w:r>
          </w:p>
        </w:tc>
        <w:tc>
          <w:tcPr>
            <w:tcW w:w="1140" w:type="dxa"/>
            <w:vAlign w:val="bottom"/>
          </w:tcPr>
          <w:p>
            <w:pPr>
              <w:spacing w:after="0"/>
              <w:rPr>
                <w:sz w:val="18"/>
                <w:szCs w:val="18"/>
                <w:color w:val="auto"/>
              </w:rPr>
            </w:pPr>
          </w:p>
        </w:tc>
      </w:tr>
      <w:tr>
        <w:trPr>
          <w:trHeight w:val="230"/>
        </w:trPr>
        <w:tc>
          <w:tcPr>
            <w:tcW w:w="2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periods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Accumulated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Carrying</w:t>
            </w:r>
          </w:p>
        </w:tc>
        <w:tc>
          <w:tcPr>
            <w:tcW w:w="1140" w:type="dxa"/>
            <w:vAlign w:val="bottom"/>
          </w:tcPr>
          <w:p>
            <w:pPr>
              <w:spacing w:after="0"/>
              <w:rPr>
                <w:sz w:val="19"/>
                <w:szCs w:val="19"/>
                <w:color w:val="auto"/>
              </w:rPr>
            </w:pPr>
          </w:p>
        </w:tc>
      </w:tr>
      <w:tr>
        <w:trPr>
          <w:trHeight w:val="241"/>
        </w:trPr>
        <w:tc>
          <w:tcPr>
            <w:tcW w:w="2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3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w w:val="98"/>
              </w:rPr>
              <w:t>amortization</w:t>
            </w:r>
          </w:p>
        </w:tc>
        <w:tc>
          <w:tcPr>
            <w:tcW w:w="240" w:type="dxa"/>
            <w:vAlign w:val="bottom"/>
          </w:tcPr>
          <w:p>
            <w:pPr>
              <w:spacing w:after="0"/>
              <w:rPr>
                <w:sz w:val="20"/>
                <w:szCs w:val="20"/>
                <w:color w:val="auto"/>
              </w:rPr>
            </w:pPr>
          </w:p>
        </w:tc>
        <w:tc>
          <w:tcPr>
            <w:tcW w:w="1160" w:type="dxa"/>
            <w:vAlign w:val="bottom"/>
            <w:gridSpan w:val="2"/>
          </w:tcPr>
          <w:p>
            <w:pPr>
              <w:jc w:val="right"/>
              <w:ind w:right="601"/>
              <w:spacing w:after="0"/>
              <w:rPr>
                <w:sz w:val="20"/>
                <w:szCs w:val="20"/>
                <w:color w:val="auto"/>
              </w:rPr>
            </w:pPr>
            <w:r>
              <w:rPr>
                <w:rFonts w:ascii="Times New Roman" w:cs="Times New Roman" w:eastAsia="Times New Roman" w:hAnsi="Times New Roman"/>
                <w:sz w:val="18"/>
                <w:szCs w:val="18"/>
                <w:color w:val="auto"/>
              </w:rPr>
              <w:t>Sold</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value</w:t>
            </w:r>
          </w:p>
        </w:tc>
        <w:tc>
          <w:tcPr>
            <w:tcW w:w="1140" w:type="dxa"/>
            <w:vAlign w:val="bottom"/>
          </w:tcPr>
          <w:p>
            <w:pPr>
              <w:spacing w:after="0"/>
              <w:rPr>
                <w:sz w:val="20"/>
                <w:szCs w:val="20"/>
                <w:color w:val="auto"/>
              </w:rPr>
            </w:pPr>
          </w:p>
        </w:tc>
      </w:tr>
      <w:tr>
        <w:trPr>
          <w:trHeight w:val="216"/>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8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7-19 years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819,000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20 years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(23,000)</w:t>
            </w:r>
          </w:p>
        </w:tc>
        <w:tc>
          <w:tcPr>
            <w:tcW w:w="24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77,000</w:t>
            </w:r>
          </w:p>
        </w:tc>
        <w:tc>
          <w:tcPr>
            <w:tcW w:w="11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Indefinite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267,000</w:t>
            </w:r>
          </w:p>
        </w:tc>
        <w:tc>
          <w:tcPr>
            <w:tcW w:w="114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Acquired NDAs</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10 years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23,720,000</w:t>
            </w:r>
          </w:p>
        </w:tc>
        <w:tc>
          <w:tcPr>
            <w:tcW w:w="100" w:type="dxa"/>
            <w:vAlign w:val="bottom"/>
          </w:tcPr>
          <w:p>
            <w:pPr>
              <w:spacing w:after="0"/>
              <w:rPr>
                <w:sz w:val="18"/>
                <w:szCs w:val="18"/>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(1,363,000)</w:t>
            </w:r>
          </w:p>
        </w:tc>
        <w:tc>
          <w:tcPr>
            <w:tcW w:w="24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22,357,000</w:t>
            </w:r>
          </w:p>
        </w:tc>
        <w:tc>
          <w:tcPr>
            <w:tcW w:w="11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3-15 years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1,519,000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(759,000)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(626,000)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134,000</w:t>
            </w:r>
          </w:p>
        </w:tc>
        <w:tc>
          <w:tcPr>
            <w:tcW w:w="114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5 years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11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Non-competition clause</w:t>
            </w:r>
          </w:p>
        </w:tc>
        <w:tc>
          <w:tcPr>
            <w:tcW w:w="1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3-4 years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3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State pharmacy licenses</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25 years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tcPr>
          <w:p>
            <w:pPr>
              <w:spacing w:after="0"/>
              <w:rPr>
                <w:sz w:val="20"/>
                <w:szCs w:val="20"/>
                <w:color w:val="auto"/>
              </w:rPr>
            </w:pPr>
          </w:p>
        </w:tc>
      </w:tr>
      <w:tr>
        <w:trPr>
          <w:trHeight w:val="230"/>
        </w:trPr>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(2,368,000</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(626,000</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23,725,000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2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9"/>
        </w:trPr>
        <w:tc>
          <w:tcPr>
            <w:tcW w:w="2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F-20</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3" w:name="page84"/>
    <w:bookmarkEnd w:id="83"/>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 net reduction to customer relationships intangible assets of $626,000 related to customer relationships that were associated with the non-ophthalmology assets sold by the Company. The amount was reflected net of the gross proceeds received related to the sale of the Company’s non-ophthalmology assets (see Note 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at December 31, 2021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30"/>
        </w:trPr>
        <w:tc>
          <w:tcPr>
            <w:tcW w:w="2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periods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41"/>
        </w:trPr>
        <w:tc>
          <w:tcPr>
            <w:tcW w:w="2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3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w w:val="98"/>
              </w:rPr>
              <w:t>amortization</w:t>
            </w:r>
          </w:p>
        </w:tc>
        <w:tc>
          <w:tcPr>
            <w:tcW w:w="120" w:type="dxa"/>
            <w:vAlign w:val="bottom"/>
          </w:tcPr>
          <w:p>
            <w:pPr>
              <w:spacing w:after="0"/>
              <w:rPr>
                <w:sz w:val="20"/>
                <w:szCs w:val="20"/>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w w:val="99"/>
              </w:rPr>
              <w:t>Impairment</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value</w:t>
            </w:r>
          </w:p>
        </w:tc>
      </w:tr>
      <w:tr>
        <w:trPr>
          <w:trHeight w:val="216"/>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8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7-19 years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20 years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93,000</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Indefinite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359,000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260,000</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Acquired NDAs</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10 years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13,635,000</w:t>
            </w:r>
          </w:p>
        </w:tc>
        <w:tc>
          <w:tcPr>
            <w:tcW w:w="100" w:type="dxa"/>
            <w:vAlign w:val="bottom"/>
          </w:tcPr>
          <w:p>
            <w:pPr>
              <w:spacing w:after="0"/>
              <w:rPr>
                <w:sz w:val="18"/>
                <w:szCs w:val="18"/>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13,635,000</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3-15 years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1,519,000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(586,000)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933,000</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5 years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Non-competition clause</w:t>
            </w:r>
          </w:p>
        </w:tc>
        <w:tc>
          <w:tcPr>
            <w:tcW w:w="1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3-4 years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State pharmacy licenses</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25 years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Pr>
          <w:p>
            <w:pPr>
              <w:spacing w:after="0"/>
              <w:rPr>
                <w:sz w:val="20"/>
                <w:szCs w:val="20"/>
                <w:color w:val="auto"/>
              </w:rPr>
            </w:pP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16,642,000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(730,000</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recorded impairment charges of $99,000 related to patent filings and trademarks that were abandoned and/or were associated with products the Company was no longer actively selling.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4 related to intangible assets acquired and divested during the years ended December 31,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for the years ended December 31, 2022 and 2021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6"/>
        </w:trPr>
        <w:tc>
          <w:tcPr>
            <w:tcW w:w="304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6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w:t>
            </w:r>
          </w:p>
        </w:tc>
        <w:tc>
          <w:tcPr>
            <w:tcW w:w="3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NDAs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1,363,000</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113,000</w:t>
            </w:r>
          </w:p>
        </w:tc>
        <w:tc>
          <w:tcPr>
            <w:tcW w:w="3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133,000</w:t>
            </w:r>
          </w:p>
        </w:tc>
      </w:tr>
      <w:tr>
        <w:trPr>
          <w:trHeight w:val="230"/>
        </w:trPr>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the Company’s intangible assets at December 31, 2022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2,521,000</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2,521,000</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2,521,000</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2,521,000</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2,521,000</w:t>
            </w:r>
          </w:p>
        </w:tc>
      </w:tr>
      <w:tr>
        <w:trPr>
          <w:trHeight w:val="237"/>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10,853,000</w:t>
            </w:r>
          </w:p>
        </w:tc>
      </w:tr>
      <w:tr>
        <w:trPr>
          <w:trHeight w:val="230"/>
        </w:trPr>
        <w:tc>
          <w:tcPr>
            <w:tcW w:w="46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23,458,000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carrying value of the Company’s goodwill during the years ended December 31, 2022 and 2021.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 12. 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at December 31, 2022 and 2021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4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6,440,000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5,174,000</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 premium</w:t>
            </w: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575,000</w:t>
            </w:r>
          </w:p>
        </w:tc>
        <w:tc>
          <w:tcPr>
            <w:tcW w:w="5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IHEEZO milestone payments (see Note 4)</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Accrued RPC transition payments (see Note 4)</w:t>
            </w: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453,000</w:t>
            </w:r>
          </w:p>
        </w:tc>
        <w:tc>
          <w:tcPr>
            <w:tcW w:w="5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litigation settlements</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49,000</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49,000</w:t>
            </w:r>
          </w:p>
        </w:tc>
      </w:tr>
      <w:tr>
        <w:trPr>
          <w:trHeight w:val="23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(see Note 13)</w:t>
            </w:r>
          </w:p>
        </w:tc>
        <w:tc>
          <w:tcPr>
            <w:tcW w:w="3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1,254,000</w:t>
            </w:r>
          </w:p>
        </w:tc>
        <w:tc>
          <w:tcPr>
            <w:tcW w:w="5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1,114,000</w:t>
            </w:r>
          </w:p>
        </w:tc>
      </w:tr>
      <w:tr>
        <w:trPr>
          <w:trHeight w:val="229"/>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related to debt transactions that occurred subsequent to December 31,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11.875% Senior Notes Due 2027</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the Company closed an offering of $35,000,000 aggregate principal amount of 11.875% senior notes due in December 2027 (the “2027 Notes”). The 2027 Notes were sold to investors at a par value of $25.00 per 2027 Note, and the offering resulted in net proceeds to the Company of approximately $31,738,000 after deducting underwriting discounts and commissions and expenses of $3,626,000.</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2027 Notes are senior unsecured obligations of the Company and rank equally in right of payment with all of the Company’s other existing and future senior unsecured and unsubordinated indebtedness. The 2027 Notes are effectively subordinated in right of payment to all of the Company’s existing and future secured indebtedness and structurally subordinated to all existing and future indebtedness of the Company’s subsidiaries, including trade payables. The 2027 Notes bear interest at the rate of 11.875% per annum. Interest on the 2027 Notes is payable quarterly in arrears on January 31, April 30, July 31 and October 31 of each year, commencing on January 31, 2023. The 2027 Notes will mature on December 31, 2027.</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any time prior to December 31, 2024, the Company may, at its option, redeem the 2027 Notes, in whole at any time or in part from time to time, at a redemption price equal to 100% of the principal amount of the 2027 Notes to be redeemed, plus a make-whole amount, if any, plus accrued and unpaid interest to, but excluding, the date of redemption. The Company may redeem the 2027 Notes for cash in whole or in part at any time at its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In addition, the Company is required to redeem the 2027 Notes, for cash, in whole but not in part, at the price of $25.50 per note, plus accrued and unpaid interest to, but excluding, the date of redemption, upon occurrence of certain events including (i) a failure by the Company to complete the Fab 5 Acquisition), subject to certain exceptions, within 180 calendar days after December 20, 2022, or (ii) the occurrence of a Material Change, as defined in the Second Supplemental Indenture.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8.625% Senior Notes Due 2026</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2021, the Company closed an offering of $50,000,000 aggregate principal amount of 8.625% senior notes due in April 2026, and in May 2021 issued an additional $5,000,000 of such notes pursuant to the full exercise of the underwriters’ option to purchase additional notes (collectively, the “April Notes”). The April Notes were sold to investors at a par value of $25.00 per April Note and the offering resulted in net proceeds to the Company of approximately $51,909,000 after deducting underwriting discounts and commissions and expenses of $3,091,000. In June 2021, in a further issuance of the April Notes, the Company sold an additional $20,000,000 aggregate principal amount of such notes (the “June Notes,” and together with the April Notes, the “ 2026 Notes”), at a price of $25.75 per June Note, with interest of $278,000 on the June Notes being accrued from April 20, 2021 as of the date of issuance. The June offering resulted in net proceeds to the Company of approximately $19,164,000 after deducting underwriting discounts and commissions and expenses of $1,158,000 and a premium on note issuance of $322,000. The June Notes are treated as a single series with the April Notes under the indenture governing the April Notes, dated as of April 20, 2021, and have the same terms as the April Notes (other than the initial offering price and issue date). The 2026 Notes are senior unsecured obligations of the Company and rank equally in right of payment with all of our other existing and future senior unsecured and unsubordinated indebtedness. The 2026 Notes are effectively subordinated in right of payment to all of the Company’s existing and future secured indebtedness and structurally subordinated to all existing and future indebtedness of the Company’s subsidiaries, including trade payables. The 2026 Notes bear interest at a rate of 8.625% per annum. Interest on the 2026 Notes is payable quarterly in arrears on January 31, April 30, July 31 and October 31 of each year, commencing on July 31, 2021. The 2026 Notes will mature on April 30, 2026. The issuance costs were recorded as a debt discount and are being amortized as interest expense, net of the amortization of the premium on note issuance, over the term of the 2026 Notes using the effective interest rate method.</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February 1, 2026, the Company may, at its option, redeem the 2026 Notes, in whole at any time or in part from time to time, at a redemption price equal to 100% of the principal amount of the 2026 Notes to be redeemed, plus a make-whole amount, if any, plus accrued and unpaid interest to, but excluding, the date of redemption. The Company may redeem the 2026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2026 Notes.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947" w:gutter="0" w:footer="0" w:header="0"/>
        </w:sectPr>
      </w:pPr>
    </w:p>
    <w:bookmarkStart w:id="85" w:name="page86"/>
    <w:bookmarkEnd w:id="85"/>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related to the 2026 Notes and 2027 Notes totaled $7,378,000 and $5,132,000 for the years ended December 31, 2022 and 2021, respectively, and included amortization of debt issuance costs and discount of $782,000, and $581,000 for the years ended December 31, 2022 and 2021,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Riley Loan and Security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14, 2022 (the “Effective Date”), the Company entered into a Loan and Security Agreement (the “BR Loan”) with B. Riley Commercial Capital, LLC, as Administrative Agent for the Lenders. The BR Loan provided for a loan facility of up to $100,000,000 to the Company with a maturity date of December 14, 2025 (the “Maturity Date”), at an interest rate of 10.875% per annum.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BR Loan is secured by an intellectual property security agreement entered into in connection with the BR Loan, and by all assets of the Company and its material subsidiaries. The outstanding balance of the BR Loan is due in full on the Maturity Date. The BR Loan provides for voluntary prepayment subject to a prepayment fee of $0 if no Loan had been funded or the prepayment or repayment occurs (other than as a result of acceleration of the BR Loan) on or prior to the date that is 90 days following the Effective Date and up to 3.00% of the amount of the Loan based on other payment dates.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BR Loan also provides for mandatory and customary prepayments, along with customary representations and warranties, covenants and events of default. The covenants set forth in the BR Loan included certain affirmative and negative operational and financial covenants, including, among other things, restrictions on the Company’s ability to incur certain liens, make fundamental changes to its business or engage in transactions with affiliates.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amounts were outstanding under the BR Loan as of December 31, 2022. In January 2023, $59,750,000 of principal amount was funded pursuant to the BR Loan simultaneously with the consummation of the Fab 5 Acquisition (see Note 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SWK Senior Note – Paid in April 2021</w:t>
      </w:r>
    </w:p>
    <w:p>
      <w:pPr>
        <w:spacing w:after="0" w:line="22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In July 2017, the Company and several of its wholly owned subsidiaries entered into a term loan and security agreement in the principal amount of $16,000,000 (the “SWK Loan Agreement” or “SWK Loan”) with SWK Funding LLC and its partners (collectively, “SWK”), as lender and collateral agent. The SWK Loan Agreement was fully funded at closing with a five-year term; however, such term could be reduced to four years if certain revenue requirements were not achieved. The SWK Loan was secured by substantially all of the Company’s assets, including its intellectual property rights. The SWK Loan was subsequently amended in May 2019 and again in April 2020. The SWK Loan bore an interest rate equal to the three-month London Inter-Bank Offered Rate (subject to a minimum of 2.00%), plus an applicable margin of 10.00% (the “Margin Rate”); provided that, if, two days prior to a payment date, the Company provided SWK evidence that the Company has achieved a leverage ratio as of such date of less than 4.00:1:00, the Margin Rate shall equal 9.00%; and if the Company had achieved a leverage ratio as of such date of less than 3.00:1:00, the Margin Rate shall equal 7.00%. The leverage ratio means, as of any date of determination, the ratio of: (a) indebtedness as of such date to (b) EBITDA (as defined in the SWK Loan), of the Company for the immediately preceding 12 month period, adding-back (i) actual litigation expenses for the immediately preceding 12 month period, minus (ii) actual litigation expenses for the immediately preceding 3 month period multiplied by 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material changes contained in the amendment entered into with SWK in April 2020 was as follows:</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SWK agreed to make available to the Company, and the Company drew down on, an additional principal amount of $1,000,000;</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the first amortization date was changed to August 14, 2020, permitting the Company to pay interest only on the principal amount loaned for the next payment (payments are due on a quarterly basis) following the SWK Second Amendment;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payment of $358,000 due May 14, 2020 was paid in-kind by increasing the principal amount of the term loans by an amount equal to the interest accrued as of such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related to the SWK Loan Agreement, as amended, amounted to $647,000 for the year ended December 31, 2021, and included amortization of debt issuance costs and discounts of $96,000 for the year ended December 31,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2021, the Company paid $15,540,000 related to all outstanding obligations to SWK under the SWK Loan, including outstanding principal, accrued interest, accrued exit fee and related expenses and recorded a loss from early extinguishment of $756,000 related to the SWK Loan during the year ended December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Paycheck Protection Program Loan – Forgiven in March 2021</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2020, the Company entered into an unsecured promissory note and related Business Loan Agreement with Renasant Bank, as lender, for a loan (the “PPP Loan”) in the principal amount of $1,967,000 and received cash proceeds of the same amount, pursuant to the Paycheck Protection Program (the “PPP”) under the Federal Coronavirus Aid, Relief, and Economic Security Act (the “CARES Act”), which was enacted March 27, 2020. The PPP is administered by the U.S. Small Business Administration (the “SBA”). On March 30, 2021, the Company received a notice of forgiveness of the full balance of the PPP Loan, including all accrued interest, in accordance with the terms and conditions of the CARES Act. Related to the forgiveness, the Company recorded a gain on the forgiveness of the PPP Loan for the loan balance of $1,967,000 in the accompanying consolidated statement of operations for the year ended December 31,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future minimum payments under the Company’s debt were as follows (excluding debt transactions that occurred subsequent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10,053,000</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10,625,000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10,625,000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81,314,000</w:t>
            </w:r>
          </w:p>
        </w:tc>
        <w:tc>
          <w:tcPr>
            <w:tcW w:w="0" w:type="dxa"/>
            <w:vAlign w:val="bottom"/>
          </w:tcPr>
          <w:p>
            <w:pPr>
              <w:spacing w:after="0"/>
              <w:rPr>
                <w:sz w:val="1"/>
                <w:szCs w:val="1"/>
                <w:color w:val="auto"/>
              </w:rPr>
            </w:pPr>
          </w:p>
        </w:tc>
      </w:tr>
      <w:tr>
        <w:trPr>
          <w:trHeight w:val="24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39,156,000</w:t>
            </w: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minimum payments</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151,773,000</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 payments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466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gridSpan w:val="3"/>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(41,773,000</w:t>
            </w: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Notes payable, gross</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110,000,000</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net of premium</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(5,826,000)</w:t>
            </w:r>
          </w:p>
        </w:tc>
        <w:tc>
          <w:tcPr>
            <w:tcW w:w="0" w:type="dxa"/>
            <w:vAlign w:val="bottom"/>
          </w:tcPr>
          <w:p>
            <w:pPr>
              <w:spacing w:after="0"/>
              <w:rPr>
                <w:sz w:val="1"/>
                <w:szCs w:val="1"/>
                <w:color w:val="auto"/>
              </w:rPr>
            </w:pPr>
          </w:p>
        </w:tc>
      </w:tr>
      <w:tr>
        <w:trPr>
          <w:trHeight w:val="217"/>
        </w:trPr>
        <w:tc>
          <w:tcPr>
            <w:tcW w:w="46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Notes payable, net of unamortized discount</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104,174,000</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leases office and laboratory space under the non-cancelable operating leases listed below. These lease agreements have remaining terms between one to five years and contain various clauses for renewal at the Company’s option.</w:t>
      </w:r>
    </w:p>
    <w:p>
      <w:pPr>
        <w:spacing w:after="0" w:line="162" w:lineRule="exact"/>
        <w:rPr>
          <w:sz w:val="20"/>
          <w:szCs w:val="20"/>
          <w:color w:val="auto"/>
        </w:rPr>
      </w:pPr>
    </w:p>
    <w:p>
      <w:pPr>
        <w:ind w:left="34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5,789 square feet of office space in Carlsbad, California, which commenced in January 2022 that expires in March 2025, with an option to extend the term through March 2028.</w:t>
      </w:r>
    </w:p>
    <w:p>
      <w:pPr>
        <w:jc w:val="both"/>
        <w:ind w:left="340" w:hanging="332"/>
        <w:spacing w:after="0" w:line="25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35,326 square feet of lab, warehouse and office space in Ledgewood, New Jersey that expires in July 2026, with an option to extend the term for two additional five-year periods. This lease was amended, effective July 2020, to extend the term of the original lease and add 1,400 of additional square footage to the lease, and amended again in May 2021 to extend the term of the lease to July 2027 and add 8,900 square feet of space.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5,500 square feet of office space in Nashville, Tennessee that expires in December 2024, with an option to extend the term for two additional five-year periods.</w:t>
      </w: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11,552 square feet of lab and office space in Nashville, Tennessee which commenced in June 2022 and expires in June 2027.</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2022 and 2021, the weighted-average discount rate and the weighted-average remaining lease term for the operating leases held by the Company were 6.6% and 6.3% and 10.9 and 14.6 years,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cash paid for amounts included for the operating lease liabilities was $925,000 and $1,000,000, respectively, and the Company recorded operating lease expense of $1,117,000 and $912,000, respectively, included in selling, general and administrative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Future lease payments under operating leases as of December 31, 2022 were as follows</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6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0" w:type="dxa"/>
            <w:vAlign w:val="bottom"/>
          </w:tcPr>
          <w:p>
            <w:pPr>
              <w:spacing w:after="0"/>
              <w:rPr>
                <w:sz w:val="1"/>
                <w:szCs w:val="1"/>
                <w:color w:val="auto"/>
              </w:rPr>
            </w:pPr>
          </w:p>
        </w:tc>
      </w:tr>
      <w:tr>
        <w:trPr>
          <w:trHeight w:val="216"/>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1,262,000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1,093,000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1,114,000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972,000</w:t>
            </w:r>
          </w:p>
        </w:tc>
        <w:tc>
          <w:tcPr>
            <w:tcW w:w="0" w:type="dxa"/>
            <w:vAlign w:val="bottom"/>
          </w:tcPr>
          <w:p>
            <w:pPr>
              <w:spacing w:after="0"/>
              <w:rPr>
                <w:sz w:val="1"/>
                <w:szCs w:val="1"/>
                <w:color w:val="auto"/>
              </w:rPr>
            </w:pPr>
          </w:p>
        </w:tc>
      </w:tr>
      <w:tr>
        <w:trPr>
          <w:trHeight w:val="23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5,829,000</w:t>
            </w:r>
          </w:p>
        </w:tc>
        <w:tc>
          <w:tcPr>
            <w:tcW w:w="0" w:type="dxa"/>
            <w:vAlign w:val="bottom"/>
          </w:tcPr>
          <w:p>
            <w:pPr>
              <w:spacing w:after="0"/>
              <w:rPr>
                <w:sz w:val="1"/>
                <w:szCs w:val="1"/>
                <w:color w:val="auto"/>
              </w:rPr>
            </w:pPr>
          </w:p>
        </w:tc>
      </w:tr>
      <w:tr>
        <w:trPr>
          <w:trHeight w:val="216"/>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amount representing interest payments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67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40" w:type="dxa"/>
            <w:vAlign w:val="bottom"/>
            <w:gridSpan w:val="2"/>
          </w:tcPr>
          <w:p>
            <w:pPr>
              <w:jc w:val="right"/>
              <w:ind w:right="80"/>
              <w:spacing w:after="0" w:line="68" w:lineRule="exact"/>
              <w:rPr>
                <w:sz w:val="20"/>
                <w:szCs w:val="20"/>
                <w:color w:val="auto"/>
              </w:rPr>
            </w:pPr>
            <w:r>
              <w:rPr>
                <w:rFonts w:ascii="Times New Roman" w:cs="Times New Roman" w:eastAsia="Times New Roman" w:hAnsi="Times New Roman"/>
                <w:sz w:val="7"/>
                <w:szCs w:val="7"/>
                <w:color w:val="auto"/>
              </w:rPr>
              <w:t>(3,446,000</w:t>
            </w:r>
          </w:p>
        </w:tc>
        <w:tc>
          <w:tcPr>
            <w:tcW w:w="0" w:type="dxa"/>
            <w:vAlign w:val="bottom"/>
          </w:tcPr>
          <w:p>
            <w:pPr>
              <w:spacing w:after="0"/>
              <w:rPr>
                <w:sz w:val="1"/>
                <w:szCs w:val="1"/>
                <w:color w:val="auto"/>
              </w:rPr>
            </w:pPr>
          </w:p>
        </w:tc>
      </w:tr>
      <w:tr>
        <w:trPr>
          <w:trHeight w:val="216"/>
        </w:trPr>
        <w:tc>
          <w:tcPr>
            <w:tcW w:w="67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current portion, operating lease liabilities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67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40" w:type="dxa"/>
            <w:vAlign w:val="bottom"/>
            <w:gridSpan w:val="2"/>
          </w:tcPr>
          <w:p>
            <w:pPr>
              <w:jc w:val="right"/>
              <w:ind w:right="80"/>
              <w:spacing w:after="0" w:line="68" w:lineRule="exact"/>
              <w:rPr>
                <w:sz w:val="20"/>
                <w:szCs w:val="20"/>
                <w:color w:val="auto"/>
              </w:rPr>
            </w:pPr>
            <w:r>
              <w:rPr>
                <w:rFonts w:ascii="Times New Roman" w:cs="Times New Roman" w:eastAsia="Times New Roman" w:hAnsi="Times New Roman"/>
                <w:sz w:val="7"/>
                <w:szCs w:val="7"/>
                <w:color w:val="auto"/>
              </w:rPr>
              <w:t>(723,000</w:t>
            </w:r>
          </w:p>
        </w:tc>
        <w:tc>
          <w:tcPr>
            <w:tcW w:w="0" w:type="dxa"/>
            <w:vAlign w:val="bottom"/>
          </w:tcPr>
          <w:p>
            <w:pPr>
              <w:spacing w:after="0"/>
              <w:rPr>
                <w:sz w:val="1"/>
                <w:szCs w:val="1"/>
                <w:color w:val="auto"/>
              </w:rPr>
            </w:pPr>
          </w:p>
        </w:tc>
      </w:tr>
      <w:tr>
        <w:trPr>
          <w:trHeight w:val="229"/>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2022 and 2021, the Company had 5,000,000 shares of preferred stock, $0.001 par value, authorized and no shares of preferred stock issued and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Cumulative Preferred Stock – Redeemed in June 2021</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2021, the Company sold 440,000 shares of the Company’s Series B Cumulative Preferred Stock, par value $0.001 per share and liquidation preference of $25.00 per share (the “Series B Preferred Stock”), for net proceeds of approximately $10,655,000. The Series B Preferred Stock was not convertible into our common stock, had no voting rights, except as required by Delaware law, and was redeemable by the Company at any time. Holders of Series B Preferred Stock were entitled to cumulative cash dividends at the rate of 9.50% of the $25.00 liquidation preference per year; provided, however, that for each thirty (30) day period following May 5, 2021, the dividend rate increased at various rates, except as otherwise limited by applicable law. Dividends were payable quarterly in arrears, on or about the 15th of January, April, July and October, beginning on or about July 15, 2021.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the Company redeemed all of the outstanding shares of the Series B Preferred Stock. The redemption price for the 440,000 shares of Series B Preferred Stock outstanding was equal to $25.00 per share, plus accrued and unpaid dividends, which in aggregate totaled $11,127,000. During the year ended December 31, 2021, the Company recorded preferred stock cash dividends and deemed dividends equal to $472,000.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each of December 31, 2022 and 2021, the Company had 50,000,000 shares of common stock, $0.001 par value, authorized.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Issuances During the Year Ended December 31,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53,594 shares of common stock to Mark L. Baum, the Company’s Chief Executive Officer, upon the cashless exercise of options to purchase 125,000 shares at an exercise price of $2.40 per share. The Company withheld from Mr. Baum 36,014 shares as consideration for the cashless exercise and an additional 35,392 shares for payroll tax obligations totaling $295,000;</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306,347 shares of its common stock upon the cashless exercise of warrants to purchase 373,847 shares of common stock with an exercise price of $2.08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4,054 shares of common stock to a consultant upon the cashless exercise of options to purchase 15,995 shares at an exercise price of $7.07 per share. The Company withheld 11,941 shares as consideration for the cashless exercise;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15,625 shares of common stock to a consultant and received net proceeds of $55,000 upon the exercise of options to purchase 15,625 shares of common stock at an exercise price of $3.50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132,100 shares of common stock and received net proceeds of $587,000 upon the exercise of options to purchase 132,100 shares of common stock with exercise prices between $1.70 to $8.40 per share;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185,000 RSUs granted at various dates to employees of the Company vested, and the Company issued 110,621 shares of common stock to the employees, net of 74,379 shares of common stock withheld for payroll tax withholdings totaling $581,000;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35,693 shares of the Company’s common stock underlying RSUs issued to directors vested, but the issuance and delivery of these shares are deferred until the applicable director resigns.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Issuances During the Year Ended December 31,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2021:</w:t>
      </w:r>
    </w:p>
    <w:p>
      <w:pPr>
        <w:spacing w:after="0" w:line="225" w:lineRule="exact"/>
        <w:rPr>
          <w:sz w:val="20"/>
          <w:szCs w:val="20"/>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311,369 shares of its common stock upon the cashless exercise of warrants to purchase 406,539 shares of common stock with exercise prices between $1.79 and $3.75 per share;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25,480 shares of its common stock and received net proceeds of $65,000 upon the exercise of options to purchase 25,480 shares of common stock with exercise prices between $1.70 and $4.29 per share;</w:t>
      </w:r>
    </w:p>
    <w:p>
      <w:pPr>
        <w:sectPr>
          <w:pgSz w:w="11900" w:h="16838" w:orient="portrait"/>
          <w:cols w:equalWidth="0" w:num="1">
            <w:col w:w="11240"/>
          </w:cols>
          <w:pgMar w:left="320" w:top="686" w:right="339" w:bottom="1440" w:gutter="0" w:footer="0" w:header="0"/>
        </w:sectPr>
      </w:pPr>
    </w:p>
    <w:p>
      <w:pPr>
        <w:spacing w:after="0" w:line="162" w:lineRule="exact"/>
        <w:rPr>
          <w:sz w:val="20"/>
          <w:szCs w:val="20"/>
          <w:color w:val="auto"/>
        </w:rPr>
      </w:pPr>
    </w:p>
    <w:p>
      <w:pPr>
        <w:ind w:left="660" w:hanging="31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w:t>
        <w:tab/>
        <w:t>the Company issued 715,871 shares of of 1,050,000 performance-based restricted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hanging="25"/>
        <w:spacing w:after="0" w:line="261" w:lineRule="auto"/>
        <w:rPr>
          <w:sz w:val="20"/>
          <w:szCs w:val="20"/>
          <w:color w:val="auto"/>
        </w:rPr>
      </w:pPr>
      <w:r>
        <w:rPr>
          <w:rFonts w:ascii="Times New Roman" w:cs="Times New Roman" w:eastAsia="Times New Roman" w:hAnsi="Times New Roman"/>
          <w:sz w:val="18"/>
          <w:szCs w:val="18"/>
          <w:color w:val="auto"/>
        </w:rPr>
        <w:t>common stock to units. The Company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8"/>
          <w:szCs w:val="18"/>
          <w:color w:val="auto"/>
        </w:rPr>
        <w:t>Mark  L. withheld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firstLine="27"/>
        <w:spacing w:after="0" w:line="261" w:lineRule="auto"/>
        <w:rPr>
          <w:sz w:val="20"/>
          <w:szCs w:val="20"/>
          <w:color w:val="auto"/>
        </w:rPr>
      </w:pPr>
      <w:r>
        <w:rPr>
          <w:rFonts w:ascii="Times New Roman" w:cs="Times New Roman" w:eastAsia="Times New Roman" w:hAnsi="Times New Roman"/>
          <w:sz w:val="18"/>
          <w:szCs w:val="18"/>
          <w:color w:val="auto"/>
        </w:rPr>
        <w:t>Baum, 334,129</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hanging="30"/>
        <w:spacing w:after="0" w:line="261" w:lineRule="auto"/>
        <w:rPr>
          <w:sz w:val="20"/>
          <w:szCs w:val="20"/>
          <w:color w:val="auto"/>
        </w:rPr>
      </w:pPr>
      <w:r>
        <w:rPr>
          <w:rFonts w:ascii="Times New Roman" w:cs="Times New Roman" w:eastAsia="Times New Roman" w:hAnsi="Times New Roman"/>
          <w:sz w:val="18"/>
          <w:szCs w:val="18"/>
          <w:color w:val="auto"/>
        </w:rPr>
        <w:t>its Chief shares of</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firstLine="42"/>
        <w:spacing w:after="0" w:line="261" w:lineRule="auto"/>
        <w:rPr>
          <w:sz w:val="20"/>
          <w:szCs w:val="20"/>
          <w:color w:val="auto"/>
        </w:rPr>
      </w:pPr>
      <w:r>
        <w:rPr>
          <w:rFonts w:ascii="Times New Roman" w:cs="Times New Roman" w:eastAsia="Times New Roman" w:hAnsi="Times New Roman"/>
          <w:sz w:val="18"/>
          <w:szCs w:val="18"/>
          <w:color w:val="auto"/>
        </w:rPr>
        <w:t>Executive Officer, upon the vesting common stock to Mr. Baum valued at</w:t>
      </w:r>
    </w:p>
    <w:p>
      <w:pPr>
        <w:spacing w:after="0" w:line="1" w:lineRule="exact"/>
        <w:rPr>
          <w:sz w:val="20"/>
          <w:szCs w:val="20"/>
          <w:color w:val="auto"/>
        </w:rPr>
      </w:pPr>
    </w:p>
    <w:p>
      <w:pPr>
        <w:sectPr>
          <w:pgSz w:w="11900" w:h="16838" w:orient="portrait"/>
          <w:cols w:equalWidth="0" w:num="7">
            <w:col w:w="3920" w:space="20"/>
            <w:col w:w="380" w:space="80"/>
            <w:col w:w="1560" w:space="0"/>
            <w:col w:w="720" w:space="80"/>
            <w:col w:w="600" w:space="80"/>
            <w:col w:w="700" w:space="100"/>
            <w:col w:w="3000"/>
          </w:cols>
          <w:pgMar w:left="320" w:top="686"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$2,760,000 for payroll tax purposes;</w:t>
      </w:r>
    </w:p>
    <w:p>
      <w:pPr>
        <w:sectPr>
          <w:pgSz w:w="11900" w:h="16838" w:orient="portrait"/>
          <w:cols w:equalWidth="0" w:num="1">
            <w:col w:w="11240"/>
          </w:cols>
          <w:pgMar w:left="320" w:top="686" w:right="339" w:bottom="1440" w:gutter="0" w:footer="0" w:header="0"/>
          <w:type w:val="continuous"/>
        </w:sectPr>
      </w:pPr>
    </w:p>
    <w:p>
      <w:pPr>
        <w:spacing w:after="0" w:line="218" w:lineRule="exact"/>
        <w:rPr>
          <w:sz w:val="20"/>
          <w:szCs w:val="20"/>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100,168 shares of common stock to Andrew R. Boll, its Chief Financial Officer, upon the vesting of 157,500 performance-based restricted stock units. The Company withheld 57,332 shares of common stock to Mr. Boll valued at $468,000 for payroll tax purposes;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67,297 shares of the Company’s common stock underlying RSUs issued to directors vested, but the issuance and delivery of these shares are deferred until the applicable director resigns.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December 31, 2021, the 2017 Plan provides for the issuance of a maximum of 6,000,000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and restricted stock. The Plans are administered by the Compensation Committee of the Company’s Board of Directors. The Company had 2,057,155 shares available for future issuances under the 2017 Plan at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 for the year ended December 31, 2022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Weighted Avg.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Avg.</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Number of 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Exercise Price</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Contractual Life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Intrinsic Value</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January 1, 2022</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3,039,546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351,250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7.71</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(288,720)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(74,375)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7.46</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December 31, 2022</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5.90</w:t>
            </w:r>
          </w:p>
        </w:tc>
        <w:tc>
          <w:tcPr>
            <w:tcW w:w="15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26,822,000</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5.51</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22,731,000</w:t>
            </w:r>
          </w:p>
        </w:tc>
        <w:tc>
          <w:tcPr>
            <w:tcW w:w="0" w:type="dxa"/>
            <w:vAlign w:val="bottom"/>
          </w:tcPr>
          <w:p>
            <w:pPr>
              <w:spacing w:after="0" w:line="20" w:lineRule="exact"/>
              <w:rPr>
                <w:sz w:val="1"/>
                <w:szCs w:val="1"/>
                <w:color w:val="auto"/>
              </w:rPr>
            </w:pPr>
          </w:p>
        </w:tc>
      </w:tr>
      <w:tr>
        <w:trPr>
          <w:trHeight w:val="236"/>
        </w:trPr>
        <w:tc>
          <w:tcPr>
            <w:tcW w:w="474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2,457,769</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580" w:type="dxa"/>
            <w:vAlign w:val="bottom"/>
            <w:tcBorders>
              <w:bottom w:val="single" w:sz="8" w:color="CCEEFF"/>
            </w:tcBorders>
            <w:gridSpan w:val="2"/>
            <w:vMerge w:val="continue"/>
          </w:tcPr>
          <w:p>
            <w:pPr>
              <w:spacing w:after="0"/>
              <w:rPr>
                <w:sz w:val="20"/>
                <w:szCs w:val="20"/>
                <w:color w:val="auto"/>
              </w:rPr>
            </w:pPr>
          </w:p>
        </w:tc>
        <w:tc>
          <w:tcPr>
            <w:tcW w:w="1500" w:type="dxa"/>
            <w:vAlign w:val="bottom"/>
            <w:tcBorders>
              <w:bottom w:val="single" w:sz="8" w:color="CCEEFF"/>
            </w:tcBorders>
            <w:gridSpan w:val="2"/>
            <w:vMerge w:val="continue"/>
          </w:tcPr>
          <w:p>
            <w:pPr>
              <w:spacing w:after="0"/>
              <w:rPr>
                <w:sz w:val="20"/>
                <w:szCs w:val="20"/>
                <w:color w:val="auto"/>
              </w:rPr>
            </w:pPr>
          </w:p>
        </w:tc>
        <w:tc>
          <w:tcPr>
            <w:tcW w:w="280" w:type="dxa"/>
            <w:vAlign w:val="bottom"/>
            <w:tcBorders>
              <w:bottom w:val="single" w:sz="8" w:color="CCEEFF"/>
            </w:tcBorders>
            <w:gridSpan w:val="2"/>
            <w:vMerge w:val="continue"/>
          </w:tcPr>
          <w:p>
            <w:pPr>
              <w:spacing w:after="0"/>
              <w:rPr>
                <w:sz w:val="20"/>
                <w:szCs w:val="20"/>
                <w:color w:val="auto"/>
              </w:rPr>
            </w:pPr>
          </w:p>
        </w:tc>
        <w:tc>
          <w:tcPr>
            <w:tcW w:w="13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Options vested and expected to vest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3,026,942</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5.90</w:t>
            </w:r>
          </w:p>
        </w:tc>
        <w:tc>
          <w:tcPr>
            <w:tcW w:w="1500" w:type="dxa"/>
            <w:vAlign w:val="bottom"/>
            <w:tcBorders>
              <w:bottom w:val="single" w:sz="8" w:color="CCEEFF"/>
            </w:tcBorders>
            <w:gridSpan w:val="2"/>
            <w:shd w:val="clear" w:color="auto" w:fill="CCEEFF"/>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4.48</w:t>
            </w:r>
          </w:p>
        </w:tc>
        <w:tc>
          <w:tcPr>
            <w:tcW w:w="280" w:type="dxa"/>
            <w:vAlign w:val="bottom"/>
            <w:tcBorders>
              <w:bottom w:val="single" w:sz="8" w:color="CCEEFF"/>
            </w:tcBorders>
            <w:gridSpan w:val="2"/>
            <w:shd w:val="clear" w:color="auto" w:fill="CCEEFF"/>
          </w:tcPr>
          <w:p>
            <w:pPr>
              <w:jc w:val="right"/>
              <w:ind w:right="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26,817,000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2022, based on the closing price of the Company’s common stock of $14.76 on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intrinsic value of the options exercised in 2022 was $2,008,000.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bookmarkStart w:id="89" w:name="page90"/>
    <w:bookmarkEnd w:id="89"/>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stock options to certain employees and a consultant.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year ended December 31, 2022 generally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and 100% of the shares subject to the option vest on a quarterly basis in equal installments over three years. Certain option awards provide for accelerated vesting if there is a change in control (as defined in the Plans) and in the event of certain modifications to the option award agreement.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31, 2015, the Company granted to its Chief Executive Officer, Mark Baum, an option (the “Baum Performance Option”) to purchase 600,000 shares of the Company’s common stock at an exercise price of $7.87 per share under the 2007 Plan subject to the satisfaction of certain market-based vesting criteria. The market-based vesting criteria are separated into five tranches and require that the Company achieve and maintain certain average stock price targets ranging from $9 per share to $15 per share during the five year period following the grant date. On June 4, 2020, the Company amended the Baum Performance Option, to extend the vesting and contractual term by 5 years. The Company treated this amendment as a modification to the Baum Performance Option for accounting purposes. The fair value of the modification was $1,876,000 using a Monte Carlo simulation model with a five-year life, 70% volatility and a risk-free interest rate of 0.40%.</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the exception of the Baum Performance Option, the fair value of each option award is estimated on the date of grant using the Black-Scholes-Merton option pricing model. Beginning on April 1, 2019, the Company began calculating expected volatility based solely on the historical volatilities of the common stock of the Company. Prior to April 1, 2019, the expected volatility was based on the historical volatilities of the common stock of the Company and comparable publicly traded companies. The Company previously utilized this methodology based on its estimate that it had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illustrates the fair value per share determined using the Black-Scholes-Merton option pricing model with the following assumptions used for valuing options granted to employees: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380" w:type="dxa"/>
            <w:vAlign w:val="bottom"/>
          </w:tcPr>
          <w:p>
            <w:pPr>
              <w:spacing w:after="0"/>
              <w:rPr>
                <w:sz w:val="21"/>
                <w:szCs w:val="2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(in years)</w:t>
            </w: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 6.11</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 – 72%</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 74%</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 – 3.70%</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 – 0.45%</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439"/>
        </w:trPr>
        <w:tc>
          <w:tcPr>
            <w:tcW w:w="4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F-27</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December 31, 2022:</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8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94"/>
        </w:trPr>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40" w:type="dxa"/>
            <w:vAlign w:val="bottom"/>
          </w:tcPr>
          <w:p>
            <w:pPr>
              <w:spacing w:after="0"/>
              <w:rPr>
                <w:sz w:val="18"/>
                <w:szCs w:val="18"/>
                <w:color w:val="auto"/>
              </w:rPr>
            </w:pPr>
          </w:p>
        </w:tc>
        <w:tc>
          <w:tcPr>
            <w:tcW w:w="20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Range of</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0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45"/>
        </w:trPr>
        <w:tc>
          <w:tcPr>
            <w:tcW w:w="240" w:type="dxa"/>
            <w:vAlign w:val="bottom"/>
          </w:tcPr>
          <w:p>
            <w:pPr>
              <w:spacing w:after="0"/>
              <w:rPr>
                <w:sz w:val="21"/>
                <w:szCs w:val="21"/>
                <w:color w:val="auto"/>
              </w:rPr>
            </w:pPr>
          </w:p>
        </w:tc>
        <w:tc>
          <w:tcPr>
            <w:tcW w:w="20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Exercise Prices</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1"/>
                <w:szCs w:val="21"/>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Life in Years</w:t>
            </w:r>
          </w:p>
        </w:tc>
        <w:tc>
          <w:tcPr>
            <w:tcW w:w="200" w:type="dxa"/>
            <w:vAlign w:val="bottom"/>
          </w:tcPr>
          <w:p>
            <w:pPr>
              <w:spacing w:after="0"/>
              <w:rPr>
                <w:sz w:val="21"/>
                <w:szCs w:val="21"/>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 $2.23</w:t>
            </w:r>
          </w:p>
        </w:tc>
        <w:tc>
          <w:tcPr>
            <w:tcW w:w="3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583,112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583,112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2.40 - $3.50</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33,443</w:t>
            </w: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4.92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2.84</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3.95</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310,000</w:t>
            </w:r>
          </w:p>
        </w:tc>
        <w:tc>
          <w:tcPr>
            <w:tcW w:w="1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3.95</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4.08 - $6.30</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550,850</w:t>
            </w: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5.11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5.84</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518,417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6.75 - $7.30</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405,000</w:t>
            </w:r>
          </w:p>
        </w:tc>
        <w:tc>
          <w:tcPr>
            <w:tcW w:w="1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7.18</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257,625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w:t>
            </w: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7.37 - $7.79</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269,623</w:t>
            </w: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7.54</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138,249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7.87</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600,000</w:t>
            </w:r>
          </w:p>
        </w:tc>
        <w:tc>
          <w:tcPr>
            <w:tcW w:w="1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7.87</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7.89 - $8.98</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68,173</w:t>
            </w: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8.24</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44,735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8.99</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180,000</w:t>
            </w:r>
          </w:p>
        </w:tc>
        <w:tc>
          <w:tcPr>
            <w:tcW w:w="1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8.99</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w:t>
            </w:r>
          </w:p>
        </w:tc>
      </w:tr>
      <w:tr>
        <w:trPr>
          <w:trHeight w:val="237"/>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12.38</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27,500</w:t>
            </w: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12.38</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0" w:type="dxa"/>
            <w:vAlign w:val="bottom"/>
            <w:tcBorders>
              <w:top w:val="single" w:sz="8" w:color="CCEEFF"/>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1.47 - $12.38</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60" w:type="dxa"/>
            <w:vAlign w:val="bottom"/>
            <w:tcBorders>
              <w:top w:val="single" w:sz="8" w:color="CCEEFF"/>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5.90</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2,457,769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r>
      <w:tr>
        <w:trPr>
          <w:trHeight w:val="20"/>
        </w:trPr>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there was approximately $1,560,000 of total unrecognized compensation expense related to unvested stock options granted under the Plan. That expense is expected to be recognized over the weighted-average remaining vesting period of 4.88 years. The stock-based compensation for all stock options was $1,130,000 and $1,636,000 during the years ended December 31,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Units/Performance Stock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During the Year Ended December 31, 2022</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Company’s board of directors were granted 65,615 RSUs with a fair market value of $500,000, which vest in equal quarterly installments over one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for the year ended December 31, 2022 is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unvested – January 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cancelled/forfeit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RSUs unvested at December 31, 2022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41"/>
        </w:trPr>
        <w:tc>
          <w:tcPr>
            <w:tcW w:w="20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Number of RSUs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Grant Date Fair Value</w:t>
            </w:r>
          </w:p>
        </w:tc>
      </w:tr>
      <w:tr>
        <w:trPr>
          <w:trHeight w:val="198"/>
        </w:trPr>
        <w:tc>
          <w:tcPr>
            <w:tcW w:w="19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2,233,202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17"/>
                <w:szCs w:val="17"/>
                <w:color w:val="auto"/>
              </w:rPr>
            </w:pPr>
          </w:p>
        </w:tc>
      </w:tr>
      <w:tr>
        <w:trPr>
          <w:trHeight w:val="216"/>
        </w:trPr>
        <w:tc>
          <w:tcPr>
            <w:tcW w:w="2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65,615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7.62</w:t>
            </w:r>
          </w:p>
        </w:tc>
      </w:tr>
      <w:tr>
        <w:trPr>
          <w:trHeight w:val="229"/>
        </w:trPr>
        <w:tc>
          <w:tcPr>
            <w:tcW w:w="2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(237,098)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r>
      <w:tr>
        <w:trPr>
          <w:trHeight w:val="241"/>
        </w:trPr>
        <w:tc>
          <w:tcPr>
            <w:tcW w:w="1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1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2,061,719</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w:t>
            </w: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-753745</wp:posOffset>
            </wp:positionV>
            <wp:extent cx="570039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5">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-471170</wp:posOffset>
            </wp:positionV>
            <wp:extent cx="570039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-179705</wp:posOffset>
            </wp:positionV>
            <wp:extent cx="570039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40" w:space="720"/>
            <w:col w:w="6380"/>
          </w:cols>
          <w:pgMar w:left="320" w:top="688"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total unrecognized compensation expense related to unvested RSUs was approximately $4,205,000 which is expected to be recognized over a weighted-average period of 0.60 years, based on estimated vesting schedules. The stock-based compensation for RSUs was $6,844,000 and $4,022,000 during the years ended December 31, 2022 and 2021,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i w:val="1"/>
          <w:iCs w:val="1"/>
          <w:color w:val="auto"/>
        </w:rPr>
        <w:t>Grants During the Year Ended December 31, 2021</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300,000 RSUs with a fair market value of $2,670,000 were issued to certain employees; the RSUs vest in full on the third anniversary of the grant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Company’s board of directors were granted 38,576 RSUs with a fair market value of $400,000, which vest in equal quarterly installments over one year.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1,567,913 performance stock units (“PSUs”) to members of its senior management including Mark Baum, Chief Executive Officer, Andrew Boll, Chief Financial Officer, and John Saharek, President of ImprimisRx , which are subject to the satisfaction of certain market-based and continued service conditions (the “2021 PSUs”). The 2021 PSUs are separated into four tranches and require that the Company achieve and maintain certain levels of total stockholder returns (“TSR”) ranging from 50% to 175% per share during the five-year period following the grant date. TSR is based on the aggregate of: (i) the percent increase of the closing price of the Company’s common stock from July 22, 2021; and (ii) any dividends or like stockholder distributions as specified in the table below. With certain limited exceptions, in addition to reaching the TSR targets, the employee must be employed with the Company on the second anniversary of the grant date in order for the 2021 PSUs to vest.</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Tranche</w:t>
            </w: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TSR</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Target Share Price*</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1</w:t>
            </w:r>
          </w:p>
        </w:tc>
        <w:tc>
          <w:tcPr>
            <w:tcW w:w="2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223,988</w:t>
            </w:r>
          </w:p>
        </w:tc>
        <w:tc>
          <w:tcPr>
            <w:tcW w:w="3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50% or greater</w:t>
            </w: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Tranche 2</w:t>
            </w: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335,981</w:t>
            </w:r>
          </w:p>
        </w:tc>
        <w:tc>
          <w:tcPr>
            <w:tcW w:w="30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100% or greater</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15.60</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3</w:t>
            </w:r>
          </w:p>
        </w:tc>
        <w:tc>
          <w:tcPr>
            <w:tcW w:w="2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447,975</w:t>
            </w:r>
          </w:p>
        </w:tc>
        <w:tc>
          <w:tcPr>
            <w:tcW w:w="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150% or greater</w:t>
            </w:r>
          </w:p>
        </w:tc>
        <w:tc>
          <w:tcPr>
            <w:tcW w:w="1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19.50</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Tranche 4</w:t>
            </w: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559,969</w:t>
            </w: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175% or greater</w:t>
            </w: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21.45</w:t>
            </w:r>
          </w:p>
        </w:tc>
      </w:tr>
    </w:tbl>
    <w:p>
      <w:pPr>
        <w:spacing w:after="0" w:line="179" w:lineRule="exact"/>
        <w:rPr>
          <w:sz w:val="20"/>
          <w:szCs w:val="20"/>
          <w:color w:val="auto"/>
        </w:rPr>
      </w:pPr>
    </w:p>
    <w:p>
      <w:pPr>
        <w:ind w:left="360" w:right="20" w:hanging="172"/>
        <w:spacing w:after="0" w:line="282" w:lineRule="auto"/>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Share Price assumes that no dividends or like distributions are made to shareholders of the Company. If such distributions are made, the Target Share Price would decrease accordingly, to the benefit of the employee, to account for the dividend/distribution as a part of TSR.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2021 PSUs was $10,113,000 using a Monte Carlo Simulation with a five-year life, 75% volatility and a risk free interest rate of 0.72%.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amount is being amortized over a two-year derived service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for the year ended December 31, 2021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41"/>
        </w:trPr>
        <w:tc>
          <w:tcPr>
            <w:tcW w:w="4860" w:type="dxa"/>
            <w:vAlign w:val="bottom"/>
          </w:tcPr>
          <w:p>
            <w:pPr>
              <w:spacing w:after="0"/>
              <w:rPr>
                <w:sz w:val="20"/>
                <w:szCs w:val="20"/>
                <w:color w:val="auto"/>
              </w:rPr>
            </w:pPr>
          </w:p>
        </w:tc>
        <w:tc>
          <w:tcPr>
            <w:tcW w:w="2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Number of RSUs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Grant Date Fair Value</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unvested - January 1, 2021</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1,601,509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1,906,490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(1,274,797)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w:t>
            </w:r>
          </w:p>
        </w:tc>
      </w:t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RSUs cancelled/forfeit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unvested at December 31, 2021</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2,233,202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6.78</w:t>
            </w:r>
          </w:p>
        </w:tc>
      </w:tr>
      <w:tr>
        <w:trPr>
          <w:trHeight w:val="20"/>
        </w:trPr>
        <w:tc>
          <w:tcPr>
            <w:tcW w:w="48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Stock-Based Transactions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recognized $0 and $87,000 in stock-based compensation expense related to subsidiary stock options during the years ended December 31, 2022 and 2021,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(including issuance of common stock for services and accrual for stock-based compensation) related to equity instruments granted to employees, directors and consultants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3380" w:type="dxa"/>
            <w:vAlign w:val="bottom"/>
          </w:tcPr>
          <w:p>
            <w:pPr>
              <w:spacing w:after="0"/>
              <w:rPr>
                <w:sz w:val="20"/>
                <w:szCs w:val="20"/>
                <w:color w:val="auto"/>
              </w:rPr>
            </w:pPr>
          </w:p>
        </w:tc>
      </w:tr>
      <w:tr>
        <w:trPr>
          <w:trHeight w:val="236"/>
        </w:trPr>
        <w:tc>
          <w:tcPr>
            <w:tcW w:w="44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3380" w:type="dxa"/>
            <w:vAlign w:val="bottom"/>
          </w:tcPr>
          <w:p>
            <w:pPr>
              <w:spacing w:after="0"/>
              <w:rPr>
                <w:sz w:val="20"/>
                <w:szCs w:val="20"/>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 selling, general and administrative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338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Employees – R&amp;D</w:t>
            </w: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689,000</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527,000</w:t>
            </w:r>
          </w:p>
        </w:tc>
        <w:tc>
          <w:tcPr>
            <w:tcW w:w="33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 selling, general and administrative</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462,000</w:t>
            </w:r>
          </w:p>
        </w:tc>
        <w:tc>
          <w:tcPr>
            <w:tcW w:w="38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418,000</w:t>
            </w:r>
          </w:p>
        </w:tc>
        <w:tc>
          <w:tcPr>
            <w:tcW w:w="3380" w:type="dxa"/>
            <w:vAlign w:val="bottom"/>
          </w:tcPr>
          <w:p>
            <w:pPr>
              <w:spacing w:after="0"/>
              <w:rPr>
                <w:sz w:val="18"/>
                <w:szCs w:val="18"/>
                <w:color w:val="auto"/>
              </w:rPr>
            </w:pPr>
          </w:p>
        </w:tc>
      </w:tr>
      <w:tr>
        <w:trPr>
          <w:trHeight w:val="23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Consultants – selling, general and administrative</w:t>
            </w:r>
          </w:p>
        </w:tc>
        <w:tc>
          <w:tcPr>
            <w:tcW w:w="2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154,000</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20"/>
                <w:szCs w:val="20"/>
                <w:color w:val="auto"/>
              </w:rPr>
            </w:pPr>
          </w:p>
        </w:tc>
      </w:tr>
      <w:tr>
        <w:trPr>
          <w:trHeight w:val="229"/>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5,745,000</w:t>
            </w:r>
          </w:p>
        </w:tc>
        <w:tc>
          <w:tcPr>
            <w:tcW w:w="338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9"/>
        </w:trPr>
        <w:tc>
          <w:tcPr>
            <w:tcW w:w="4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F-29</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time to time, the Company has issued warrants to purchase shares of the Company’s common stock to investors, lenders, underwriters and other non-employees for services rendered or to be rendered in the future.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warrant activity during the year ended December 31, 2022 is as follows:</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Number of Shares Subject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 Avg.</w:t>
            </w:r>
          </w:p>
        </w:tc>
      </w:tr>
      <w:tr>
        <w:trPr>
          <w:trHeight w:val="241"/>
        </w:trPr>
        <w:tc>
          <w:tcPr>
            <w:tcW w:w="6980" w:type="dxa"/>
            <w:vAlign w:val="bottom"/>
          </w:tcPr>
          <w:p>
            <w:pPr>
              <w:spacing w:after="0"/>
              <w:rPr>
                <w:sz w:val="20"/>
                <w:szCs w:val="20"/>
                <w:color w:val="auto"/>
              </w:rPr>
            </w:pPr>
          </w:p>
        </w:tc>
        <w:tc>
          <w:tcPr>
            <w:tcW w:w="2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to Warrants Outstanding</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16"/>
        </w:trPr>
        <w:tc>
          <w:tcPr>
            <w:tcW w:w="69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 January 1, 2022</w:t>
            </w:r>
          </w:p>
        </w:tc>
        <w:tc>
          <w:tcPr>
            <w:tcW w:w="2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373,847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(373,847)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3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 December 31, 2022</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California, Florida, Georgia, Illinois, New Jersey, New York, Tennessee and Wisconsin. The Company’s income tax provision consists of the following for the years ended December 31, 2022 and 2021 are summarized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December 31,</w:t>
            </w:r>
          </w:p>
        </w:tc>
        <w:tc>
          <w:tcPr>
            <w:tcW w:w="10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34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20"/>
                <w:szCs w:val="20"/>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5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133,000</w:t>
            </w:r>
          </w:p>
        </w:tc>
      </w:tr>
      <w:tr>
        <w:trPr>
          <w:trHeight w:val="210"/>
        </w:trPr>
        <w:tc>
          <w:tcPr>
            <w:tcW w:w="34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w:t>
            </w:r>
          </w:p>
        </w:tc>
        <w:tc>
          <w:tcPr>
            <w:tcW w:w="10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w:t>
            </w:r>
          </w:p>
        </w:tc>
        <w:tc>
          <w:tcPr>
            <w:tcW w:w="2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133,000</w:t>
            </w:r>
          </w:p>
        </w:tc>
        <w:tc>
          <w:tcPr>
            <w:tcW w:w="60" w:type="dxa"/>
            <w:vAlign w:val="bottom"/>
            <w:tcBorders>
              <w:top w:val="single" w:sz="8" w:color="CCEEFF"/>
              <w:bottom w:val="single" w:sz="8" w:color="CCEEFF"/>
            </w:tcBorders>
          </w:tcPr>
          <w:p>
            <w:pPr>
              <w:spacing w:after="0"/>
              <w:rPr>
                <w:sz w:val="18"/>
                <w:szCs w:val="18"/>
                <w:color w:val="auto"/>
              </w:rPr>
            </w:pPr>
          </w:p>
        </w:tc>
      </w:tr>
      <w:tr>
        <w:trPr>
          <w:trHeight w:val="216"/>
        </w:trPr>
        <w:tc>
          <w:tcPr>
            <w:tcW w:w="3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871,000</w:t>
            </w: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312,000</w:t>
            </w:r>
          </w:p>
        </w:tc>
        <w:tc>
          <w:tcPr>
            <w:tcW w:w="5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(1,944,000)</w:t>
            </w:r>
          </w:p>
        </w:tc>
      </w:tr>
      <w:tr>
        <w:trPr>
          <w:trHeight w:val="249"/>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(1,182,000)</w:t>
            </w:r>
          </w:p>
        </w:tc>
        <w:tc>
          <w:tcPr>
            <w:tcW w:w="5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2,369,000</w:t>
            </w:r>
          </w:p>
        </w:tc>
      </w:tr>
      <w:tr>
        <w:trPr>
          <w:trHeight w:val="210"/>
        </w:trPr>
        <w:tc>
          <w:tcPr>
            <w:tcW w:w="34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w:t>
            </w:r>
          </w:p>
        </w:tc>
        <w:tc>
          <w:tcPr>
            <w:tcW w:w="10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tcPr>
          <w:p>
            <w:pPr>
              <w:spacing w:after="0"/>
              <w:rPr>
                <w:sz w:val="18"/>
                <w:szCs w:val="18"/>
                <w:color w:val="auto"/>
              </w:rPr>
            </w:pPr>
          </w:p>
        </w:tc>
      </w:tr>
      <w:tr>
        <w:trPr>
          <w:trHeight w:val="230"/>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reconciliation of income taxes computed by applying the statutory U.S. income tax rate to the Company’s loss before income taxes to the income tax provision is as follows:</w:t>
      </w:r>
    </w:p>
    <w:p>
      <w:pPr>
        <w:ind w:left="6320"/>
        <w:spacing w:after="0"/>
        <w:rPr>
          <w:sz w:val="20"/>
          <w:szCs w:val="20"/>
          <w:color w:val="auto"/>
        </w:rPr>
      </w:pPr>
      <w:r>
        <w:rPr>
          <w:rFonts w:ascii="Times New Roman" w:cs="Times New Roman" w:eastAsia="Times New Roman" w:hAnsi="Times New Roman"/>
          <w:sz w:val="18"/>
          <w:szCs w:val="18"/>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8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CCEEFF"/>
            </w:tcBorders>
          </w:tcPr>
          <w:p>
            <w:pPr>
              <w:spacing w:after="0"/>
              <w:rPr>
                <w:sz w:val="21"/>
                <w:szCs w:val="21"/>
                <w:color w:val="auto"/>
              </w:rPr>
            </w:pPr>
          </w:p>
        </w:tc>
        <w:tc>
          <w:tcPr>
            <w:tcW w:w="2260" w:type="dxa"/>
            <w:vAlign w:val="bottom"/>
          </w:tcPr>
          <w:p>
            <w:pPr>
              <w:spacing w:after="0"/>
              <w:rPr>
                <w:sz w:val="21"/>
                <w:szCs w:val="2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21.00%</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260" w:type="dxa"/>
            <w:vAlign w:val="bottom"/>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benefit, net</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60" w:type="dxa"/>
            <w:vAlign w:val="bottom"/>
          </w:tcPr>
          <w:p>
            <w:pPr>
              <w:spacing w:after="0"/>
              <w:rPr>
                <w:sz w:val="18"/>
                <w:szCs w:val="18"/>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stock-based compensation</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1.34%</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260" w:type="dxa"/>
            <w:vAlign w:val="bottom"/>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Excess Employee Remuneration</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(28.15)%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260" w:type="dxa"/>
            <w:vAlign w:val="bottom"/>
          </w:tcPr>
          <w:p>
            <w:pPr>
              <w:spacing w:after="0"/>
              <w:rPr>
                <w:sz w:val="18"/>
                <w:szCs w:val="18"/>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1.98%</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60" w:type="dxa"/>
            <w:vAlign w:val="bottom"/>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 of IRC Sec 382 Limited NOLs</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260" w:type="dxa"/>
            <w:vAlign w:val="bottom"/>
          </w:tcPr>
          <w:p>
            <w:pPr>
              <w:spacing w:after="0"/>
              <w:rPr>
                <w:sz w:val="18"/>
                <w:szCs w:val="18"/>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 of IRC Sec 383 Limited Credits</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60" w:type="dxa"/>
            <w:vAlign w:val="bottom"/>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Reduction of VA for IRC Sec 382 and 383 W/O</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260" w:type="dxa"/>
            <w:vAlign w:val="bottom"/>
          </w:tcPr>
          <w:p>
            <w:pPr>
              <w:spacing w:after="0"/>
              <w:rPr>
                <w:sz w:val="18"/>
                <w:szCs w:val="18"/>
                <w:color w:val="auto"/>
              </w:rPr>
            </w:pPr>
          </w:p>
        </w:tc>
      </w:tr>
      <w:tr>
        <w:trPr>
          <w:trHeight w:val="250"/>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6.22%</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260" w:type="dxa"/>
            <w:vAlign w:val="bottom"/>
          </w:tcPr>
          <w:p>
            <w:pPr>
              <w:spacing w:after="0"/>
              <w:rPr>
                <w:sz w:val="21"/>
                <w:szCs w:val="21"/>
                <w:color w:val="auto"/>
              </w:rPr>
            </w:pPr>
          </w:p>
        </w:tc>
      </w:tr>
      <w:tr>
        <w:trPr>
          <w:trHeight w:val="216"/>
        </w:trPr>
        <w:tc>
          <w:tcPr>
            <w:tcW w:w="4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5"/>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226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48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F-30</w:t>
            </w: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3" w:name="page94"/>
    <w:bookmarkEnd w:id="93"/>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64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NOL</w:t>
            </w:r>
          </w:p>
        </w:tc>
        <w:tc>
          <w:tcPr>
            <w:tcW w:w="16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9,401,000</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12,337,000</w:t>
            </w: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236,000</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680,000</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349,000</w:t>
            </w:r>
          </w:p>
        </w:tc>
        <w:tc>
          <w:tcPr>
            <w:tcW w:w="5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59,000</w:t>
            </w: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90,000</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stock compensation</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945,000</w:t>
            </w:r>
          </w:p>
        </w:tc>
        <w:tc>
          <w:tcPr>
            <w:tcW w:w="5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4,642,000</w:t>
            </w: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 Difference in Eton</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(1,684,000)</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(2,511,000)</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Sintetica License Agreement</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2,162,000</w:t>
            </w:r>
          </w:p>
        </w:tc>
        <w:tc>
          <w:tcPr>
            <w:tcW w:w="5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2,329,000</w:t>
            </w: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Sparcs License Agreement</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2,000</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Novartis License Agreement</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(13,000)</w:t>
            </w:r>
          </w:p>
        </w:tc>
        <w:tc>
          <w:tcPr>
            <w:tcW w:w="5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(138,000)</w:t>
            </w: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 difference in Melt Loan Value</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4,240,000</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869,000</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Park stock purchase identifiable intangibles</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(255,000)</w:t>
            </w: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Limitation Under 163(j)</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536,000</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 Capital Expenses</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594,000</w:t>
            </w:r>
          </w:p>
        </w:tc>
        <w:tc>
          <w:tcPr>
            <w:tcW w:w="5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ASC 842 Lease Liability</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2,427,000</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1,856,000</w:t>
            </w:r>
          </w:p>
        </w:tc>
      </w:tr>
      <w:tr>
        <w:trPr>
          <w:trHeight w:val="237"/>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ASC 842 ROU Asset</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(2,263,000)</w:t>
            </w:r>
          </w:p>
        </w:tc>
        <w:tc>
          <w:tcPr>
            <w:tcW w:w="5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(1,753,000)</w:t>
            </w:r>
          </w:p>
        </w:tc>
      </w:tr>
      <w:tr>
        <w:trPr>
          <w:trHeight w:val="236"/>
        </w:trPr>
        <w:tc>
          <w:tcPr>
            <w:tcW w:w="4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17,022,000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46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w:t>
            </w:r>
          </w:p>
        </w:tc>
        <w:tc>
          <w:tcPr>
            <w:tcW w:w="1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(17,022,000</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(18,204,000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3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decreased by approximately $1,182,000 and increased by approximately $2,369,000 during 2022 and 2021,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federal and state net operating loss carryforwards of approximately $23,900,000 and $45,000,000, respectively, which will begin to expire in 2027, unless previously utilized, and will begin to expire for state purposes in 2026. In addition, the Company has federal net operating loss carryforward of $3,900,000 generated after 2017 that can be carried over indefinitely and may be used to offset up to 80% of federal taxable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federal and state research and development credit carryforwards of approximately $47,000 and $54,000, respectively, which will begin to expire in 2026, unless previously utilized. For state purposes, the state research and development credit carryforwards can be carried over indefinitely.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Utilization of the net operating losses and research and development carryforwards may be subject to a substantial annual limitation due to ownership change limitations that might have occurred or that could occur in the future, as required by Section 382 of the Internal Revenue Code of 1986, as amended (the “Code”), as well as similar state and foreign provisions. These ownership changes may limit the amount of NOL and R&amp;D credit carryforward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may have resulted in such an ownership change, or could result in an ownership change in the future upon subsequent disposition.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determined that it had net operating loss carryforwards of approximately $12,500,000 and state net operating loss carryforwards of approximately $9,400,000 restricted under IRC Section 382 of the Internal Revenue Code related to a 2011 change in ownership. Section 382 of the Internal Revenue Code limits the utilization of net operating losses when ownership changes, as defined by that section, occur. Due to the Section 382 limitation, and the length of time available to fully utilize the net operating loss carryforwards, the Company removed these NOLs from deferred tax assets with a corresponding reduction of the valuation allowance. Similarly, under IRC Section 383 which limits the utilization of credits when ownership changes occur, the Company removed approximately $300,000 of federal credit and $300,000 of state credits from deferred tax assets with a corresponding reduction of valuation allowance.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have any unrecognized tax benefits as of December 31, 2022 and 2021. These unrecognized tax benefits, if recognized, would not affect the effective tax rate. There was no interest or penalties accrued at the adoption date and at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UTB balance from January 1, 2022 to December 31, 2022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Fed &amp; State Tax</w:t>
            </w:r>
          </w:p>
        </w:tc>
      </w:tr>
      <w:tr>
        <w:trPr>
          <w:trHeight w:val="216"/>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Additions/(reductions) for tax positions related to prior years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29"/>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unrecognized tax benefits as of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(TCJA) included changes to the treatment of research and development expenses under IRC Section 174. Formerly, a company could deduct research and development expenses under IRC Section 174 as incurred. Effective for tax years beginning after December 31, 2021, research and development expenses under IRC Section 174 are required to be capitalized, with an amortization period of five years for costs incurred un the US and 15 years for costs incurred in a non-US jurisdiction. The Company has incurred approximately $2,191,000 of US research and development costs during the year ended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EMPLOYEE SAVINGS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certain matching contributions to the plan in amounts up to 4% of the participants’ annual cash compensation, subject to annual limits. The Company contributed approximately $397,000 and $282,000 to the plan during the years ended December 31,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Other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involved in various legal proceedings, government investigations and other matters that are complex in nature and have outcomes that are difficult to predict. See also Part I, Item 1A. Risk Factors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describes legal proceedings and other matters that are/were significant or that it believes could become significant in this footnote.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legal proceedings involve various aspects of its business and a variety of claims, some of which present novel factual allegations and/or unique legal theories. Typically, a number of the matters pending against the Company are at early stages of the legal process, which in complex proceedings of the sort the Company face often extend for several years. While it is not possible to accurately predict or determine the eventual outcomes of matters that have not concluded, an adverse determination in one or more of matter (whether discussed in this footnote or not) currently pending may have a material adverse effect on the Company’s consolidated results of operations, financial position or cash flows.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recent developments concerning the Company’s legal proceedings it believes are or were material to its business and other matters are discussed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i w:val="1"/>
          <w:iCs w:val="1"/>
          <w:color w:val="auto"/>
        </w:rPr>
        <w:t>Novel Drug Solutions et al.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2018, Novel Drug Solutions, LLC and Eyecare Northwest, PA (collectively “NDS”) filed a lawsuit against the Company in the U.S. District Court for the District of Delaware asserting various claims, including breach of contract. The claims stem from an asset purchase agreement between the Company and NDS entered into in 2013. In July 2019, NDS filed a second amended complaint which added claims related to its purported termination of the asset purchase agreement. In October 2019, NDS voluntarily dismissed all but two claims, leaving only claims related to the scope and performance of the post-termination obligations to be litigated. On November 8, 2021, following a jury trial, the Company and NDS entered into a voluntary settlement agreement (the “Settlement Agreement”) to resolve all claims and pending matters related to this lawsuit. During the year ended December 31, 2021, the Company recorded $1,500,000 in selling, general and administrative expenses related to the Settlement Agreement. Except for the one-time payment of $1,500,000 the Company does not expect the Settlement Agreement will have any future material impact on the Company’s consolidated cash flows, financial position,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Professional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Erick et al.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2018, John Erick and Deborah Ferrell, successors-in-interest and heirs of Jade Erick, (collectively “Erick”) filed a lawsuit in the San Diego County Superior Court against Kim Kelly, ND, MPH asserting claims related to the death of Jade Erick. In April 2018, Erick filed an amendment to the lawsuit, naming the Company as a co-defendant. In September 2018, co-defendant Dr. Kelly filed a cross-complaint against the Company and various entities affiliated with Spectrum Laboratory Products, Inc., Spectrum Chemical Manufacturing Corp. and Spectrum Pharmacy Products, Inc. (collectively “Spectrum”). The cross-complaint sought indemnity and contribution from the Company and Spectrum. In November 2021, the lawsuit involving the Company was resolved. There was no impact to the Company’s consolidated financial position and results of operations as a result of the resolution of this matter.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various sales and marketing agreements with certain organizations, to provide sales and marketing representation services to ImprimisRx in select geographies in the U.S., in connection with the Company’s ophthalmic compounded formulations.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sales and marketing agreements, the Company is required to make commission payments generally equal to 10% to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The Company incurred $4,274,000 and $3,640,000 under these agreements for commission expenses during the years ended December 31, 2022 and 2021, respectively, which are included in selling, general and administrative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Other Asset Purchase, License and Related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At December 31, 2022 and 2021, $228,000 and $251,000 were accrued in accounts payable and accrued expenses related to these agreements. During the years ended December 31, 2022 and 2021 $910,000 and $991,000, respectively, were incurred under these agreements as royalty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Klarity License Agreement – Related Party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2017,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$50,000 upon execution of the Klarity License Agreement, (ii) a second payment of $50,000 following the first $50,000 in net sales of the Klarity Product; and (iii) a final payment of $50,000 following the first $100,000 in net sales of the Klarity Product. All of the above referenced milestone payments were payable at the Company’s election in cash or shares of the Company’s restricted common stock. Dr. Lindstrom was paid $274,000 and $165,000 in cash during the years ended December 31, 2022 and 2021, respectively, and was due an additional $71,000 and $30,000 at December 31, 2022 and 2021, respectively. The Company incurred $315,000 and $160,000 for royalty expenses related to the Klarity License Agreement during the years ended December 31, 2022 and 2021,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Injectable Asset Purchase Agreement – Related Party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$33,000 upon execution of the Lindstrom APA. Dr. Lindstrom was paid $32,000 and $28,000 in cash during the year ended December 31, 2022 and 2021, respectively, and was due $9,000 and $8,000 at December 31, 2022 and 2021, respectively. The Company incurred $33,000 and $29,000 for royalty expenses related to the Lindstrom Agreement during the year ended December 31,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Presbyopia Asset Purchase Agreement – Related Party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2019, the Company entered into an asset purchase agreement (the “Presbyopia APA”) with Richard L. Lindstrom, M.D., a member of its Board of Directors. Pursuant to the terms of the Presbyopia APA, the Company acquired certain intellectual property and related rights from Dr. Lindstrom to develop, formulate, make, sell, and sub-license an ophthalmic topical product to treat presbyopia (the “Presbyopia Product”).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Presbyopia Product, the Company is required to make royalty payments to Dr. Lindstrom ranging from 2% to 4% of net sales, dependent upon the final formulation and patent protection of the Presbyopia Product sold. Dr. Lindstrom was paid $0 in cash during the years ended December 31, 2022 and 2021, and was due $0 at December 31, 2022 and 2021. The Company incurred $0 for royalty expenses related to the Presbyopia APA during the years ended December 31, 2022 and 2021.</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Eyepoint Commercial Alliance Agreement - Terminated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the Company, through its wholly owned subsidiary ImprimisRx, LLC, entered into a Commercial Alliance Agreement (the “Dexycu Agreement”) with Eyepoint Pharmaceuticals, Inc. (“Eyepoint”), pursuant to which Eyepoint granted the Company the non-exclusive right to co-promote</w:t>
      </w:r>
    </w:p>
    <w:p>
      <w:pPr>
        <w:jc w:val="both"/>
        <w:spacing w:after="0" w:line="227" w:lineRule="auto"/>
        <w:rPr>
          <w:sz w:val="20"/>
          <w:szCs w:val="20"/>
          <w:color w:val="auto"/>
        </w:rPr>
      </w:pPr>
      <w:r>
        <w:rPr>
          <w:rFonts w:ascii="Times New Roman" w:cs="Times New Roman" w:eastAsia="Times New Roman" w:hAnsi="Times New Roman"/>
          <w:sz w:val="18"/>
          <w:szCs w:val="18"/>
          <w:color w:val="auto"/>
        </w:rPr>
        <w:t>DEXYCU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(dexamethasone intraocular suspension) 9% for the treatment of post-operative inflammation following ocular surgery in the United States. Pursuant to the Dexycu Agreement, Eyepoint pays the Company a fee calculated based on the quarterly sales of DEXYCU in excess of predefined volumes to specific customers of the Company in the U.S. Under the terms of the Dexycu Agreement, the Company agreed to use commercially reasonable efforts to promote and market DEXYCU in the U.S.</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 mutual termination agreement entered into on October 7, 2022 the Dexycu Agreement terminated on January 1, 2023. Following the preliminary Hospital Outpatient Prospective Payment System (HOPPS) rule proposed by the Centers for Medicare &amp; Medicaid Services (CMS) in July of 2022, which did not contain an extension of the pass-through payment period for Dexycu beyond December 31, 2022, the Company entered into a Mutual Termination Agreement (the “Termination Agreement”) with Eyepoint on October 7, 2022, pursuant to which Eyepoint and the Company agreed (a) that the Company will continue to support the sale of Dexycu through the fourth quarter of 2022, consistent with the Company’s level of effort during the January through June 2022 period, (b) to decrease the required minimum quarterly sales levels based on Dexycu unit demand for the fourth quarter of 2022, and (c) to terminate the Dexycu Agreement, along with ancillary letter agreements, effective January 1,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recorded $3,866,000 and $3,253,000, respectively, in commission revenues related to the Dexycu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Mayfield Pharmaceuticals MAY-66 License Termination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2021, Mayfield terminated the License Agreement (the “TGV License”) with TGV-Health, LLC and affiliated entities (collectively, “TGV”), pursuant to which it acquired intellectual property rights for use in the women’s health field, related to Mayfield’s proprietary drug candidate MAY-66. Concurrent with the termination, TGV returned to Mayfield 300,000 shares of Mayfield’s common stock, constituting all of the equity held by TGV. Mayfield has no outstanding or remaining obligations under the TGV License.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Mayfield Pharmaceuticals MAY-44 APA Termination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2021, Mayfield and Harrow terminated their asset purchase agreement dated January 2020 (the “MAY-44 APA”) for intellectual property rights associated with Mayfield’s drug candidate MAY-44 with Elle Pharmaceutical LLC (“Elle”). As part of the termination, Mayfield re-acquired 350,000 shares of its common stock from Elle. Mayfield has no outstanding or remaining obligations related to the MAY-44 APA.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Stowe License Termination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2021, Stowe terminated the License Agreement (the “Stowe License”) with TGV, pursuant to which it acquired intellectual property rights for use in the ophthalmic field, related to Stowe’s proprietary drug candidate STE-006. Concurrent with the termination, TGV returned to Stowe 1,750,000 shares of Stowe’s common stock, constituting all of the equity held by TGV. Stowe has no outstanding or remaining obligations under the Stowe License.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SEGMENTS AND CONCENTRATIONS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evaluated the Company’s 2021 performance based on operating segments. Segment performance for its two operating segments was based on segment contribution. Our reportable segments consisted of (i) our commercial stage pharmaceutical business (Pharmaceutical Compounding), generally including the operations of our ImprimisRx business; and (ii) our start-up operations associated with our pharmaceutical drug development business (Pharmaceutical Drug Development). Segment contribution for our segments represented net revenues less cost of sales, R&amp;D expenses, selling and marketing expenses, and select general and administrative expenses. Management did not evaluate the following items at the segment level:</w:t>
      </w:r>
    </w:p>
    <w:p>
      <w:pPr>
        <w:spacing w:after="0" w:line="210" w:lineRule="exact"/>
        <w:rPr>
          <w:sz w:val="20"/>
          <w:szCs w:val="20"/>
          <w:color w:val="auto"/>
        </w:rPr>
      </w:pPr>
    </w:p>
    <w:p>
      <w:pPr>
        <w:ind w:left="1300" w:right="20" w:hanging="320"/>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that result from shared infrastructure, including certain expenses associated with legal matters, our board of directors and principal executive officers, investor relations and other like shared expenses;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ind w:left="1300" w:hanging="320"/>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both segments;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including capital expenditures.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defined segment net revenues as pharmaceutical compounded drug sales, revenues from licenses and other revenues derived from related agreements.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consisted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3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net revenues, segment operating expenses and segment contribution information consisted of the following for the years ended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6"/>
          </w:tcPr>
          <w:p>
            <w:pPr>
              <w:jc w:val="center"/>
              <w:ind w:left="930"/>
              <w:spacing w:after="0"/>
              <w:rPr>
                <w:sz w:val="20"/>
                <w:szCs w:val="20"/>
                <w:color w:val="auto"/>
              </w:rPr>
            </w:pPr>
            <w:r>
              <w:rPr>
                <w:rFonts w:ascii="Times New Roman" w:cs="Times New Roman" w:eastAsia="Times New Roman" w:hAnsi="Times New Roman"/>
                <w:sz w:val="18"/>
                <w:szCs w:val="18"/>
                <w:color w:val="auto"/>
                <w:w w:val="99"/>
              </w:rPr>
              <w:t>For the Year Ended December 31, 2021</w:t>
            </w: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Pharmaceutical</w:t>
            </w:r>
          </w:p>
        </w:tc>
        <w:tc>
          <w:tcPr>
            <w:tcW w:w="140" w:type="dxa"/>
            <w:vAlign w:val="bottom"/>
          </w:tcPr>
          <w:p>
            <w:pPr>
              <w:spacing w:after="0"/>
              <w:rPr>
                <w:sz w:val="18"/>
                <w:szCs w:val="18"/>
                <w:color w:val="auto"/>
              </w:rPr>
            </w:pPr>
          </w:p>
        </w:tc>
        <w:tc>
          <w:tcPr>
            <w:tcW w:w="2320" w:type="dxa"/>
            <w:vAlign w:val="bottom"/>
            <w:gridSpan w:val="3"/>
          </w:tcPr>
          <w:p>
            <w:pPr>
              <w:jc w:val="center"/>
              <w:ind w:right="790"/>
              <w:spacing w:after="0"/>
              <w:rPr>
                <w:sz w:val="20"/>
                <w:szCs w:val="20"/>
                <w:color w:val="auto"/>
              </w:rPr>
            </w:pPr>
            <w:r>
              <w:rPr>
                <w:rFonts w:ascii="Times New Roman" w:cs="Times New Roman" w:eastAsia="Times New Roman" w:hAnsi="Times New Roman"/>
                <w:sz w:val="18"/>
                <w:szCs w:val="18"/>
                <w:color w:val="auto"/>
              </w:rPr>
              <w:t>Pharmaceutical</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Compounding</w:t>
            </w:r>
          </w:p>
        </w:tc>
        <w:tc>
          <w:tcPr>
            <w:tcW w:w="140" w:type="dxa"/>
            <w:vAlign w:val="bottom"/>
          </w:tcPr>
          <w:p>
            <w:pPr>
              <w:spacing w:after="0"/>
              <w:rPr>
                <w:sz w:val="20"/>
                <w:szCs w:val="20"/>
                <w:color w:val="auto"/>
              </w:rPr>
            </w:pPr>
          </w:p>
        </w:tc>
        <w:tc>
          <w:tcPr>
            <w:tcW w:w="2320" w:type="dxa"/>
            <w:vAlign w:val="bottom"/>
            <w:gridSpan w:val="3"/>
          </w:tcPr>
          <w:p>
            <w:pPr>
              <w:jc w:val="center"/>
              <w:ind w:right="810"/>
              <w:spacing w:after="0"/>
              <w:rPr>
                <w:sz w:val="20"/>
                <w:szCs w:val="20"/>
                <w:color w:val="auto"/>
              </w:rPr>
            </w:pPr>
            <w:r>
              <w:rPr>
                <w:rFonts w:ascii="Times New Roman" w:cs="Times New Roman" w:eastAsia="Times New Roman" w:hAnsi="Times New Roman"/>
                <w:sz w:val="18"/>
                <w:szCs w:val="18"/>
                <w:color w:val="auto"/>
                <w:w w:val="99"/>
              </w:rPr>
              <w:t>Drug Development</w:t>
            </w:r>
          </w:p>
        </w:tc>
        <w:tc>
          <w:tcPr>
            <w:tcW w:w="1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6"/>
              </w:rPr>
              <w:t>72,476,000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72,476,000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(18,214,000)</w:t>
            </w:r>
          </w:p>
        </w:tc>
        <w:tc>
          <w:tcPr>
            <w:tcW w:w="140" w:type="dxa"/>
            <w:vAlign w:val="bottom"/>
          </w:tcPr>
          <w:p>
            <w:pPr>
              <w:spacing w:after="0"/>
              <w:rPr>
                <w:sz w:val="20"/>
                <w:szCs w:val="20"/>
                <w:color w:val="auto"/>
              </w:rPr>
            </w:pPr>
          </w:p>
        </w:tc>
        <w:tc>
          <w:tcPr>
            <w:tcW w:w="182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(18,214,000)</w:t>
            </w:r>
          </w:p>
        </w:tc>
      </w:tr>
      <w:tr>
        <w:trPr>
          <w:trHeight w:val="216"/>
        </w:trPr>
        <w:tc>
          <w:tcPr>
            <w:tcW w:w="2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6"/>
              </w:rPr>
              <w:t>54,262,000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54,262,000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27,465,000</w:t>
            </w:r>
          </w:p>
        </w:tc>
        <w:tc>
          <w:tcPr>
            <w:tcW w:w="140" w:type="dxa"/>
            <w:vAlign w:val="bottom"/>
          </w:tcPr>
          <w:p>
            <w:pPr>
              <w:spacing w:after="0"/>
              <w:rPr>
                <w:sz w:val="18"/>
                <w:szCs w:val="18"/>
                <w:color w:val="auto"/>
              </w:rPr>
            </w:pPr>
          </w:p>
        </w:tc>
        <w:tc>
          <w:tcPr>
            <w:tcW w:w="182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27,465,000</w:t>
            </w:r>
          </w:p>
        </w:tc>
      </w:tr>
      <w:tr>
        <w:trPr>
          <w:trHeight w:val="250"/>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1,088,000</w:t>
            </w:r>
          </w:p>
        </w:tc>
        <w:tc>
          <w:tcPr>
            <w:tcW w:w="1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8,674,000</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9,762,000</w:t>
            </w:r>
          </w:p>
        </w:tc>
      </w:tr>
      <w:tr>
        <w:trPr>
          <w:trHeight w:val="256"/>
        </w:trPr>
        <w:tc>
          <w:tcPr>
            <w:tcW w:w="29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contribution</w:t>
            </w:r>
          </w:p>
        </w:tc>
        <w:tc>
          <w:tcPr>
            <w:tcW w:w="28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6"/>
              </w:rPr>
              <w:t>25,709,000</w:t>
            </w:r>
          </w:p>
        </w:tc>
        <w:tc>
          <w:tcPr>
            <w:tcW w:w="2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7"/>
              </w:rPr>
              <w:t>(8,674,000</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17,035,000</w:t>
            </w: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2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(13,689,000)</w:t>
            </w:r>
          </w:p>
        </w:tc>
        <w:tc>
          <w:tcPr>
            <w:tcW w:w="80" w:type="dxa"/>
            <w:vAlign w:val="bottom"/>
            <w:shd w:val="clear" w:color="auto" w:fill="CCEEFF"/>
          </w:tcPr>
          <w:p>
            <w:pPr>
              <w:spacing w:after="0"/>
              <w:rPr>
                <w:sz w:val="17"/>
                <w:szCs w:val="17"/>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(1,322,000)</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(161,000)</w:t>
            </w:r>
          </w:p>
        </w:tc>
      </w:tr>
      <w:tr>
        <w:trPr>
          <w:trHeight w:val="23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Asset sales and impairments, net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(249,000)</w:t>
            </w:r>
          </w:p>
        </w:tc>
      </w:tr>
      <w:tr>
        <w:trPr>
          <w:trHeight w:val="230"/>
        </w:trPr>
        <w:tc>
          <w:tcPr>
            <w:tcW w:w="2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Beginning in 2022, due to shifts in the Company’s strategic plans and its organizational structure, management no longer evaluates the Company’s business in two segments and instead focuses on the performance of the business as a single operating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two products that each comprised more than 10% of total revenues during the quarter. These products collectively accounted for 34% and 35% of revenues during the years ended December 31, 2022 and 2021,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sells its compounded formulations to a large number of customers. There were no customers who comprised more than 10% of the Company’s total pharmacy sales for the years ended December 31, 2022 and 2021,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receives its active pharmaceutical ingredients from three main suppliers. These suppliers collectively accounted for 61% of active pharmaceutical ingredient purchases during the year ended December 31, 2022, and 74% during the year ended December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23,000 RSUs granted in January 2020 to Andrew R. Boll, the Company’s Chief Financial Officer, vested, and 13,398 shares the Company’s common stock were issued to Mr. Boll, net of 9,602 shares of common stock withheld for payroll tax withholdings totaling $142,000.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88,000 RSUs granted in January 2020 to Mark L. Baum, the Company’s Chief Executive Officer, vested, and 52,821 shares the Company’s common stock were issued to Mr. Baum, net of 35,179 shares of common stock withheld for payroll tax withholdings totaling $519,000.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Closing of BR Loan and Fab 5 Acquisition - ILEVRO, NEVANAC, VIGAMOX, MAXIDEX, and TRIESENCE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2023, the Company closed the Fab 5 Acquisition. At the time of closing the Company made a one-time payment of $130,000,000, with up to another $45,000,000 due in a milestone payment related to the timing of the commercial availability of TRIESENCE. At closing the Company entered into a transition period, where Novartis will continue to sell the Fab 5 Products on the Company’s behalf and transfer the net profit from the sale of the Fab 5 Products to the Company until the time the Fab 5 Products at transferred to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funded the initial purchase price payable at closing of the Fab 5 Acquisition with (i) proceeds of a $59,750,000 principal amount borrowing pursuant to the BR Loan (see Note 13), which was drawn at closing of the Fab 5 Acquisition, along with cash on hand (including cash provided by certain financing activities during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Overallotment Exercise of 2027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Company issued an additional $5,250,000 aggregate principal amount of the 2027 Notes (see Note 13) upon the exercise in full of the underwriters’ option to purchase the additional notes. As of the closing of the issuance of the additional 2027 Notes, a total of $40,250,000 aggregate principal amount of the 2027 Notes have been issued.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performed an evaluation of events occurring subsequent to December 31, 2022 through the filing date of this Annual Report and determined that no subsequent events have occurred that would require recognition in the consolidated financial statements or disclosures in the notes thereto, other than as disclosed in the accompanying notes.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Harrow Health, Inc. has two classes of securities registered under Section 12 of the Securities Exchange Act of 1934, as amended: (i) our common stock, par value $0.001 per share, and (ii) our 8.625% Senior Notes due 2026 (the “2026 Notes”) and 11.875% Senior Notes due 2027 (the “2027 Notes”) (collectively, the “Senior Notes” or “Notes”).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this exhibit, when we refer to “Company”, “Harrow”, “we”, “us” and “our” or when we otherwise refer to ourselves, we mean Harrow Health, Inc., excluding, unless otherwise expressly stated or the context requires, our subsidiaries.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rights of our common and preferred stock and of certain provisions of our Amended and Restated Certificate of Incorporation and Amended and Restated Bylaws. For more detailed information, please see our Amended and Restated Certificate of Incorporation and Amended and Restated Bylaws, which are incorporated by reference as exhibits to the Annual Report on Form 10-K to which this description is an exhibit.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55,000,000 shares, 50,000,000 of which are designated as common stock, par value $0.001 per share, and 5,000,000 of which are designated as preferred stock, par value $0.001 per share. As of March 22, 2023, there were 29,901,530 shares of our common stock and no shares of our preferred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As of March 15, 2023, there were approximately 76 stockholders of record (excluding an indeterminable number of stockholders whose shares are held in street or “nominee” name) of our common stock. In addition, as of December 31, 2022, there are outstanding (i) options to acquire 3,027,701 shares of our common stock with a weighted average exercise price of $5.90 per share, (ii) 2,061,719 unvested restricted and performance-based stock units and</w:t>
      </w:r>
    </w:p>
    <w:p>
      <w:pPr>
        <w:spacing w:after="0" w:line="1" w:lineRule="exact"/>
        <w:rPr>
          <w:sz w:val="20"/>
          <w:szCs w:val="20"/>
          <w:color w:val="auto"/>
        </w:rPr>
      </w:pPr>
    </w:p>
    <w:p>
      <w:pPr>
        <w:ind w:firstLine="8"/>
        <w:spacing w:after="0" w:line="260" w:lineRule="auto"/>
        <w:tabs>
          <w:tab w:leader="none" w:pos="3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319,859 restricted stock units award to directors that had vested, but issuance and delivery of the shares are deferred until the director resigns or otherwise leaves the Board of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authorized to issue 50,000,000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and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Transfer Agent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“HROW”. The transfer agent and registrar for our common stock is Securities Transfer Corporation, 2901 N. Dallas Parkway, Suite 380, Plano, Texas 75093.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Senior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issued the Notes under an Indenture dated as of April 20, 2021, as supplemented by the First Supplemental Indenture dated as of April 20, 2021 and the Second Supplement Indenture, dated as of December 20, 2022 (the “Indenture”), between the Company and U.S. Bank National Association (the “Trustee”). The terms of the Notes include those expressly set forth in the Indenture and those made part of the Indenture by reference to the Trust Indenture Act of 1939, as amended (the “Trust Indenture Act”). Certain defined terms used in this description but not defined herein have the meanings assigned to them in the Indenture.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2026 Notes:</w:t>
      </w:r>
    </w:p>
    <w:p>
      <w:pPr>
        <w:spacing w:after="0" w:line="22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general unsecured, senior obligations of the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limited to an aggregate principal amount of $75.0 million, subject to the Company’s ability to issue additional Notes;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April 30, 2026 unless earlier redeemed or repurchased, and 100% of the aggregate principal amount will be paid at maturity;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cash interest from April 30, 2021 at an annual rate of 8.625%, payable quarterly in arrears on January 31, April 30, July 31 and October 31 of each year, beginning on July 31, 2021, and at maturity;</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redeemable at the Company’s option, in whole or in part, prior to February 1, 2026, at the prices and on the terms described under “— Optional Redemption” below;</w:t>
      </w: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issued in denominations of $25 and integral multiples of $25 in excess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have a sinking fund;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listed on NASDAQ under the symbol “HROWL”;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represented by one or more registered notes in global form, but in certain limited circumstances may be represented by notes in definitive form.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2027 Notes:</w:t>
      </w:r>
    </w:p>
    <w:p>
      <w:pPr>
        <w:spacing w:after="0" w:line="22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general unsecured, senior obligations;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limited to an aggregate principal amount of $40.25 million, subject to the Company’s ability to issue additional 2027 Notes;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December 31, 2027 unless earlier redeemed or repurchased, and 100% of the aggregate principal amount will be paid at maturity;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cash interest from December 20, 2022 at an annual rate of 11.875%, payable quarterly in arrears on January 31, April 30, July 31 and October 31 of each year, beginning on January 31, 2023, and at maturity;</w:t>
      </w: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redeemable at our option, in whole or in part, at the prices and on the terms described under “— Optional Redemption” below;</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subject to mandatory redemption, in whole, if we do not complete the Acquisition within 180 calendar days after the original issue date of the Notes, at a price of $25.50, or in certain circumstances, if there is a Material Change, in each case as described under “— Mandatory Redemption” below</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in denominations of $25 and integral multiples of $25 in excess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have a sinking fund;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listed on Nasdaq under the symbol “HROWM”;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represented by one or more registered notes in global form, but in certain limited circumstances may be represented by notes in definitive form.</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indebtedness that we or our subsidiaries may issue. The Indenture does not contain any financial covenants and does not restrict us from paying dividends or issuing or repurchasing our other securities. Other than restrictions described under “— Covenants —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from time to time, without the consent of the existing holders, issue additional Notes having the same terms as to status, redemption or otherwise (except the price to public, the issue date and, if applicable, the initial interest accrual date and the initial interest payment date) that may constitute a single fungible series with the Notes offered by this prospectus supplement; provided that if any such additional Notes are not fungible with the Notes initially offered hereby for U.S. federal income tax purposes, such additional Notes will have one or more separate CUSIP numbers.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Notes are senior unsecured obligations of the Company, and, upon our liquidation, dissolution or winding up, will rank (i) senior to the outstanding shares of our common stock, (ii) senior to any of our future subordinated debt, (iii)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equally) with our existing and future unsecured and unsubordinated indebtedness, (iv) effectively subordinated to any 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on the 2026 Notes accrues at an annual rate equal to 8.625% from and including April 30, 2021 to, but excluding, the maturity date or earlier acceleration or redemption and is payable quarterly in arrears on January 31, April 30, July 31 and October 31 of each year, beginning on July 31, 2021 and at maturity, to the record holders at the close of business on the immediately preceding January 15, April 15, July 15 and October 15, as applicable (whether or not a business day).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initial interest period for the 2026 Notes is the period from and including April 30, 2021, to, but excluding, July 31, 2021, and subsequent interest periods are the periods from and including an interest payment date to, but excluding, the next interest payment date or the stated maturity date, as the case may be. The amount of interest payable for any interest period, including interest payable for any partial interest period, is computed on the basis of a 360-day year comprised of twelve 30-day months. If an interest payment date falls on a non-business day, the applicable interest payment is made on the next business day and no additional interest will accrue as a result of such delayed payment.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on the 2027 Notes accrue at an annual rate equal to 11.875% from and including December 20, 2022 to, but excluding, the maturity date or earlier acceleration or redemption and are payable quarterly in arrears on January 31, April 30, July 31 and October 31 of each year, beginning on January 31, 2023 and at maturity, to the record holders at the close of business on the immediately preceding January 15, April 15, July 15 and October 15, as applicable (whether or not a business day).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initial interest period for the 2027 Notes is the period from and including December 20, 2022, to, but excluding, January 31, 2023, and subsequent interest periods are the periods from and including an interest payment date to, but excluding, the next interest payment date or the stated maturity date, as the case may be. The amount of interest payable for any interest period, including interest payable for any partial interest period, will be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“Business day” means, for any place where the principal and interest on the Notes is payable, each Monday, Tuesday, Wednesday, Thursday and Friday which is not a day in which banking institutions in such place of payment are authorized or obligated by law or executive order to close.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February 1, 2026 (the “2026 Notes Par Call Date”), we may, at our option, redeem the 2026 Notes, in whole at any time or in part from time to time, at a redemption price equal to the sum of (i) 100% of the principal amount of the 2026 Notes being redeemed plus accrued and unpaid interest to, but excluding, the date of redemption and (ii) the Make-Whole Amount, if any.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2026 Notes may be redeemed for cash in whole or in part at any time at our option on or after February 1, 2026 and prior to maturity, at a price equal to 100% of their principal amount, plus accrued and unpaid interest to, but excluding, the date of redemption. In each case, redemption shall be upon notice not fewer than 30 days and not more than 60 days prior to the date fixed for redemption.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less than all of the 2026 Notes are to be redeemed, the particular 2026 Notes to be redeemed will be selected not more than 45 days prior to the redemption date by the Trustee from the outstanding 2026 Notes not previously called for redemption, by lot, or in the Trustee’s discretion, on a pro-rata basis, provided that the unredeemed portion of the principal amount of any 2026 Notes will be in an authorized denomination (which will not be less than the minimum authorized denomination) for such 2026 Notes. The Trustee will promptly notify us in writing of the 2026 Notes selected for redemption and, in the case of any 2026 Notes selected for partial redemption, the principal amount thereof to be redeemed. Beneficial interests in any of the 2026 Notes or portions thereof called for redemption that are registered in the name of DTC or its nominee will be selected by DTC in accordance with DTC’s applicable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Notes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December 31, 2024 (the “2027 Notes Make-Whole Call Date”), we may, at our option, redeem the 2027 Notes, in whole at any time or in part from time to time, at a redemption price equal to the sum of (i) 100% of the principal amount of the 2027 Notes being redeemed plus accrued and unpaid interest to, but excluding, the date of redemption and (ii) the Make-Whole Amount, if 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redeem the 2027 Notes for cash in whole or in part at any time at our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In each case, redemption shall be upon notice not fewer than 30 days and not more than 60 days prior to the date fixed for redemption.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less than all of the 2027 Notes are to be redeemed, the particular 2027 Notes to be redeemed will be selected not more than 45 days prior to the redemption date by the trustee from the outstanding 2027 Notes not previously called for redemption, by lot, or in the trustee’s discretion, on a pro-rata basis, provided that the unredeemed portion of the principal amount of any 2027 Notes will be in an authorized denomination (which will not be less than the minimum authorized denomination) for such 2027 Notes. The trustee will promptly notify us in writing of the 2027 Notes selected for redemption and, in the case of any 2027 Notes selected for partial redemption, the principal amount thereof to be redeemed. Beneficial interests in any of the 2027 Notes or portions thereof called for redemption that are registered in the name of DTC or its nominee will be selected by DTC in accordance with DTC’s applicable procedures.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Trustee shall have no obligation to calculate any redemption price, including any Make-Whole Amount, or any component thereof, and the Trustee shall be entitled to receive and conclusively rely upon an officer’s certificate delivered by the Company that specifies any redemption price.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we default on the payment of the redemption price, on and after the date of redemption, interest will cease to accrue on the 2027 Notes called for redemption.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at any time, and from time to time, purchase notes at any price or prices in the open market or otherwise.</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“Make-Whole Amount” means, in connection with any optional redemption of any Note, the excess, if any, of (i) the sum of the present values, as of the date of such redemption, of the remaining scheduled payments of principal of, and interest (exclusive of interest accrued to, but excluding, the date of redemption) on, such Note, assuming such Note matured on, and that accrued and unpaid interest on such Note was payable through, the Notes Par Call Date, determined by discounting, on a semi-annual basis (assuming a 360-day year consisting of twelve 30-day months), such principal and interest at the Reinvestment Rate (as defined below) (determined on the third business day preceding the date of redemption) over (ii) the aggregate principal amount of such Notes being redeemed.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“Reinvestment Rate” means, 0.500%, or 50 basis points, plus the arithmetic mean (rounded to the nearest one-hundredth of one percent) of the yields displayed for each day in the preceding calendar week published in the most recent Statistical Release under the caption “Treasury constant maturities” for the maturity (rounded to the nearest month) corresponding to the remaining life to maturity of the Notes (assuming that the Notes matured on the Notes Par Call Date) as of the date of redemption. If no maturity exactly corresponds to such remaining life to maturity, yields for the two published maturities most closely corresponding to such remaining life to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Reinvestment Rate shall be used.</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“Statistical Release” means that statistical release designated “H.15” or any successor publication that is published daily by the Federal Reserve System and that establishes yields on actively traded United States Treasury securities adjusted to constant maturities, or, if such statistical release (or a successor publication) is not published at the time of any determination under the Indenture, then such other reasonably comparable index that shall be designated by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Holders of our Notes will have rights if an Event of Default occurs in respect of the Notes and is not cured, as described later in this subsection. The term “Event of Default” in respect of the Notes means any of the following:</w:t>
      </w:r>
    </w:p>
    <w:p>
      <w:pPr>
        <w:spacing w:after="0" w:line="16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any Note when due, and such default is not cured within 30 days;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the Notes when due and payable;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covenant or warranty in the Indenture with respect to the Notes and such breach continues for 60 days after we receive a written notice of such breach from the Trustee or the holders of at least 25% of the principal amount of the Notes; and</w:t>
      </w: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events of bankruptcy, insolvency or reorganization occur and remain undischarged or unstayed for a period of 90 days.</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Trustee may withhold notice to the holders of the Notes of any default, except in the payment of principal or interest, if the Trustee in good faith determines the withholding of notice to be in the interest of the holders of the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an Event of Default has occurred and is continuing, the Trustee or the holders of not less than 25% of the outstanding principal amount of the Notes may declare the entire principal amount of the Notes, together with accrued and unpaid interest, if any, to be due and payable immediately by a notice in writing to us and, if notice is given by the holders of the Notes, the Trustee. This is called an “acceleration of maturity.” If the Event of Default occurs in relation to our filing for bankruptcy or certain other events of bankruptcy, insolvency or reorganization occur, the principal amount of the Notes, together with accrued and unpaid interest, if any, will automatically, and without any declaration or other action on the part of the Trustee or the holders, become immediately due and payable.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after a declaration of acceleration of the Notes has been made by the Trustee or the holders of the Notes and before any judgment or decree for payment of money due has been obtained by the Trustee, the holders of a majority of the outstanding principal of the Notes, by written notice to us and the Trustee, may rescind and annul such declaration and its consequences if (i) we have paid or deposited with the Trustee all amounts due and owed with respect to the Notes (other than principal that has become due solely by reason of such acceleration) and certain other amounts, and (ii) any other Events of Default have been cured or waived.</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At our election, the sole remedy with respect to an Event of Default due to our failure to comply with certain reporting requirements under the Trust Indenture Act or under “— Covenants — Reporting” below, for the first 180 calendar days after the occurrence of such Event of Default, consists exclusively of the right to receive additional interest on the Notes at an annual rate equal to (1) 0.25% for the first 90 calendar days after such default and</w:t>
      </w:r>
    </w:p>
    <w:p>
      <w:pPr>
        <w:spacing w:after="0" w:line="1" w:lineRule="exact"/>
        <w:rPr>
          <w:sz w:val="20"/>
          <w:szCs w:val="20"/>
          <w:color w:val="auto"/>
        </w:rPr>
      </w:pPr>
    </w:p>
    <w:p>
      <w:pPr>
        <w:jc w:val="both"/>
        <w:ind w:firstLine="8"/>
        <w:spacing w:after="0" w:line="227" w:lineRule="auto"/>
        <w:tabs>
          <w:tab w:leader="none" w:pos="2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0.50% for calendar days 91 through 180 after such default. On the 181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we choose to pay such additional interest, we must notify the Trustee and the holders of the Notes by certificate of our election at any time on or before the close of business on the first business day following the Event of Default.</w:t>
      </w:r>
    </w:p>
    <w:p>
      <w:pPr>
        <w:spacing w:after="0" w:line="19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Before a holder of the Notes is allowed to bypass the Trustee and bring a lawsuit or other formal legal action or take other steps to enforce such holder’s rights relating to the Notes, the following must occur:</w:t>
      </w:r>
    </w:p>
    <w:p>
      <w:pPr>
        <w:spacing w:after="0" w:line="16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must give the Trustee written notice that the Event of Default has occurred and remains uncured;</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of the outstanding principal of the Notes must have made a written request to the Trustee to institute proceedings in respect of such Event of Default in its own name as trustee;</w:t>
      </w:r>
    </w:p>
    <w:p>
      <w:pPr>
        <w:ind w:left="660" w:right="20" w:hanging="328"/>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must have offered to the Trustee indemnity against the costs, expenses and liabilities to be incurred in compliance with such request;</w:t>
      </w: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holders of a majority of the outstanding principal of the Notes.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delay or omission in exercising any right or remedy will be treated as a waiver of that right, remedy or Event of Default.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7" w:name="page108"/>
    <w:bookmarkEnd w:id="10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of the Notes should consult their banks or brokers for information on how to give notice or direction to or make a request of the Trustee and how to declare or cancel an acceleration of maturity.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of Defaults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of the outstanding principal amount of the Notes may on behalf of the holders of all Notes waive any past default with respect to the Notes other than (i) a default in the payment of principal or interest on the Notes when such payments are due and payable (other than by acceleration as described above), or (ii) in respect of a covenant that cannot be modified or amended without the consent of each holder of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any other covenants described in the accompanying prospectus, as well as standard covenants relating to payment of principal and interest, maintaining an office where payments may be made or securities can be surrendered for payment, payment of taxes by us and related matters, the following covenants will apply to the Notes. To the extent of any conflict or inconsistency between the base indenture and the following covenants, the following covenants will govern.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Notes outstanding, and the due and punctual performance and observance of all the covenants and conditions of the Indenture to be performed by us;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has occurred and is continuing;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60 days of our fiscal quarter end (other than our fourth fiscal quarter). All such financial statements will be prepared, in all material respects, in accordance with GAAP,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 make to the Notes without the specific approval of the holders of the Notes. This type is limited to clarifications and certain other changes that would not adversely affect holders of the Notes in any material respect and include changes:</w:t>
      </w:r>
    </w:p>
    <w:p>
      <w:pPr>
        <w:spacing w:after="0" w:line="162" w:lineRule="exact"/>
        <w:rPr>
          <w:sz w:val="20"/>
          <w:szCs w:val="20"/>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and the assumption by the successor corporation of our covenants, agreements and obligations under the Indenture and the Notes;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the Notes, or to surrender any right or power herein conferred upon the Company and to make the occurrence;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the holders of the Notes;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such extent as necessary to permit or facilitate the issuance of the Notes in bearer form, registrable or not registrable as to principal, and with or without interest coupons, or to permit or facilitate the issuance of the Notes in uncertificated form;</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provide for a guaranty of the Notes or additional obligors on the Notes;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the Notes;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or to correct or supplement any provision contained in the Indenture or in any supplemental indenture which may be defective or inconsistent with other provisions, or to make any other provisions with respect to matters or questions arising under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action pursuant to this clause shall not adversely affect the interests of the holders of the Notes in any material respect;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including provisions regarding the circumstances under which collateral may be released or substituted;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of a successor trustee and to add or change any provisions of the Indenture as necessary to provide for or facilitate the administration of the trust by more than one trustee;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the Indenture to such extent as shall be necessary to permit or facilitate the defeasance and discharge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the Notes in any material respect.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Approval of Each Holder</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cannot make certain changes to the Notes without the specific approval of each holder of the Notes. The following is a list of those types of changes:</w:t>
      </w:r>
    </w:p>
    <w:p>
      <w:pPr>
        <w:spacing w:after="0" w:line="16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stated maturity of the principal of, or any installment of interest on, any Note;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or rate of interest of any Note;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place of payment where any Note or any interest is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right to institute suit for the enforcement of any payment on or after the date on which it is due and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in principal amount of holders of the Notes whose consent is needed to modify or amend the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in principal amount of holders of the Notes whose consent is needed to waive compliance with certain provisions of the Indenture or to waive certain defaults.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other change to the Indenture and the Notes would require the following approval:</w:t>
      </w:r>
    </w:p>
    <w:p>
      <w:pPr>
        <w:spacing w:after="0" w:line="225" w:lineRule="exact"/>
        <w:rPr>
          <w:sz w:val="20"/>
          <w:szCs w:val="20"/>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only affects the Notes, it must be approved by holders of not less than a majority in aggregate principal amount of the outstanding Notes;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Indenture, it must be approved by the holders of not less than a majority in aggregate principal amount of each of the series of debt securities affected by the change.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Consent from holders to any change to the Indenture or the Notes must be given in writing.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Details Concerning Voting</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amount of Notes deemed to be outstanding for the purpose of voting will include all Notes authenticated and delivered under the Indenture as of the date of determination except:</w:t>
      </w:r>
    </w:p>
    <w:p>
      <w:pPr>
        <w:spacing w:after="0" w:line="1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cancelled by the Trustee or delivered to the Trustee for cancellation;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for which we have deposited with the Trustee or paying agent or set aside in trust money for their payment or redemption and, if money has been set aside for the redemption of the Notes, notice of such redemption has been duly given pursuant to the Indenture to the satisfaction of the Trustee;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held by the Company, its subsidiaries or any other entity which is an obligor under the Notes, unless such Notes have been pledged in good faith and the pledgee is not the Company, an affiliate of the Company or an obligor under the Notes;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for which have undergone full defeasance, as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which have been paid or exchanged for other Notes due to such Notes loss, destruction or mutilation, with the exception of any such Notes held by bona fide purchasers who have presented proof to the Trustee that such Notes are valid obligations of the Company.</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the Notes that are entitled to vote or take other action under the Indenture, and the Trustee will generally be entitled to set any day as a record date for the purpose of determining the holders of the Notes that are entitled to join in the giving or making of any Notice of Default, any declaration of acceleration of maturity of the Notes, any request to institute proceedings or the reversal of such declaration. If we or the Trustee set a record date for a vote or other action to be taken by the holders of the Notes, that vote or action can only be taken by persons who are holders of the Notes on the record date and, unless otherwise specified, such vote or action</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must take place on or prior to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record date. We may change the record date at our option, and we will provide written notice to the Trustee and to each holder of the Notes of any such change of record 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defeasance provisions are applicable to the Notes. “Defeasance” means that, by irrevocably depositing with the Trustee an amount of cash denominated in U.S. dollars and/or U.S. government obligations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The consequences to the holders of the Notes would be that, while they would no longer benefit from certain covenants under the Indenture, and while the Notes could not be accelerated for any reason, the holders of the Notes nonetheless would be guaranteed to receive the principal and interest owed to them.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Indenture, we have the option to take the actions described below and be released from some of the restrictive covenants under the Indenture under which the Notes were issued. This is called “covenant defeasance.” In that event, holders of the Notes would lose the protection of those restrictive covenants but would gain the protection of having money and government securities set aside in trust to repay the Notes. In order to achieve covenant defeasance, the following must occur:</w:t>
      </w:r>
    </w:p>
    <w:p>
      <w:pPr>
        <w:spacing w:after="0" w:line="180" w:lineRule="exact"/>
        <w:rPr>
          <w:sz w:val="20"/>
          <w:szCs w:val="20"/>
          <w:color w:val="auto"/>
        </w:rPr>
      </w:pPr>
    </w:p>
    <w:p>
      <w:pPr>
        <w:jc w:val="both"/>
        <w:ind w:left="660" w:hanging="328"/>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under U.S. federal income tax law, we may make the above deposit and covenant defeasance without causing holders to be taxed on the Notes differently than if we did not make the deposit and we just repaid the debt securities ourselves at maturity;</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stating that the Notes, if then listed on any securities exchange, will not be delisted as a result of the deposit;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defeasance must not cause the Trustee to have a conflicting interest within the meaning of the Trust Indenture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defeasance must not result in a breach or violation of, or constitute a default under, the Indenture or any other material agreements or instruments to which we are a party;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and a legal opinion from our counsel stating that all conditions precedent with respect to the covenant defeasance have been complied with.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income tax law, we can legally release ourselves from all payment and other obligations on the Notes if we take the following actions below:</w:t>
      </w:r>
    </w:p>
    <w:p>
      <w:pPr>
        <w:spacing w:after="0" w:line="162" w:lineRule="exact"/>
        <w:rPr>
          <w:sz w:val="20"/>
          <w:szCs w:val="20"/>
          <w:color w:val="auto"/>
        </w:rPr>
      </w:pPr>
    </w:p>
    <w:p>
      <w:pPr>
        <w:jc w:val="both"/>
        <w:ind w:left="660" w:hanging="328"/>
        <w:spacing w:after="0" w:line="261"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to the current U.S. federal income tax law or an Internal Revenue Service ruling that allows us to make the above deposit without causing holders to be taxed on the Notes any differently than if we did not make the deposit and we just repaid the debt securities ourselves at maturity;</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stating that the Notes, if then listed on any securities exchange, will not be delisted as a result of the deposit;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defeasance must not cause the Trustee to have a conflicting interest within the meaning of the Trust Indenture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defeasance must not result in a breach or violation of, or constitute a default under, the Indenture or any other material agreements or instruments to which we are a party;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and a legal opinion from our counsel stating that all conditions precedent with respect to the full defeasance have been complied with.</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that the Trustee is unable to apply the funds held in trust to the payment of obligations under the Notes by reason of a court order or governmental injunction or prohibition, then those of our obligations discharged under the full defeasance or covenant defeasance will be revived and reinstated as though no deposit of funds had occurred, until such time as the Trustee is permitted to apply all funds held in trust under the procedure described above may be applied to the payment of obligations under the Notes. However, if we make any payment of principal or interest on the Notes to the holders, we will be subrogated to the rights of the holders to receive such payment from the money so held in trust.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Notes are listed on the Nasdaq Stock Market LLC under the symbols “HROWL” and “HROWM”. The Notes trade “flat,” meaning that purchasers do not pay and sellers do not receive any accrued and unpaid interest on the Notes that is not included in the trading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and the Notes are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Notes; Book-Entry Issuance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Notes are issued in the form of one or more global certificates, or Global Notes, registered in the name of The Depository Trust Company, or DTC. DTC has informed us that its nominee is Cede &amp; Co. Accordingly, we expect Cede &amp; Co. to be the initial registered holder of the Notes. No person that acquires a beneficial interest in the Notes will be entitled to receive a certificate representing that person’s interest in the Notes except as described herein. Unless and until definitive securities are issued under the limited circumstances described below, all references to actions by holders of the Notes will refer to actions taken by DTC upon instructions from its participants, and all references to payments and notices to holders will refer to payments and notices to DTC or Cede &amp; Co., as the registered holder of these securities.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an S&amp;P rating of AA+. The DTC Rules applicable to its participants are on file with the SEC. More information about DTC can be found at </w:t>
      </w:r>
      <w:r>
        <w:rPr>
          <w:rFonts w:ascii="Times New Roman" w:cs="Times New Roman" w:eastAsia="Times New Roman" w:hAnsi="Times New Roman"/>
          <w:sz w:val="18"/>
          <w:szCs w:val="18"/>
          <w:i w:val="1"/>
          <w:iCs w:val="1"/>
          <w:color w:val="auto"/>
        </w:rPr>
        <w:t>www.dtcc.com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Purchases of the Notes under the DTC system must be made by or through Direct Participants, which will receive a credit for the Notes on DTC’s records. The ownership interest of each actual purchaser of each Note,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facilitate subsequent transfers, all Notes deposited by Direct Participants with DTC are registered in the name of DTC’s partnership nominee, Cede</w:t>
      </w:r>
    </w:p>
    <w:p>
      <w:pPr>
        <w:spacing w:after="0" w:line="27" w:lineRule="exact"/>
        <w:rPr>
          <w:sz w:val="20"/>
          <w:szCs w:val="20"/>
          <w:color w:val="auto"/>
        </w:rPr>
      </w:pPr>
    </w:p>
    <w:p>
      <w:pPr>
        <w:jc w:val="both"/>
        <w:ind w:firstLine="8"/>
        <w:spacing w:after="0" w:line="253" w:lineRule="auto"/>
        <w:tabs>
          <w:tab w:leader="none" w:pos="1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Notes are being redeemed, DTC’s practice is to determine by lot the amount of the interest of each Direct Participant in the Notes to be redeemed.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will be governed by standing instructions and customary practices, as is the case with the Notes held for the accounts of customers in bearer form or registered in “street name,” and will be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will be the responsibility of DTC, and disbursement of such payments to the Beneficial Owners will be the responsibility of Direct and Indirect Participants.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None of the Company, the Trustee, any depositary, or any agent of any of them will have any responsibility or liability for any aspect of DTC’s or any participant’s records relating to, or for payments made on account of, beneficial interests in a Global Note, or for maintaining, supervising or reviewing any records relating to such beneficial interests.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Termination of a Global Note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Global Note is terminated for any reason, interest in it will be exchanged for certificates in non-book-entry form as certificated securities. After such exchange, the choice of whether to hold the certificated Notes directly or in street name will be up to the investor. Investors must consult their own banks or brokers to find out how to have their interests in a Global Note transferred on termination to their own names, so that they will be holders of the Notes. See “— Form, Exchange and Transfer of Certificated Registered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pay interest to the person listed in the Trustee’s records as the owner of the Notes at the close of business on the record date for the applicable interest payment date, even if that person no longer owns the Note on the interest payment date. Because we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Global Notes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make payments on the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Certificated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the Notes become represented by certificates, we will make payments on the Notes as follows. We will pay interest that is due on an interest payment date by check mailed on the interest payment date to the holder of the Note at his or her address shown on the Trustee’s records as of the close of business on the record date. We will make all payments of principal by check at the office of the Trustee in the contiguous United States and/or at other offices that may be specified in the Indenture or a notice to holders against surrender of the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When Offices Are Closed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they will receive payments on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identifies as a beneficial owner of the related Notes only if:</w:t>
      </w:r>
    </w:p>
    <w:p>
      <w:pPr>
        <w:spacing w:after="0" w:line="225"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notified us at any time that it is unwilling or unable to continue as depositary for the Global Notes;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such Global Note has occurred and is continuing.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at the office of the Trustee. We have appointed the Trustee to act as our agent for registering the Notes in the name of holders transferring Notes. We may at any time designate additional transfer agents or rescind the designation of any transfer agent or approve a change in the office through which any transfer agent acts.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redeem any of the Notes, we may block the transfer or exchange of those Notes selected for redemption during the period beginning 15 days before the day we mail the notice of redemption and ending on the day of that mailing, in order to determine or fix the list of holders to prepare the mailing. We may also refuse to register transfer or exchanges of any certificated Notes selected for redemption, except that we will continue to permit transfers and exchanges of the unredeemed portion of any Note that will be partially redeemed.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Trustee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 Bank National Association is the Trustee under the Indenture and is the principal paying agent and registrar for the Notes. The Trustee may resign or be removed with respect to the Notes provided that a successor trustee is appointed to act with respect to the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7340" w:type="dxa"/>
            <w:vAlign w:val="bottom"/>
            <w:gridSpan w:val="3"/>
          </w:tcPr>
          <w:p>
            <w:pPr>
              <w:jc w:val="center"/>
              <w:ind w:right="3790"/>
              <w:spacing w:after="0"/>
              <w:rPr>
                <w:sz w:val="20"/>
                <w:szCs w:val="20"/>
                <w:color w:val="auto"/>
              </w:rPr>
            </w:pPr>
            <w:r>
              <w:rPr>
                <w:rFonts w:ascii="Times New Roman" w:cs="Times New Roman" w:eastAsia="Times New Roman" w:hAnsi="Times New Roman"/>
                <w:sz w:val="18"/>
                <w:szCs w:val="18"/>
                <w:b w:val="1"/>
                <w:bCs w:val="1"/>
                <w:color w:val="auto"/>
                <w:w w:val="99"/>
              </w:rPr>
              <w:t>HARROW HEALTH, INC. SUBSIDIARIES</w:t>
            </w:r>
          </w:p>
        </w:tc>
      </w:tr>
      <w:tr>
        <w:trPr>
          <w:trHeight w:val="234"/>
        </w:trPr>
        <w:tc>
          <w:tcPr>
            <w:tcW w:w="3900" w:type="dxa"/>
            <w:vAlign w:val="bottom"/>
          </w:tcPr>
          <w:p>
            <w:pPr>
              <w:spacing w:after="0"/>
              <w:rPr>
                <w:sz w:val="20"/>
                <w:szCs w:val="20"/>
                <w:color w:val="auto"/>
              </w:rPr>
            </w:pPr>
          </w:p>
        </w:tc>
        <w:tc>
          <w:tcPr>
            <w:tcW w:w="7340" w:type="dxa"/>
            <w:vAlign w:val="bottom"/>
            <w:gridSpan w:val="3"/>
          </w:tcPr>
          <w:p>
            <w:pPr>
              <w:jc w:val="center"/>
              <w:ind w:right="3810"/>
              <w:spacing w:after="0"/>
              <w:rPr>
                <w:sz w:val="20"/>
                <w:szCs w:val="20"/>
                <w:color w:val="auto"/>
              </w:rPr>
            </w:pPr>
            <w:r>
              <w:rPr>
                <w:rFonts w:ascii="Times New Roman" w:cs="Times New Roman" w:eastAsia="Times New Roman" w:hAnsi="Times New Roman"/>
                <w:sz w:val="18"/>
                <w:szCs w:val="18"/>
                <w:color w:val="auto"/>
                <w:w w:val="99"/>
              </w:rPr>
              <w:t>as of December 31, 2022</w:t>
            </w:r>
          </w:p>
        </w:tc>
      </w:tr>
      <w:tr>
        <w:trPr>
          <w:trHeight w:val="410"/>
        </w:trPr>
        <w:tc>
          <w:tcPr>
            <w:tcW w:w="3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w:t>
            </w:r>
          </w:p>
        </w:tc>
      </w:tr>
      <w:tr>
        <w:trPr>
          <w:trHeight w:val="216"/>
        </w:trPr>
        <w:tc>
          <w:tcPr>
            <w:tcW w:w="3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45"/>
        </w:trPr>
        <w:tc>
          <w:tcPr>
            <w:tcW w:w="3900" w:type="dxa"/>
            <w:vAlign w:val="bottom"/>
            <w:tcBorders>
              <w:bottom w:val="single" w:sz="8" w:color="auto"/>
            </w:tcBorders>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Name of Subsidiary</w:t>
            </w:r>
          </w:p>
        </w:tc>
        <w:tc>
          <w:tcPr>
            <w:tcW w:w="1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198"/>
        </w:trPr>
        <w:tc>
          <w:tcPr>
            <w:tcW w:w="3900" w:type="dxa"/>
            <w:vAlign w:val="bottom"/>
          </w:tcPr>
          <w:p>
            <w:pPr>
              <w:jc w:val="center"/>
              <w:ind w:left="1550"/>
              <w:spacing w:after="0" w:line="198" w:lineRule="exact"/>
              <w:rPr>
                <w:sz w:val="20"/>
                <w:szCs w:val="20"/>
                <w:color w:val="auto"/>
              </w:rPr>
            </w:pPr>
            <w:r>
              <w:rPr>
                <w:rFonts w:ascii="Times New Roman" w:cs="Times New Roman" w:eastAsia="Times New Roman" w:hAnsi="Times New Roman"/>
                <w:sz w:val="18"/>
                <w:szCs w:val="18"/>
                <w:color w:val="auto"/>
                <w:w w:val="99"/>
              </w:rPr>
              <w:t>ImprimisRx, LLC</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Imprimis NJOF,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39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ImprimisRx NJ,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390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Harrow Eye,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7"/>
              </w:rPr>
              <w:t>Harrow IP,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8"/>
              </w:rPr>
              <w:t>Visionology Equity,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Stowe Pharmaceuticals, Inc.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Radley Pharmaceuticals, Inc.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Mayfield Pharmaceuticals, Inc.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Visionology, Inc.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Visionology MSO, Inc.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9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Park Compounding, Inc.</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439"/>
        </w:trPr>
        <w:tc>
          <w:tcPr>
            <w:tcW w:w="39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333-159159, 333-183488, 333-198674, 333-220186 and 333-257413 on Form S-8 and Registration Statement Nos. 333-215672 and 333-265244 on Form S-3 of our report dated March 23, 2023, relating to the consolidated financial statements of Harrow Health, Inc. and subsidiaries, appearing in this Annual Report on Form 10-K of Harrow Health, Inc. for the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KMJ Corbin &amp; Company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Mark L. Baum, certify that:</w:t>
      </w:r>
    </w:p>
    <w:p>
      <w:pPr>
        <w:spacing w:after="0" w:line="229"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for the fiscal year ended December 31, 2022 of Harrow Health,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23, 2023</w:t>
      </w:r>
      <w:r>
        <w:rPr>
          <w:sz w:val="20"/>
          <w:szCs w:val="20"/>
          <w:color w:val="auto"/>
        </w:rPr>
        <w:tab/>
      </w:r>
      <w:r>
        <w:rPr>
          <w:rFonts w:ascii="Times New Roman" w:cs="Times New Roman" w:eastAsia="Times New Roman" w:hAnsi="Times New Roman"/>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Andrew R. Boll, certify that:</w:t>
      </w:r>
    </w:p>
    <w:p>
      <w:pPr>
        <w:spacing w:after="0" w:line="229"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for the fiscal year ended December 31, 2022 of Harrow Health,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23, 2023</w:t>
      </w:r>
      <w:r>
        <w:rPr>
          <w:sz w:val="20"/>
          <w:szCs w:val="20"/>
          <w:color w:val="auto"/>
        </w:rPr>
        <w:tab/>
      </w:r>
      <w:r>
        <w:rPr>
          <w:rFonts w:ascii="Times New Roman" w:cs="Times New Roman" w:eastAsia="Times New Roman" w:hAnsi="Times New Roman"/>
          <w:sz w:val="17"/>
          <w:szCs w:val="17"/>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Mark L. Baum, Chief Executive Officer of Harrow Health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firstLine="332"/>
        <w:spacing w:after="0" w:line="282" w:lineRule="auto"/>
        <w:tabs>
          <w:tab w:leader="none" w:pos="61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2022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23,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Andrew R. Boll, Chief Financial Officer of Harrow Health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firstLine="332"/>
        <w:spacing w:after="0" w:line="282" w:lineRule="auto"/>
        <w:tabs>
          <w:tab w:leader="none" w:pos="6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2022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23,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lowerLetter"/>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lowerRoman"/>
      <w:start w:val="2"/>
    </w:lvl>
  </w:abstractNum>
  <w:abstractNum w:abstractNumId="7">
    <w:nsid w:val="5577F8E1"/>
    <w:multiLevelType w:val="hybridMultilevel"/>
    <w:lvl w:ilvl="0">
      <w:lvlJc w:val="left"/>
      <w:lvlText w:val="(%1)"/>
      <w:numFmt w:val="lowerRoman"/>
      <w:start w:val="4"/>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lowerLetter"/>
      <w:start w:val="1"/>
    </w:lvl>
    <w:lvl w:ilvl="1">
      <w:lvlJc w:val="left"/>
      <w:lvlText w:val="(%2)"/>
      <w:numFmt w:val="decimal"/>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1)"/>
      <w:numFmt w:val="lowerRoman"/>
      <w:start w:val="2"/>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lowerRoman"/>
      <w:start w:val="4"/>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2"/>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amp;"/>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99" Type="http://schemas.openxmlformats.org/officeDocument/2006/relationships/image" Target="media/image59.png"/><Relationship Id="rId117" Type="http://schemas.openxmlformats.org/officeDocument/2006/relationships/image" Target="media/image60.png"/><Relationship Id="rId141" Type="http://schemas.openxmlformats.org/officeDocument/2006/relationships/image" Target="media/image61.png"/><Relationship Id="rId142" Type="http://schemas.openxmlformats.org/officeDocument/2006/relationships/image" Target="media/image62.png"/><Relationship Id="rId143" Type="http://schemas.openxmlformats.org/officeDocument/2006/relationships/image" Target="media/image63.png"/><Relationship Id="rId144" Type="http://schemas.openxmlformats.org/officeDocument/2006/relationships/image" Target="media/image64.png"/><Relationship Id="rId145" Type="http://schemas.openxmlformats.org/officeDocument/2006/relationships/image" Target="media/image65.png"/><Relationship Id="rId146" Type="http://schemas.openxmlformats.org/officeDocument/2006/relationships/image" Target="media/image66.png"/><Relationship Id="rId147" Type="http://schemas.openxmlformats.org/officeDocument/2006/relationships/image" Target="media/image67.png"/><Relationship Id="rId148" Type="http://schemas.openxmlformats.org/officeDocument/2006/relationships/image" Target="media/image68.png"/><Relationship Id="rId149" Type="http://schemas.openxmlformats.org/officeDocument/2006/relationships/image" Target="media/image69.png"/><Relationship Id="rId150" Type="http://schemas.openxmlformats.org/officeDocument/2006/relationships/image" Target="media/image70.png"/><Relationship Id="rId151" Type="http://schemas.openxmlformats.org/officeDocument/2006/relationships/image" Target="media/image71.png"/><Relationship Id="rId152" Type="http://schemas.openxmlformats.org/officeDocument/2006/relationships/image" Target="media/image72.png"/><Relationship Id="rId153" Type="http://schemas.openxmlformats.org/officeDocument/2006/relationships/image" Target="media/image73.png"/><Relationship Id="rId154" Type="http://schemas.openxmlformats.org/officeDocument/2006/relationships/image" Target="media/image74.png"/><Relationship Id="rId155" Type="http://schemas.openxmlformats.org/officeDocument/2006/relationships/image" Target="media/image75.png"/><Relationship Id="rId156" Type="http://schemas.openxmlformats.org/officeDocument/2006/relationships/image" Target="media/image76.png"/><Relationship Id="rId157" Type="http://schemas.openxmlformats.org/officeDocument/2006/relationships/image" Target="media/image77.png"/><Relationship Id="rId158" Type="http://schemas.openxmlformats.org/officeDocument/2006/relationships/image" Target="media/image78.png"/><Relationship Id="rId159" Type="http://schemas.openxmlformats.org/officeDocument/2006/relationships/image" Target="media/image79.png"/><Relationship Id="rId160" Type="http://schemas.openxmlformats.org/officeDocument/2006/relationships/image" Target="media/image80.png"/><Relationship Id="rId161" Type="http://schemas.openxmlformats.org/officeDocument/2006/relationships/image" Target="media/image81.png"/><Relationship Id="rId162" Type="http://schemas.openxmlformats.org/officeDocument/2006/relationships/image" Target="media/image82.png"/><Relationship Id="rId163" Type="http://schemas.openxmlformats.org/officeDocument/2006/relationships/image" Target="media/image83.png"/><Relationship Id="rId164" Type="http://schemas.openxmlformats.org/officeDocument/2006/relationships/image" Target="media/image84.png"/><Relationship Id="rId165" Type="http://schemas.openxmlformats.org/officeDocument/2006/relationships/image" Target="media/image85.png"/><Relationship Id="rId166" Type="http://schemas.openxmlformats.org/officeDocument/2006/relationships/image" Target="media/image86.png"/><Relationship Id="rId167" Type="http://schemas.openxmlformats.org/officeDocument/2006/relationships/image" Target="media/image87.png"/><Relationship Id="rId168" Type="http://schemas.openxmlformats.org/officeDocument/2006/relationships/image" Target="media/image88.png"/><Relationship Id="rId169" Type="http://schemas.openxmlformats.org/officeDocument/2006/relationships/image" Target="media/image89.png"/><Relationship Id="rId170" Type="http://schemas.openxmlformats.org/officeDocument/2006/relationships/image" Target="media/image90.png"/><Relationship Id="rId171" Type="http://schemas.openxmlformats.org/officeDocument/2006/relationships/image" Target="media/image91.png"/><Relationship Id="rId172" Type="http://schemas.openxmlformats.org/officeDocument/2006/relationships/image" Target="media/image92.png"/><Relationship Id="rId173" Type="http://schemas.openxmlformats.org/officeDocument/2006/relationships/image" Target="media/image93.png"/><Relationship Id="rId174" Type="http://schemas.openxmlformats.org/officeDocument/2006/relationships/image" Target="media/image94.png"/><Relationship Id="rId175" Type="http://schemas.openxmlformats.org/officeDocument/2006/relationships/image" Target="media/image95.png"/><Relationship Id="rId176" Type="http://schemas.openxmlformats.org/officeDocument/2006/relationships/image" Target="media/image96.png"/><Relationship Id="rId177" Type="http://schemas.openxmlformats.org/officeDocument/2006/relationships/image" Target="media/image97.png"/><Relationship Id="rId178" Type="http://schemas.openxmlformats.org/officeDocument/2006/relationships/image" Target="media/image98.png"/><Relationship Id="rId179" Type="http://schemas.openxmlformats.org/officeDocument/2006/relationships/image" Target="media/image99.png"/><Relationship Id="rId180" Type="http://schemas.openxmlformats.org/officeDocument/2006/relationships/image" Target="media/image100.png"/><Relationship Id="rId181" Type="http://schemas.openxmlformats.org/officeDocument/2006/relationships/image" Target="media/image101.png"/><Relationship Id="rId182" Type="http://schemas.openxmlformats.org/officeDocument/2006/relationships/image" Target="media/image102.png"/><Relationship Id="rId183" Type="http://schemas.openxmlformats.org/officeDocument/2006/relationships/image" Target="media/image103.png"/><Relationship Id="rId184" Type="http://schemas.openxmlformats.org/officeDocument/2006/relationships/image" Target="media/image104.png"/><Relationship Id="rId185" Type="http://schemas.openxmlformats.org/officeDocument/2006/relationships/image" Target="media/image105.png"/><Relationship Id="rId186" Type="http://schemas.openxmlformats.org/officeDocument/2006/relationships/image" Target="media/image106.png"/><Relationship Id="rId187" Type="http://schemas.openxmlformats.org/officeDocument/2006/relationships/image" Target="media/image107.png"/><Relationship Id="rId188" Type="http://schemas.openxmlformats.org/officeDocument/2006/relationships/image" Target="media/image108.png"/><Relationship Id="rId189" Type="http://schemas.openxmlformats.org/officeDocument/2006/relationships/image" Target="media/image109.png"/><Relationship Id="rId190" Type="http://schemas.openxmlformats.org/officeDocument/2006/relationships/image" Target="media/image110.png"/><Relationship Id="rId191" Type="http://schemas.openxmlformats.org/officeDocument/2006/relationships/image" Target="media/image111.png"/><Relationship Id="rId192" Type="http://schemas.openxmlformats.org/officeDocument/2006/relationships/image" Target="media/image112.png"/><Relationship Id="rId193" Type="http://schemas.openxmlformats.org/officeDocument/2006/relationships/image" Target="media/image113.png"/><Relationship Id="rId194" Type="http://schemas.openxmlformats.org/officeDocument/2006/relationships/image" Target="media/image114.png"/><Relationship Id="rId195" Type="http://schemas.openxmlformats.org/officeDocument/2006/relationships/image" Target="media/image115.png"/><Relationship Id="rId196" Type="http://schemas.openxmlformats.org/officeDocument/2006/relationships/image" Target="media/image116.png"/><Relationship Id="rId197" Type="http://schemas.openxmlformats.org/officeDocument/2006/relationships/image" Target="media/image117.png"/><Relationship Id="rId198" Type="http://schemas.openxmlformats.org/officeDocument/2006/relationships/image" Target="media/image118.png"/><Relationship Id="rId199" Type="http://schemas.openxmlformats.org/officeDocument/2006/relationships/image" Target="media/image119.png"/><Relationship Id="rId66" Type="http://schemas.openxmlformats.org/officeDocument/2006/relationships/hyperlink" Target="https://www.sec.gov/Archives/edgar/data/1360214/000114420407050619/v088205_ex2-1.htm" TargetMode="External"/><Relationship Id="rId67" Type="http://schemas.openxmlformats.org/officeDocument/2006/relationships/hyperlink" Target="https://www.sec.gov/Archives/edgar/data/1360214/000149315215000811/ex3-1.htm" TargetMode="External"/><Relationship Id="rId68" Type="http://schemas.openxmlformats.org/officeDocument/2006/relationships/hyperlink" Target="https://www.sec.gov/Archives/edgar/data/1360214/000149315214000878/ex3-2.htm" TargetMode="External"/><Relationship Id="rId69" Type="http://schemas.openxmlformats.org/officeDocument/2006/relationships/hyperlink" Target="https://www.sec.gov/Archives/edgar/data/1360214/000107878211003672/f8k121911_ex3z1.htm" TargetMode="External"/><Relationship Id="rId70" Type="http://schemas.openxmlformats.org/officeDocument/2006/relationships/hyperlink" Target="https://www.sec.gov/Archives/edgar/data/1360214/000149315218009586/ex3-1.htm" TargetMode="External"/><Relationship Id="rId71" Type="http://schemas.openxmlformats.org/officeDocument/2006/relationships/hyperlink" Target="https://www.sec.gov/Archives/edgar/data/1360214/000149315218018103/ex3-1.htm" TargetMode="External"/><Relationship Id="rId72" Type="http://schemas.openxmlformats.org/officeDocument/2006/relationships/hyperlink" Target="https://www.sec.gov/Archives/edgar/data/1360214/000149315221010520/ex3-1.htm" TargetMode="External"/><Relationship Id="rId73" Type="http://schemas.openxmlformats.org/officeDocument/2006/relationships/hyperlink" Target="https://www.sec.gov/Archives/edgar/data/1360214/000149315221009249/ex4-1.htm" TargetMode="External"/><Relationship Id="rId74" Type="http://schemas.openxmlformats.org/officeDocument/2006/relationships/hyperlink" Target="https://www.sec.gov/Archives/edgar/data/1360214/000149315221009249/ex4-2.htm" TargetMode="External"/><Relationship Id="rId75" Type="http://schemas.openxmlformats.org/officeDocument/2006/relationships/hyperlink" Target="https://www.sec.gov/Archives/edgar/data/1360214/000149315222036016/ex4-2.htm" TargetMode="External"/><Relationship Id="rId76" Type="http://schemas.openxmlformats.org/officeDocument/2006/relationships/hyperlink" Target="http://www.sec.gov/Archives/edgar/data/1360214/000114420407050619/v088205_ex10-8.htm" TargetMode="External"/><Relationship Id="rId77" Type="http://schemas.openxmlformats.org/officeDocument/2006/relationships/hyperlink" Target="http://www.sec.gov/Archives/edgar/data/1360214/000135448813002503/immy_ex103.htm" TargetMode="External"/><Relationship Id="rId78" Type="http://schemas.openxmlformats.org/officeDocument/2006/relationships/hyperlink" Target="https://www.sec.gov/Archives/edgar/data/1360214/000149315213002218/ex10-3.htm" TargetMode="External"/><Relationship Id="rId79" Type="http://schemas.openxmlformats.org/officeDocument/2006/relationships/hyperlink" Target="https://www.sec.gov/Archives/edgar/data/1360214/000114420407050619/v088205_ex10-12.htm" TargetMode="External"/><Relationship Id="rId80" Type="http://schemas.openxmlformats.org/officeDocument/2006/relationships/hyperlink" Target="https://www.sec.gov/Archives/edgar/data/1360214/000114420407050619/v088205_ex10-13.htm" TargetMode="External"/><Relationship Id="rId81" Type="http://schemas.openxmlformats.org/officeDocument/2006/relationships/hyperlink" Target="https://www.sec.gov/Archives/edgar/data/1360214/000135448813002503/immy_ex104.htm" TargetMode="External"/><Relationship Id="rId82" Type="http://schemas.openxmlformats.org/officeDocument/2006/relationships/hyperlink" Target="https://www.sec.gov/Archives/edgar/data/1360214/000135448812003649/tdlp_ex1040.htm" TargetMode="External"/><Relationship Id="rId83" Type="http://schemas.openxmlformats.org/officeDocument/2006/relationships/hyperlink" Target="https://www.sec.gov/Archives/edgar/data/1360214/000135448812003649/tdlp_ex1041.htm" TargetMode="External"/><Relationship Id="rId84" Type="http://schemas.openxmlformats.org/officeDocument/2006/relationships/hyperlink" Target="https://www.sec.gov/Archives/edgar/data/1360214/000135448812005456/immy_ex1044.htm" TargetMode="External"/><Relationship Id="rId85" Type="http://schemas.openxmlformats.org/officeDocument/2006/relationships/hyperlink" Target="https://www.sec.gov/Archives/edgar/data/1360214/000149315216009186/ex10-1.htm" TargetMode="External"/><Relationship Id="rId86" Type="http://schemas.openxmlformats.org/officeDocument/2006/relationships/hyperlink" Target="https://www.sec.gov/Archives/edgar/data/1360214/000135448813004603/immy_ex104.htm" TargetMode="External"/><Relationship Id="rId87" Type="http://schemas.openxmlformats.org/officeDocument/2006/relationships/hyperlink" Target="https://www.sec.gov/Archives/edgar/data/1360214/000149315216009186/ex10-4.htm" TargetMode="External"/><Relationship Id="rId88" Type="http://schemas.openxmlformats.org/officeDocument/2006/relationships/hyperlink" Target="https://www.sec.gov/Archives/edgar/data/1360214/000149315215000345/ex10-2.htm" TargetMode="External"/><Relationship Id="rId89" Type="http://schemas.openxmlformats.org/officeDocument/2006/relationships/hyperlink" Target="https://www.sec.gov/Archives/edgar/data/1360214/000149315216009186/ex10-7.htm" TargetMode="External"/><Relationship Id="rId90" Type="http://schemas.openxmlformats.org/officeDocument/2006/relationships/hyperlink" Target="https://www.sec.gov/Archives/edgar/data/1360214/000149315215001853/ex10-2.htm" TargetMode="External"/><Relationship Id="rId91" Type="http://schemas.openxmlformats.org/officeDocument/2006/relationships/hyperlink" Target="https://www.sec.gov/Archives/edgar/data/1360214/000149315216016261/ex10-3.htm" TargetMode="External"/><Relationship Id="rId92" Type="http://schemas.openxmlformats.org/officeDocument/2006/relationships/hyperlink" Target="https://www.sec.gov/Archives/edgar/data/1360214/000149315217002715/ex10-1.htm" TargetMode="External"/><Relationship Id="rId93" Type="http://schemas.openxmlformats.org/officeDocument/2006/relationships/hyperlink" Target="https://www.sec.gov/Archives/edgar/data/1360214/000149315217003596/ex10-1.htm" TargetMode="External"/><Relationship Id="rId94" Type="http://schemas.openxmlformats.org/officeDocument/2006/relationships/hyperlink" Target="https://www.sec.gov/Archives/edgar/data/1360214/000149315217004007/ex10-1.htm" TargetMode="External"/><Relationship Id="rId95" Type="http://schemas.openxmlformats.org/officeDocument/2006/relationships/hyperlink" Target="https://www.sec.gov/Archives/edgar/data/1360214/000149315217004662/ex10-1.htm" TargetMode="External"/><Relationship Id="rId96" Type="http://schemas.openxmlformats.org/officeDocument/2006/relationships/hyperlink" Target="https://www.sec.gov/Archives/edgar/data/1360214/000149315217008881/ex10-8.htm" TargetMode="External"/><Relationship Id="rId97" Type="http://schemas.openxmlformats.org/officeDocument/2006/relationships/hyperlink" Target="https://www.sec.gov/Archives/edgar/data/1360214/000149315217008881/ex10-9.htm" TargetMode="External"/><Relationship Id="rId98" Type="http://schemas.openxmlformats.org/officeDocument/2006/relationships/hyperlink" Target="https://www.sec.gov/Archives/edgar/data/1360214/000149315217008881/ex10-10.htm" TargetMode="External"/><Relationship Id="rId100" Type="http://schemas.openxmlformats.org/officeDocument/2006/relationships/hyperlink" Target="https://www.sec.gov/Archives/edgar/data/1360214/000149315217006919/ex10-1.htm" TargetMode="External"/><Relationship Id="rId101" Type="http://schemas.openxmlformats.org/officeDocument/2006/relationships/hyperlink" Target="https://www.sec.gov/Archives/edgar/data/1360214/000149315217006919/ex10-2.htm" TargetMode="External"/><Relationship Id="rId102" Type="http://schemas.openxmlformats.org/officeDocument/2006/relationships/hyperlink" Target="https://www.sec.gov/Archives/edgar/data/1360214/000149315217006919/ex10-4.htm" TargetMode="External"/><Relationship Id="rId103" Type="http://schemas.openxmlformats.org/officeDocument/2006/relationships/hyperlink" Target="https://www.sec.gov/Archives/edgar/data/1360214/000149315218003095/ex10-53.htm" TargetMode="External"/><Relationship Id="rId104" Type="http://schemas.openxmlformats.org/officeDocument/2006/relationships/hyperlink" Target="https://www.sec.gov/Archives/edgar/data/1360214/000149315218003095/ex10-54.htm" TargetMode="External"/><Relationship Id="rId105" Type="http://schemas.openxmlformats.org/officeDocument/2006/relationships/hyperlink" Target="https://www.sec.gov/Archives/edgar/data/1360214/000149315218003095/ex10-55.htm" TargetMode="External"/><Relationship Id="rId106" Type="http://schemas.openxmlformats.org/officeDocument/2006/relationships/hyperlink" Target="https://www.sec.gov/Archives/edgar/data/1360214/000149315218006896/ex10-1.htm" TargetMode="External"/><Relationship Id="rId107" Type="http://schemas.openxmlformats.org/officeDocument/2006/relationships/hyperlink" Target="https://www.sec.gov/Archives/edgar/data/1360214/000149315218006896/ex10-2.htm" TargetMode="External"/><Relationship Id="rId108" Type="http://schemas.openxmlformats.org/officeDocument/2006/relationships/hyperlink" Target="https://www.sec.gov/Archives/edgar/data/1360214/000149315218011011/ex10-3.htm" TargetMode="External"/><Relationship Id="rId109" Type="http://schemas.openxmlformats.org/officeDocument/2006/relationships/hyperlink" Target="https://www.sec.gov/Archives/edgar/data/1360214/000149315218011011/ex10-4.htm" TargetMode="External"/><Relationship Id="rId110" Type="http://schemas.openxmlformats.org/officeDocument/2006/relationships/hyperlink" Target="https://www.sec.gov/Archives/edgar/data/1360214/000149315218015757/ex10-1.htm" TargetMode="External"/><Relationship Id="rId111" Type="http://schemas.openxmlformats.org/officeDocument/2006/relationships/hyperlink" Target="https://www.sec.gov/Archives/edgar/data/1360214/000149315218015757/ex10-2.htm" TargetMode="External"/><Relationship Id="rId112" Type="http://schemas.openxmlformats.org/officeDocument/2006/relationships/hyperlink" Target="https://www.sec.gov/Archives/edgar/data/1360214/000149315218015757/ex10-3.htm" TargetMode="External"/><Relationship Id="rId113" Type="http://schemas.openxmlformats.org/officeDocument/2006/relationships/hyperlink" Target="https://www.sec.gov/Archives/edgar/data/1360214/000149315219001358/ex10-1.htm" TargetMode="External"/><Relationship Id="rId114" Type="http://schemas.openxmlformats.org/officeDocument/2006/relationships/hyperlink" Target="https://www.sec.gov/Archives/edgar/data/1360214/000149315219006689/ex10-2.htm" TargetMode="External"/><Relationship Id="rId115" Type="http://schemas.openxmlformats.org/officeDocument/2006/relationships/hyperlink" Target="https://www.sec.gov/Archives/edgar/data/1360214/000149315219006689/ex10-3.htm" TargetMode="External"/><Relationship Id="rId116" Type="http://schemas.openxmlformats.org/officeDocument/2006/relationships/hyperlink" Target="https://www.sec.gov/Archives/edgar/data/1360214/000149315219008319/ex10-1.htm" TargetMode="External"/><Relationship Id="rId118" Type="http://schemas.openxmlformats.org/officeDocument/2006/relationships/hyperlink" Target="https://www.sec.gov/Archives/edgar/data/1360214/000149315219012535/ex10-3.htm" TargetMode="External"/><Relationship Id="rId119" Type="http://schemas.openxmlformats.org/officeDocument/2006/relationships/hyperlink" Target="https://www.sec.gov/Archives/edgar/data/1360214/000149315219012535/ex10-2.htm" TargetMode="External"/><Relationship Id="rId120" Type="http://schemas.openxmlformats.org/officeDocument/2006/relationships/hyperlink" Target="https://www.sec.gov/Archives/edgar/data/1360214/000149315219012535/ex10-4.htm" TargetMode="External"/><Relationship Id="rId121" Type="http://schemas.openxmlformats.org/officeDocument/2006/relationships/hyperlink" Target="https://www.sec.gov/Archives/edgar/data/1360214/000149315219017043/ex10-3.htm" TargetMode="External"/><Relationship Id="rId122" Type="http://schemas.openxmlformats.org/officeDocument/2006/relationships/hyperlink" Target="https://www.sec.gov/Archives/edgar/data/1360214/000149315219017043/ex10-4.htm" TargetMode="External"/><Relationship Id="rId123" Type="http://schemas.openxmlformats.org/officeDocument/2006/relationships/hyperlink" Target="https://www.sec.gov/Archives/edgar/data/1360214/000149315220003862/ex10-64.htm" TargetMode="External"/><Relationship Id="rId124" Type="http://schemas.openxmlformats.org/officeDocument/2006/relationships/hyperlink" Target="https://www.sec.gov/Archives/edgar/data/1360214/000149315220003862/ex10-65.htm" TargetMode="External"/><Relationship Id="rId125" Type="http://schemas.openxmlformats.org/officeDocument/2006/relationships/hyperlink" Target="https://www.sec.gov/Archives/edgar/data/1360214/000149315220003862/ex10-66.htm" TargetMode="External"/><Relationship Id="rId126" Type="http://schemas.openxmlformats.org/officeDocument/2006/relationships/hyperlink" Target="https://www.sec.gov/Archives/edgar/data/1360214/000149315220015093/ex10-1.htm" TargetMode="External"/><Relationship Id="rId127" Type="http://schemas.openxmlformats.org/officeDocument/2006/relationships/hyperlink" Target="https://www.sec.gov/Archives/edgar/data/1360214/000149315220005750/ex10.htm" TargetMode="External"/><Relationship Id="rId128" Type="http://schemas.openxmlformats.org/officeDocument/2006/relationships/hyperlink" Target="https://www.sec.gov/Archives/edgar/data/1360214/000149315220020827/ex10-1.htm" TargetMode="External"/><Relationship Id="rId129" Type="http://schemas.openxmlformats.org/officeDocument/2006/relationships/hyperlink" Target="https://www.sec.gov/Archives/edgar/data/1360214/000149315222006525/ex10-50.htm" TargetMode="External"/><Relationship Id="rId130" Type="http://schemas.openxmlformats.org/officeDocument/2006/relationships/hyperlink" Target="https://www.sec.gov/Archives/edgar/data/1360214/000149315222032076/ex10-3.htm" TargetMode="External"/><Relationship Id="rId131" Type="http://schemas.openxmlformats.org/officeDocument/2006/relationships/hyperlink" Target="https://www.sec.gov/Archives/edgar/data/1360214/000149315221019181/ex10-2.htm" TargetMode="External"/><Relationship Id="rId132" Type="http://schemas.openxmlformats.org/officeDocument/2006/relationships/hyperlink" Target="https://www.sec.gov/Archives/edgar/data/1360214/000149315217009907/ex10-1.htm" TargetMode="External"/><Relationship Id="rId133" Type="http://schemas.openxmlformats.org/officeDocument/2006/relationships/hyperlink" Target="https://www.sec.gov/Archives/edgar/data/1360214/000149315221009576/formdefa14a.htm" TargetMode="External"/><Relationship Id="rId134" Type="http://schemas.openxmlformats.org/officeDocument/2006/relationships/hyperlink" Target="https://www.sec.gov/Archives/edgar/data/1360214/000149315221021876/ex10-1.htm" TargetMode="External"/><Relationship Id="rId135" Type="http://schemas.openxmlformats.org/officeDocument/2006/relationships/hyperlink" Target="https://www.sec.gov/Archives/edgar/data/1360214/000149315222032076/ex10-1.htm" TargetMode="External"/><Relationship Id="rId136" Type="http://schemas.openxmlformats.org/officeDocument/2006/relationships/hyperlink" Target="https://www.sec.gov/Archives/edgar/data/1360214/000149315222032076/ex10-2.htm" TargetMode="External"/><Relationship Id="rId137" Type="http://schemas.openxmlformats.org/officeDocument/2006/relationships/hyperlink" Target="https://www.sec.gov/Archives/edgar/data/1360214/000149315221027697/ex10-3.htm" TargetMode="External"/><Relationship Id="rId138" Type="http://schemas.openxmlformats.org/officeDocument/2006/relationships/hyperlink" Target="https://www.sec.gov/Archives/edgar/data/1360214/000149315221027697/ex10-4.htm" TargetMode="External"/><Relationship Id="rId139" Type="http://schemas.openxmlformats.org/officeDocument/2006/relationships/hyperlink" Target="https://www.sec.gov/Archives/edgar/data/1360214/000149315222006525/ex10-51.htm" TargetMode="External"/><Relationship Id="rId140" Type="http://schemas.openxmlformats.org/officeDocument/2006/relationships/hyperlink" Target="https://www.sec.gov/Archives/edgar/data/1360214/00014931522203537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2023-03-23T22:03:48Z</dcterms:created>
  <dcterms:modified xsi:type="dcterms:W3CDTF">2023-03-23T22:03:48Z</dcterms:modified>
</cp:coreProperties>
</file>