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333-265244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6,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3,380,282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157480</wp:posOffset>
            </wp:positionV>
            <wp:extent cx="171450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selling 3,380,282 shares of our common stock, par value $0.001 per share, pursuant to this prospectus supplement and the accompanying prospectus. Our common stock is traded on the Nasdaq Global Market (“Nasdaq”) under the symbol “HROW.” On July 17, 2023, the last reported sale price of our common stock on Nasdaq was $18.02 per share.</w:t>
      </w:r>
    </w:p>
    <w:p>
      <w:pPr>
        <w:spacing w:after="0" w:line="180" w:lineRule="exact"/>
        <w:rPr>
          <w:sz w:val="24"/>
          <w:szCs w:val="24"/>
          <w:color w:val="auto"/>
        </w:rPr>
      </w:pPr>
    </w:p>
    <w:p>
      <w:pPr>
        <w:jc w:val="both"/>
        <w:ind w:firstLine="648"/>
        <w:spacing w:after="0" w:line="322" w:lineRule="auto"/>
        <w:rPr>
          <w:sz w:val="20"/>
          <w:szCs w:val="20"/>
          <w:color w:val="auto"/>
        </w:rPr>
      </w:pPr>
      <w:r>
        <w:rPr>
          <w:rFonts w:ascii="Arial" w:cs="Arial" w:eastAsia="Arial" w:hAnsi="Arial"/>
          <w:sz w:val="15"/>
          <w:szCs w:val="15"/>
          <w:b w:val="1"/>
          <w:bCs w:val="1"/>
          <w:color w:val="auto"/>
        </w:rPr>
        <w:t>Investing in our common stock involves a high degree of risk, and you should read this prospectus supplement, the accompanying prospectus and the documents incorporated by reference herein before you make your investment decision. Before investing in our common stock, you should carefully consider the risk factors described in the section titled “Risk Factors” beginning on page S-9 of this prospectus supplement as well as the risks identified in our most recent Annual Report on Form 10-K and Quarterly Report on Form 10-Q, and any other filings we make with the Securities and Exchange Commission (the “SEC”) from time to time, which are incorporated by reference in this prospectus supplement.</w:t>
      </w:r>
    </w:p>
    <w:p>
      <w:pPr>
        <w:spacing w:after="0" w:line="139"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340"/>
        </w:trPr>
        <w:tc>
          <w:tcPr>
            <w:tcW w:w="4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Per Share</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ind w:left="300"/>
              <w:spacing w:after="0"/>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2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9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60,000,005.50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4660" w:type="dxa"/>
            <w:vAlign w:val="bottom"/>
          </w:tcPr>
          <w:p>
            <w:pPr>
              <w:spacing w:after="0" w:line="270"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3680" w:type="dxa"/>
            <w:vAlign w:val="bottom"/>
            <w:gridSpan w:val="2"/>
          </w:tcPr>
          <w:p>
            <w:pPr>
              <w:jc w:val="right"/>
              <w:ind w:right="119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1.065</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3,600,000.33</w:t>
            </w:r>
          </w:p>
        </w:tc>
        <w:tc>
          <w:tcPr>
            <w:tcW w:w="100" w:type="dxa"/>
            <w:vAlign w:val="bottom"/>
          </w:tcPr>
          <w:p>
            <w:pPr>
              <w:spacing w:after="0"/>
              <w:rPr>
                <w:sz w:val="23"/>
                <w:szCs w:val="23"/>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680" w:type="dxa"/>
            <w:vAlign w:val="bottom"/>
            <w:gridSpan w:val="2"/>
            <w:shd w:val="clear" w:color="auto" w:fill="CCEEFF"/>
          </w:tcPr>
          <w:p>
            <w:pPr>
              <w:jc w:val="right"/>
              <w:ind w:right="119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16.685</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56,400,005.17</w:t>
            </w:r>
          </w:p>
        </w:tc>
        <w:tc>
          <w:tcPr>
            <w:tcW w:w="100" w:type="dxa"/>
            <w:vAlign w:val="bottom"/>
            <w:shd w:val="clear" w:color="auto" w:fill="CCEEFF"/>
          </w:tcPr>
          <w:p>
            <w:pPr>
              <w:spacing w:after="0"/>
              <w:rPr>
                <w:sz w:val="18"/>
                <w:szCs w:val="18"/>
                <w:color w:val="auto"/>
              </w:rPr>
            </w:pPr>
          </w:p>
        </w:tc>
      </w:tr>
      <w:tr>
        <w:trPr>
          <w:trHeight w:val="223"/>
        </w:trPr>
        <w:tc>
          <w:tcPr>
            <w:tcW w:w="46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bl>
    <w:p>
      <w:pPr>
        <w:spacing w:after="0" w:line="215"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on page S-19 of this prospectus supplement for a description of all underwriting compensation payable in connection with this offering.</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We have granted the underwriters an option to purchase up to an additional 507,042 shares of our common stock within 30 days from the date of this prospectus supplement.</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underwriters expect to deliver the shares of common stock to the purchasers on or about July 21,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Book-Running Manager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 Riley Securities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Lead Manager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Lake Street</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Ladenburg Thalmann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July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6"/>
          </w:tcPr>
          <w:p>
            <w:pPr>
              <w:jc w:val="center"/>
              <w:ind w:right="3820"/>
              <w:spacing w:after="0"/>
              <w:rPr>
                <w:sz w:val="20"/>
                <w:szCs w:val="20"/>
                <w:color w:val="auto"/>
              </w:rPr>
            </w:pPr>
            <w:r>
              <w:rPr>
                <w:rFonts w:ascii="Arial" w:cs="Arial" w:eastAsia="Arial" w:hAnsi="Arial"/>
                <w:sz w:val="18"/>
                <w:szCs w:val="18"/>
                <w:b w:val="1"/>
                <w:bCs w:val="1"/>
                <w:color w:val="auto"/>
                <w:w w:val="87"/>
              </w:rPr>
              <w:t>Prospectus Supplement</w:t>
            </w: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3"/>
        </w:trPr>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6"/>
            <w:shd w:val="clear" w:color="auto" w:fill="CCEEFF"/>
          </w:tcPr>
          <w:p>
            <w:pPr>
              <w:spacing w:after="0" w:line="142" w:lineRule="exact"/>
              <w:rPr>
                <w:sz w:val="20"/>
                <w:szCs w:val="20"/>
                <w:color w:val="auto"/>
              </w:rPr>
            </w:pPr>
            <w:r>
              <w:rPr>
                <w:rFonts w:ascii="Arial" w:cs="Arial" w:eastAsia="Arial" w:hAnsi="Arial"/>
                <w:sz w:val="16"/>
                <w:szCs w:val="16"/>
                <w:color w:val="0000EE"/>
              </w:rPr>
              <w:t>ABOUT THIS PROSPECTUS SUPPLEMENT</w:t>
            </w:r>
          </w:p>
        </w:tc>
        <w:tc>
          <w:tcPr>
            <w:tcW w:w="716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S-ii</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SUPPLEMENT SUMMARY</w:t>
            </w:r>
          </w:p>
        </w:tc>
        <w:tc>
          <w:tcPr>
            <w:tcW w:w="73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THE OFFERING</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S-8</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S-9</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S-11</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CAPITALIZATION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DILUTION</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S-13</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DIVIDEND POLICY</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MATERIAL U.S. FEDERAL INCOME TAX CONSIDERATIONS FOR NON-U.S. HOLDERS OF COMMON STOCK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7"/>
              </w:rPr>
              <w:t>UNDERWRITING</w:t>
            </w:r>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LEGAL MATTERS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EXPERTS</w:t>
            </w:r>
          </w:p>
        </w:tc>
        <w:tc>
          <w:tcPr>
            <w:tcW w:w="982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INCORPORATION OF CERTAIN DOCUMENTS BY REFERENCE</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43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5940" w:type="dxa"/>
            <w:vAlign w:val="bottom"/>
            <w:tcBorders>
              <w:top w:val="single" w:sz="8" w:color="CCEEFF"/>
            </w:tcBorders>
            <w:gridSpan w:val="5"/>
          </w:tcPr>
          <w:p>
            <w:pPr>
              <w:jc w:val="center"/>
              <w:ind w:right="4660"/>
              <w:spacing w:after="0"/>
              <w:rPr>
                <w:sz w:val="20"/>
                <w:szCs w:val="20"/>
                <w:color w:val="auto"/>
              </w:rPr>
            </w:pPr>
            <w:r>
              <w:rPr>
                <w:rFonts w:ascii="Arial" w:cs="Arial" w:eastAsia="Arial" w:hAnsi="Arial"/>
                <w:sz w:val="18"/>
                <w:szCs w:val="18"/>
                <w:b w:val="1"/>
                <w:bCs w:val="1"/>
                <w:color w:val="auto"/>
                <w:w w:val="85"/>
              </w:rPr>
              <w:t>Prospectus</w:t>
            </w:r>
          </w:p>
        </w:tc>
        <w:tc>
          <w:tcPr>
            <w:tcW w:w="64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3"/>
        </w:trPr>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9"/>
            <w:shd w:val="clear" w:color="auto" w:fill="CCEEFF"/>
          </w:tcPr>
          <w:p>
            <w:pPr>
              <w:spacing w:after="0" w:line="142" w:lineRule="exact"/>
              <w:rPr>
                <w:sz w:val="20"/>
                <w:szCs w:val="20"/>
                <w:color w:val="auto"/>
              </w:rPr>
            </w:pPr>
            <w:r>
              <w:rPr>
                <w:rFonts w:ascii="Arial" w:cs="Arial" w:eastAsia="Arial" w:hAnsi="Arial"/>
                <w:sz w:val="16"/>
                <w:szCs w:val="16"/>
                <w:color w:val="0000EE"/>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5"/>
              </w:rPr>
              <w:t>FORWARD-LOOKING STATEMENTS</w:t>
            </w:r>
          </w:p>
        </w:tc>
        <w:tc>
          <w:tcPr>
            <w:tcW w:w="76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DILUTION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DIVIDEND POLICY</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DESCRIPTION OF CAPITAL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4"/>
              </w:rPr>
              <w:t>DESCRIPTION OF THE WARRANTS</w:t>
            </w:r>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DESCRIPTION OF THE UNITS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76"/>
        </w:trPr>
        <w:tc>
          <w:tcPr>
            <w:tcW w:w="342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PLAN OF DISTRIBUTION</w:t>
            </w:r>
          </w:p>
        </w:tc>
        <w:tc>
          <w:tcPr>
            <w:tcW w:w="71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6"/>
              </w:rPr>
              <w:t>LEGAL MATTERS</w:t>
            </w:r>
          </w:p>
        </w:tc>
        <w:tc>
          <w:tcPr>
            <w:tcW w:w="914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EXPERTS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4"/>
              </w:rPr>
              <w:t>INCORPORATION OF CERTAIN DOCUMENTS BY REFERENCE</w:t>
            </w:r>
          </w:p>
        </w:tc>
        <w:tc>
          <w:tcPr>
            <w:tcW w:w="554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5"/>
        </w:trPr>
        <w:tc>
          <w:tcPr>
            <w:tcW w:w="3820" w:type="dxa"/>
            <w:vAlign w:val="bottom"/>
            <w:tcBorders>
              <w:bottom w:val="single" w:sz="8" w:color="0000EE"/>
            </w:tcBorders>
            <w:gridSpan w:val="18"/>
          </w:tcPr>
          <w:p>
            <w:pPr>
              <w:spacing w:after="0" w:line="176" w:lineRule="exact"/>
              <w:rPr>
                <w:sz w:val="20"/>
                <w:szCs w:val="20"/>
                <w:color w:val="auto"/>
              </w:rPr>
            </w:pPr>
            <w:r>
              <w:rPr>
                <w:rFonts w:ascii="Arial" w:cs="Arial" w:eastAsia="Arial" w:hAnsi="Arial"/>
                <w:sz w:val="18"/>
                <w:szCs w:val="18"/>
                <w:color w:val="0000EE"/>
                <w:w w:val="97"/>
              </w:rPr>
              <w:t>WHERE YOU CAN FIND MORE INFORMATION</w:t>
            </w:r>
          </w:p>
        </w:tc>
        <w:tc>
          <w:tcPr>
            <w:tcW w:w="6780" w:type="dxa"/>
            <w:vAlign w:val="bottom"/>
            <w:gridSpan w:val="6"/>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prospectus supplement is a supplement to the accompanying prospectus. This prospectus supplement and the accompanying prospectus are part of a registration statement that we filed with the SEC utilizing a shelf registration process. This prospectus supplement provides you with specific information about this offering, including the risk of investing in our securities. The accompanying prospectus provides more general information, some of which may not apply to this offering.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this prospectus supplement, the accompanying prospectus, and any related free writing prospectus together with the additional information described in the sections entitled “Incorporation of Certain Documents by Reference” and “Where You Can Find More Information” of this prospectus supplement.</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or on behalf of us or to which we have referred you. Neither we nor any of the underwriters takes any responsibility for, and can provide no assurances as to the reliability of, any other information that others may give to you. This prospectus supplement, the accompanying prospectus and any applicable free writing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of this prospectus supplement, but the information and our business, cash flows, condition (financial and otherwise), liquidity, prospects and results of operations may have changed since that date.</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distribution of this prospectus supplement and the accompanying prospectus and the offering or sale of these securities in some jurisdictions may be restricted by law. Persons outside of the United States who come into possession of this prospectus supplement and the accompanying prospectus are required by us and the underwriters to inform themselves about and to observe any applicable restrictions. This prospectus supplement and the accompanying prospectus may not be used for or in connection with an offer or solicitation by any person in any jurisdiction in which that offer or solicitation is not authorized or to any person to whom it is unlawful to make that offer or solicitation.</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investing in our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and the accompanying prospectus contain and incorporate by reference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Generally, the words “anticipate,” “believe,” “continue,” “expect,” “intend,” “estimate,” “project,” “plan” and similar expressions identify forward-looking statements. In particular, statements about our expectations, beliefs, plans, objectives, assumptions or future events or performance contain forward-looking statements.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our Annual Report on Form 10-K for the year ended December 31, 2022 and Quarterly Report on Form 10-Q for the quarter ended March 31, 2023, and other documents that we file from time to time with the SEC that are incorporated by reference in this prospectus supplement and the accompanying prospectus.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list of risks and uncertainties, however, is only a summary of some of the most important factors and is not intended to be exhaustive. 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Except as otherwise required by applicable law, we do not undertake and expressly disclaim any obligation to update any such statements or to publicly announce the results of any revisions to any such statements to reflect future events or developments. All subsequent written and oral forward-looking statements attributable to us, or to persons acting on our behalf, are expressly qualified in their entirety by these cautionary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50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This summary highlights selected information appearing elsewhere in or incorporated by reference in this prospectus supplement and the accompanying prospectus. This summary is not complete and does not contain all of the information that you should consider when making your investment decision. You should carefully read the entire prospectus supplement, the accompanying prospectus and the information incorporated herein by reference, including the section entitled “Risk Factors” beginning on page S-9 of this prospectus supplement and the “Risk Factors” section in the accompanying prospectus, in our Annual Report on Form 10-K for the year ended December 31, 2022 and Quarterly Report on Form 10-Q for the quarter ended March 31, 2023, and in our other reports that we file with the SEC that are incorporated by reference into this prospectus supplement and the accompanying prospectus.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 this prospectus supplement, unless the context requires otherwise, references to “Harrow,” the “Company,” “we,” “us” and “our” refer to Harrow Health, Inc., together with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ophthalmic-focused pharmaceutical company. Our business specializes in the development, production, sale, and distribution of innovative prescription medications that offer unique competitive advantages and serve unmet needs in the marketplace through our subsidiaries and deconsolidated companies. We serve ophthalmologists and optometrists by providing FDA-approved branded ophthalmic pharmaceuticals and innovative compounded prescription medicines that are accessible and affordable. We own the U.S. commercial rights to ten branded ophthalmic pharmaceutical products, including IHEEZO™, IOPIDINE® (both approved concentrations), MAXITROL® eye drops, MOXEZA®, ILEVRO®, NEVANAC®, VIGAMOX®, MAXIDEX®, and TRIESENCE®. We own and operate ImprimisRx, one of the nation’s leading ophthalmology-focused pharmaceutical-compounding businesses, and our branded drugs are marketed under our Harrow name. In addition, we also have non-controlling equity positions in Surface Ophthalmics, Inc. (“Surface”) and Melt Pharmaceuticals, Inc. (“Melt”), both companies that began as subsidiaries of Harrow and were subsequently carved-out of our corporate structure and deconsolidated from our financial statements. We also own royalty rights in certain drug candidates being developed by Surface and Melt.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ImprimisRx is our ophthalmology-focused pharmaceutical compounding businesses. From its inception in 2014, ImprimisRx, whose business consists of integrated pharmaceutical research and development capabilities, production, dispensing/distribution, sales, marketing, and customer-service infrastructure, has offered physician customers and their patients access to critical medicines to meet their clinical needs. ImprimisRx has built a national brand by focusing exclusively on compounded ophthalmic medications to serve needs unmet by commercially available drugs. Our compounded medications include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(“cGMPs”) or other guidance documents from the U.S. Food and Drug Administration (the “FDA”), in our FDA-registered New Jersey outsourcing facility. Our current ophthalmology formulary includes over 30 compounded formulations, many of which are patented or patent-pending, that are customizable for the specific needs of a patient. We make our formulations available at prices that are, in most cases, lower than non-customized commercial drugs. ImprimisRx’s customer base has grown to include more than 10,000 U.S. eyecare-dedicated prescribers and institutions.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 and Drug Candidates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Over the past three years, to serve the needs of our growing customer base more fully, we have invested in broadening our product portfolio to include FDA-approved products. Our investments in this regard have led to the pursuit and completion of several announced transactions, and others we are continuing to pursue, all of which are focused on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339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Acquisition of ILEVRO, NEVANAC, VIGAMOX, MAXIDEX and TRIESENCE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December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w:t>
      </w:r>
    </w:p>
    <w:p>
      <w:pPr>
        <w:spacing w:after="0" w:line="149" w:lineRule="exact"/>
        <w:rPr>
          <w:sz w:val="20"/>
          <w:szCs w:val="20"/>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ILEVRO® (nepafenac ophthalmic suspension) 0.3%, a non-steroidal, anti-inflammatory eye drop indicated for pain and inflammation associated with cataract surgery.</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NEVANAC® (nepafenac ophthalmic suspension) 0.1%, a non-steroidal, anti-inflammatory eye drop indicated for pain and inflammation associated with cataract surgery.</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VIGAMOX® (moxifloxacin hydrochloride ophthalmic solution) 0.5%, a fluoroquinolone antibiotic eye drop for the treatment of bacterial conjunctivitis caused by susceptible strains of organisms.</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MAXIDEX® (dexamethasone ophthalmic suspension) 0.1%, a steroid eye drop for steroid-responsive inflammatory conditions of the palpebral and bulbar conjunctiva, cornea, and anterior segment of the globe.</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TRIESENCE® (triamcinolone acetonide injectable suspension) 40 mg/ml, a steroid injection for the treatment of certain ophthalmic diseases and for visualization during vitrectomy.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closed the Fab 5 Acquisition on January 20, 2023. Under the terms of the Purchase Agreement, we made a one-time payment of $130,000,000 at closing, with up to another $45,000,000 due in a milestone payment related to the timing of the commercial availability of TRIESENCE. Pursuant to and subject to certain conditions in the Purchase Agreement and various ancillary agreements, for a period beginning immediately following the closing and ending prior to the transfer of the Fab 5 Products new drug applications (the “NDAs”) to us, Novartis will continue to sell the Products on our behalf and transfer the net profit from the sale of the Products to us. Novartis has agreed to supply certain Products to the Company for a period of time after the NDAs are transferred to us and to assist with technology transfer of the Products manufacturing to other third-party manufacturers, if needed.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28, 2023, we transferred the NDAs for ILEVRO, NEVANAC and MAXIDEX. We expect to transfer the NDA for VIGAMOX in the second half of 2023, and the NDA for TRIESENCE around the timing of its commercial availability.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IOPIDINE®, MAXITROL® EYE DROPS, MOXEZA®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2021, we acquired U.S. commercial rights to four FDA-approved ophthalmic medicines: IOPIDINE 1% and 0.5% (apraclonidine hydrochloride); MAXITROL (neomycin/polymyxin B/dexamethasone) ophthalmic suspension; and MOXEZA (moxifloxacin hydrochloride). We believe by expanding our product portfolio to include branded FDA-approved products, we will be uniquely positioned to leverage our commercial platform to introduce unique lifecycle management strategies that could grow sales and address needs of our customers that we are unable to meet with our other compounded product offerings.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time of closing the acquisition of the four products, we agreed to a transition period with the seller, which lasted six months following the closing of the transaction. During the transition period, the seller continued to sell the products and transferred the net profit from those sales to us. Following the transition period which ended in June 2022, we made IOPIDINE 1% and MAXITROL commercially available, and expect to re-launch MOXEZA at a later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227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6227445"/>
                    </a:xfrm>
                    <a:prstGeom prst="rect">
                      <a:avLst/>
                    </a:prstGeom>
                    <a:noFill/>
                  </pic:spPr>
                </pic:pic>
              </a:graphicData>
            </a:graphic>
          </wp:anchor>
        </w:drawing>
        <w:t>IHEEZO</w:t>
      </w:r>
      <w:r>
        <w:rPr>
          <w:rFonts w:ascii="Arial" w:cs="Arial" w:eastAsia="Arial" w:hAnsi="Arial"/>
          <w:sz w:val="29"/>
          <w:szCs w:val="29"/>
          <w:i w:val="1"/>
          <w:iCs w:val="1"/>
          <w:color w:val="auto"/>
          <w:vertAlign w:val="superscript"/>
        </w:rPr>
        <w:t>TM</w:t>
      </w:r>
    </w:p>
    <w:p>
      <w:pPr>
        <w:spacing w:after="0" w:line="1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we acquired the exclusive U.S. and Canadian marketing and supply rights to IHEEZO (chloroprocaine hydrochloride ophthalmic gel) 3% from Sintetica S.A. (“Sintetica”). The FDA approved IHEEZO for ocular surface anesthesia in September 2022. We commercially launched IHEEZO in the U.S. market in May 2023.</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expect our commercial focus of IHEEZO to be on ophthalmic procedures that traditionally require the eye to be anesthetized, including intravitreal injections and lens replacement procedures, which in aggregate we estimate to be over 11 million instances annually in the U.S.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IHEEZO is protected by one issued, Orange Book listed patent and another patent-pending. The issued patent includes composition of matter and method of use claims and could provide protection for IHEEZO into 2037.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MAQ-100</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highlight w:val="white"/>
        </w:rPr>
        <w:t>In August 2021, we acquired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 (a) treatments for alleviation of diabetic macular edema, (b) macular edema associated with retinal vein occlusion (or RVO), and (c) non-infectious uveitis. We are currently working with Wakamoto to assess a clinical pathway for MaQaid.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highlight w:val="white"/>
        </w:rPr>
        <w:t>We are currently evaluating several programs to internally develop product candidates based on technology and know-how we own. We also expect to continue to acquire and/or develop additional FDA-approved/approvable ophthalmic products and product candidates that will allow us to leverage our commercial infrastructure to promote, sell, and ultimately bring these products to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ownership interests in Surface, Melt, and Eton Pharmaceuticals, Inc. (“Eton”) and hold royalty interests in some of Surface’s and Melt’s drug candidates. These companies are pursuing market approval for their drug candidates under the Federal Food, Drug, and Cosmetic Act, including in some instances under the abbreviated pathway described in Section 505(b)(2), which permits the submission of an NDA where at least some of the information required for approval comes from studies not conducted by or for the applicant and for which the applicant has not obtained a right of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is seeking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6" w:right="499" w:bottom="1440" w:gutter="0" w:footer="0" w:header="0"/>
        </w:sectPr>
      </w:pPr>
    </w:p>
    <w:bookmarkStart w:id="7" w:name="page8"/>
    <w:bookmarkEnd w:id="7"/>
    <w:p>
      <w:pPr>
        <w:jc w:val="both"/>
        <w:ind w:firstLine="64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847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t>MELT-300 is a novel, sublingually delivered, non-IV, opioid-free drug candidate being developed for procedural sedation. In February 2021, Melt announced data from, and the successful completion of, its Phase 1 study. In December 2022, Melt announced topline data from its Phase 2 study for MELT-300:</w:t>
      </w:r>
    </w:p>
    <w:p>
      <w:pPr>
        <w:spacing w:after="0" w:line="184" w:lineRule="exact"/>
        <w:rPr>
          <w:sz w:val="20"/>
          <w:szCs w:val="20"/>
          <w:color w:val="auto"/>
        </w:rPr>
      </w:pPr>
    </w:p>
    <w:p>
      <w:pPr>
        <w:jc w:val="both"/>
        <w:ind w:left="660" w:hanging="331"/>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 study of more than 300 patients, at nine study sites, all undergoing cataract surgery, MELT-300 achieved its primary procedural sedation endpoint, demonstrating statistical superiority for procedural sedation compared to all comparator treatment arms, including midazolam 3mg (P=0.0129) and ketamine 50mg (P=0.0096).</w:t>
      </w:r>
    </w:p>
    <w:p>
      <w:pPr>
        <w:spacing w:after="0" w:line="18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Using the validated Ramsey Sedation Scale (RSS), MELT-300 treatment arm patients were 50% less likely to require rescue sedation compared to midazolam 3mg (P=0.0198).</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Using the RSS, MELT-300 treatment arm patients were 66% less likely to require rescue sedation pre-operatively compared to the midazolam 3mg treatment arm.</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MELT-300’s safety profile was generally comparable to the placebo arm.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2019, Melt closed an offering of its Series A Preferred Stock. At that time, we gave up our controlling interest and deconsolidated Melt from our consolidated financial statements. We own 3,500,000 shares of Melt common stock, which was approximately 46% of Melt’s equity and voting interests issued and outstanding as of March 31, 2023. In September 2021, we provided Melt with a senior secured loan with a principal amount of $13,500,000, which was used to fund the Phase 2 program of MELT-300.</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Opthalmics,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Surface is a clinical-stage pharmaceutical company focused on the development and commercialization of innovative therapeutics for ocular surface diseases.</w:t>
      </w:r>
    </w:p>
    <w:p>
      <w:pPr>
        <w:spacing w:after="0" w:line="170" w:lineRule="exact"/>
        <w:rPr>
          <w:sz w:val="20"/>
          <w:szCs w:val="20"/>
          <w:color w:val="auto"/>
        </w:rPr>
      </w:pPr>
    </w:p>
    <w:p>
      <w:pPr>
        <w:jc w:val="both"/>
        <w:ind w:left="660" w:hanging="655"/>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SURF-100 for Chronic Dry Eye Disease</w:t>
      </w:r>
      <w:r>
        <w:rPr>
          <w:rFonts w:ascii="Arial" w:cs="Arial" w:eastAsia="Arial" w:hAnsi="Arial"/>
          <w:sz w:val="18"/>
          <w:szCs w:val="18"/>
          <w:color w:val="auto"/>
        </w:rPr>
        <w:t>: Surface completed its 350-patient Phase 2 clinical trial, comparing five active arms of SURF-100 study drugs with the current market-leading prescription chronic dry eye treatments. According to Surface, the SURF-100 Phase 2 clinical trial achieved superiority for both signs and symptoms of chronic dry eye disease compared to market leading incumbents, as well as generating positive data on onset and duration of action.</w:t>
      </w:r>
    </w:p>
    <w:p>
      <w:pPr>
        <w:spacing w:after="0" w:line="186" w:lineRule="exact"/>
        <w:rPr>
          <w:rFonts w:ascii="Arial" w:cs="Arial" w:eastAsia="Arial" w:hAnsi="Arial"/>
          <w:sz w:val="18"/>
          <w:szCs w:val="18"/>
          <w:color w:val="auto"/>
        </w:rPr>
      </w:pPr>
    </w:p>
    <w:p>
      <w:pPr>
        <w:ind w:left="660" w:hanging="655"/>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SURF-200 for Acute Dry Eye</w:t>
      </w:r>
      <w:r>
        <w:rPr>
          <w:rFonts w:ascii="Arial" w:cs="Arial" w:eastAsia="Arial" w:hAnsi="Arial"/>
          <w:sz w:val="18"/>
          <w:szCs w:val="18"/>
          <w:color w:val="auto"/>
        </w:rPr>
        <w:t>: Surface has completed enrollment of its Phase 2 clinical trial for SURF-200 and expects to announce top-line results in 2023.</w:t>
      </w:r>
    </w:p>
    <w:p>
      <w:pPr>
        <w:spacing w:after="0" w:line="170" w:lineRule="exact"/>
        <w:rPr>
          <w:rFonts w:ascii="Arial" w:cs="Arial" w:eastAsia="Arial" w:hAnsi="Arial"/>
          <w:sz w:val="18"/>
          <w:szCs w:val="18"/>
          <w:color w:val="auto"/>
        </w:rPr>
      </w:pPr>
    </w:p>
    <w:p>
      <w:pPr>
        <w:jc w:val="both"/>
        <w:ind w:left="660" w:hanging="655"/>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SURF-201 for Pain and Inflammation Following Ocular Surgery</w:t>
      </w:r>
      <w:r>
        <w:rPr>
          <w:rFonts w:ascii="Arial" w:cs="Arial" w:eastAsia="Arial" w:hAnsi="Arial"/>
          <w:sz w:val="17"/>
          <w:szCs w:val="17"/>
          <w:color w:val="auto"/>
        </w:rPr>
        <w:t>: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Surface’s equity and voting interests as of March 31, 2023. Harrow owns mid-single digit royalty rights on net sales of SURF-100, SURF-200 and SURF-201.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Eton is an innovative pharmaceutical company focused on developing, acquiring, and commercializing treatments for rare diseases. Eton currently commercializes ALKINDI SPRINKLE® and Carglumic Acid tablets and has additional rare disease products under development, including dehydrated alcohol injection and the ZENEO® hydrocortisone autoinjector. In May 2017, we gave up our controlling interest in Eton. We own 1,982,000 shares of Eton common stock, which represented less than 10% of Eton’s equity and voting interests issued and outstanding as of March 31, 2023.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13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5130165"/>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VEVYE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U.S. and Canadian Commercial Rights</w:t>
      </w:r>
    </w:p>
    <w:p>
      <w:pPr>
        <w:spacing w:after="0" w:line="1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18, 2023, we announced that we had acquired commercial rights of VEVYE (cyclosporine ophthalmic solution) 0.1%, an ophthalmic drug product, for the U.S. and Canadian markets (the “VEVYE Acquisition”). VEVYE, which is dispensed topically in a unique ten microliter per one drop and is labeled for twice-daily (BID) dosing, is the first and only cyclosporine-based product indicated for the treatment of both signs and symptoms of dry eye disease (DED). VEVYE was approved on May 30, 2023 by the FDA. We acquired the commercial rights to VEVYE by entering into a license agreement with Novaliq GmbH (“Novaliq”). As consideration, we will make initial payments to Novaliq totaling $8,000,000 and will pay low double-digit royalties on net sales of VEVYE along with potential commercial milestone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Certain U.S. and Canadian Commercial Rights to Santen and Eyevance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18, 2023, we entered into an Asset Purchase Agreement with Eyevance Pharmaceuticals, LLC and a License Agreement with Santen S.A.S. (collectively, the “Santen Agreements”), each a subsidiary of Santen Pharmaceuticals Co., Ltd. (collectively, “Santen”). Pursuant to the Santen Agreements, we will be acquiring the exclusive commercial rights to assets associated with the following ophthalmic products (collectively, the “Santen Products”):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the U.S.:</w:t>
      </w:r>
    </w:p>
    <w:p>
      <w:pPr>
        <w:spacing w:after="0" w:line="225" w:lineRule="exact"/>
        <w:rPr>
          <w:sz w:val="20"/>
          <w:szCs w:val="20"/>
          <w:color w:val="auto"/>
        </w:rPr>
      </w:pPr>
    </w:p>
    <w:p>
      <w:pPr>
        <w:jc w:val="both"/>
        <w:ind w:left="660" w:hanging="331"/>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FLAREX® (fluorometholone acetate ophthalmic suspension) 0.1%, a corticosteroid prepared as a sterile topical ophthalmic suspension indicated for use in the treatment of steroid-responsive inflammatory conditions of the palpebral and bulbar conjunctiva, cornea, and anterior segment of the eye.</w:t>
      </w:r>
    </w:p>
    <w:p>
      <w:pPr>
        <w:spacing w:after="0" w:line="18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NATACYN® (natamycin ophthalmic suspension) 5%, a sterile, antifungal drug for the treatment of fungal blepharitis, conjunctivitis, and keratitis caused by susceptible organisms, including Fusarium solani keratitis.</w:t>
      </w:r>
    </w:p>
    <w:p>
      <w:pPr>
        <w:spacing w:after="0" w:line="170" w:lineRule="exact"/>
        <w:rPr>
          <w:rFonts w:ascii="Arial" w:cs="Arial" w:eastAsia="Arial" w:hAnsi="Arial"/>
          <w:sz w:val="18"/>
          <w:szCs w:val="18"/>
          <w:color w:val="auto"/>
        </w:rPr>
      </w:pPr>
    </w:p>
    <w:p>
      <w:pPr>
        <w:jc w:val="both"/>
        <w:ind w:left="660" w:hanging="331"/>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TOBRADEX® ST (tobramycin and dexamethasone ophthalmic suspension) 0.3%/0.05%, a topical antibiotic and corticosteroid combination for steroid-responsive inflammatory ocular conditions for which a corticosteroid is indicated and where superficial bacterial ocular infection or a risk of bacterial ocular infection exists.</w:t>
      </w:r>
    </w:p>
    <w:p>
      <w:pPr>
        <w:spacing w:after="0" w:line="18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ZERVIATE® (cetirizine ophthalmic solution) 0.24%, a histamine-1 (H1) receptor antagonist indicated for treatment of ocular itching associated with allergic conjunctivitis.</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FRESHKOTE®, a preservative-free formulation for temporary relief of symptoms of dry eye.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9" w:name="page10"/>
    <w:bookmarkEnd w:id="9"/>
    <w:p>
      <w:pPr>
        <w:ind w:lef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025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In the U.S. and Canada:</w:t>
      </w:r>
    </w:p>
    <w:p>
      <w:pPr>
        <w:spacing w:after="0" w:line="225" w:lineRule="exact"/>
        <w:rPr>
          <w:sz w:val="20"/>
          <w:szCs w:val="20"/>
          <w:color w:val="auto"/>
        </w:rPr>
      </w:pPr>
    </w:p>
    <w:p>
      <w:pPr>
        <w:ind w:left="660" w:hanging="331"/>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VERKAZIA® (cyclosporine ophthalmic emulsion) 0.1%, an orphan designated drug that is a calcineurin inhibitor immunosuppressant indicated for the treatment of vernal keratoconjunctivitis.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Canada:</w:t>
      </w:r>
    </w:p>
    <w:p>
      <w:pPr>
        <w:spacing w:after="0" w:line="225" w:lineRule="exact"/>
        <w:rPr>
          <w:sz w:val="20"/>
          <w:szCs w:val="20"/>
          <w:color w:val="auto"/>
        </w:rPr>
      </w:pPr>
    </w:p>
    <w:p>
      <w:pPr>
        <w:ind w:left="660" w:hanging="33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CATIONORM® PLUS, a preservative-free formulation for dry eye or allergy relief.</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transactions pursuant to the Santen Agreements are referred to in this prospectus as the “Santen Products Acquisition.”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Santen Agreements, we are required to make an initial one-time payment of $8,000,000. In addition, the agreements provide for various one-time milestone payments associated with certain manufacturing-related events as well as low-double digit royalty payments on net sales of Verkazia and high-single digit royalty payments on net sales of Cationorm Plus. Under the Santen Agreements, we also assumed certain obligations associated with other third parties that require mid-single digit royalties on sales of Freshkote and Zerviate. Immediately following the closing and subject to certain conditions, for a period that we expect to last approximately four months, and prior to the transfer of the Santen Product NDAs and other marketing authorizations to us, Santen will continue to sell the Santen Products on our behalf and transfer the net profit from the sale of the Santen Products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 Credit Agreement Amendment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July 18, 2023, we entered into the First Amendment to Credit Agreement and Guaranty and Consent (the “Oaktree Amendment”) to the Credit Agreement and Guaranty (the “Oaktree Loan”) originally entered into on March 27, 2023, with the lenders from time to time party thereto and Oaktree Fund Administration, LLC, as administrative agent for the lenders (together, “Oaktree”). Under the Oaktree Amendment, the overall credit facility size was increased from $100,000,000 to $112,500,000, and we made other changes related to the Santen Products Acquisition. Upon satisfaction of certain conditions to funding, we will draw down a principal amount of $12,500,000 (the “Loan Increase”) to fund the initial one-time payment associated with the Santen Product Acquisition and for other working capital and general corporate purposes. No other material changes to the Oaktree Loan were provided in the Oaktree Amendment. Following entry into the Oaktree Amendment and the funding of the Loan Increase upon closing of the Santen Products Acquisition, we have drawn down a total principal loan amount of $77,500,000 under the Oaktree Loan and an additional principal loan amount of up to $35,000,000 remains available to us upon the commercialization of TRIESENCE.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Guidance for the Three Months Ended June 30, 2023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record over $31,000,000 of total revenues and over $9,300,000 of Adjusted EBITDA (a non-GAAP (as defined below) measure) for the three-month period ended June 30, 2023.</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Management utilizes Adjusted EBITDA, an unaudited financial measure that is not calculated in accordance with generally accepted accounting principles in the United States (“GAAP”), to evaluate the Company’s financial results and performance and to plan and forecast future periods. Investors are encouraged to review the Company’s complete results of operations and additional information provided in the Company’s Annual Report on Form 10-K for the year ended December 31, 2022 and Quarterly Report on Form 10-Q for the quarter ended March 31, 2023, which are incorporated by reference into this prospectus supplement. Management believes that Adjusted EBITDA reflects an additional way of viewing aspects of the Company’s operations that, when viewed in conjunction with GAAP results, provides a more complete understanding of the Company’s results of operations and the factors and trends affecting its business.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Although we are providing management guidance on anticipated Adjusted EBITDA, we are unable to determine with reasonable certainty the ultimate outcome of certain items necessary to calculate net income, the most directly comparable GAAP measure, without unreasonable effort. These items include, but are not limited to, final calculation of investment related gains/losses, inventory reserves, profit transfers, revenue discounts, returns, chargebacks and stock-based compensation. These items are uncertain, depend on various factors, and could have a material impact on the GAAP reported results for the period. Accordingly, net income is not accessible on a forward-looking basis.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0" w:name="page11"/>
    <w:bookmarkEnd w:id="10"/>
    <w:p>
      <w:pPr>
        <w:jc w:val="both"/>
        <w:ind w:firstLine="64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5516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5516245"/>
                    </a:xfrm>
                    <a:prstGeom prst="rect">
                      <a:avLst/>
                    </a:prstGeom>
                    <a:noFill/>
                  </pic:spPr>
                </pic:pic>
              </a:graphicData>
            </a:graphic>
          </wp:anchor>
        </w:drawing>
        <w:t>All estimates presented are subject to completion of the applicable quarter-end closing procedures. Our actual results for such period will not be available until after this offering is completed and may vary from these estimates. In addition, estimated financial information is necessarily speculative in nature, and it can be expected that some or all of the assumptions underlying the estimated financial information described above will not materialize or will vary significantly from actual results. Accordingly, undue reliance should not be placed on this estimated financial information. The preliminary estimates are not necessarily indicative of any future period and should be read together with the sections titled “Risk Factors” and “Special Note Regarding Forward-Looking Statements,” and under similar headings in the documents incorporated by reference into this prospectus supplement and the accompanying prospectus as well as our financial statements, related notes and other financial information incorporated by reference in this prospectus supplement.</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foregoing guidance on anticipated results for the three months ended June 30, 2023 has not been reviewed by our auditors, is based on preliminary information as of the date hereof and is subject to material changes following completion of the quarter-end review process and other adjustments that may be made before our financial results are finalized. In addition, these preliminary unaudited results are not comprehensive financial results for the quarter ended June 30, 2023, should not be viewed as a substitute for complete GAAP financial statements or more comprehensive financial information, and are not indicative of the results for any future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Performance Vesting Restricted Stock Units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Effective as of July 18, 2023, we settled approximately 1,567,913 outstanding performance vesting restricted stock units as a result of the achievement of the stock price targets set forth in equity incentive awards previously issued to members of our management team in 2021 (the “2021 Awards”). In connection with the settlement of the 2021 Awards, an aggregate of approximately 630,000 shares are being withheld by Harrow for tax withholding from the shares otherwise issuable to the holders of the 2021 Awards and will be canceled. We intend to fund the tax withholding obligations in connection with the settlement of the 2021 Awards using a portion of the proceeds of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corporate headquarters are located at 102 Woodmont Blvd., Suite 610, Nashville, Tennessee, 37205, and our telephone number at such office is (615) 733-4730. Our website address is www.harrowinc.com. Information contained on our website is not deemed part of this prospectus supplement or the accompanying prospectus and is not incorporated in this prospectus supplement, the accompanying prospectus or any other document that we file with the SEC by reference.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1" w:name="page12"/>
    <w:bookmarkEnd w:id="11"/>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Offered by us: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Underwriters’ Option to Purchase Additional Shares of Common Stock from us:</w:t>
      </w:r>
    </w:p>
    <w:p>
      <w:pPr>
        <w:spacing w:after="0" w:line="17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Common Stock to be Outstanding After this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146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-271145</wp:posOffset>
            </wp:positionV>
            <wp:extent cx="7127875" cy="7710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7710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3,380,282 shares of our common stock, $0.001 par value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underwriters have been granted an option to purchase up to an additional 507,042 shares of our common stock, which they may exercise, in whole or in part, for a period of 30 days from the date of this prospectus supplement.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33,436,652 shares of our common stock (or 33,943,694 shares if the underwriters exercise their option to purchase additional shares in full), $0.001 par value per share.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that the net proceeds from this offering will be approximately $56,050,005 (or approximately $64,510,001 if the underwriters exercise their option to purchase additional shares of common stock in full), after deducting underwriting discounts and commissions and offering expenses payable by us.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use the net proceeds of this offering of common stock to fund the initial payment for the VEVYE Acquisition, with the remaining net proceeds available for general corporate purposes, including funding future strategic product acquisitions and related investments, making capital expenditures and funding working capital and other cash needs such as tax withholding obligations in connection with settlement of the 2021 Awards. Pending such use, we may invest the remaining net proceeds in short-term interest-bearing accounts, securities, or similar investments. See “Use of Proceeds” on page S-11 of this prospectus supplement.</w:t>
      </w:r>
    </w:p>
    <w:p>
      <w:pPr>
        <w:spacing w:after="0" w:line="173" w:lineRule="exact"/>
        <w:rPr>
          <w:sz w:val="20"/>
          <w:szCs w:val="20"/>
          <w:color w:val="auto"/>
        </w:rPr>
      </w:pPr>
    </w:p>
    <w:p>
      <w:pPr>
        <w:sectPr>
          <w:pgSz w:w="11900" w:h="16838" w:orient="portrait"/>
          <w:cols w:equalWidth="0" w:num="2">
            <w:col w:w="3240" w:space="260"/>
            <w:col w:w="7420"/>
          </w:cols>
          <w:pgMar w:left="480" w:top="904" w:right="499" w:bottom="1440" w:gutter="0" w:footer="0" w:header="0"/>
        </w:sectPr>
      </w:pPr>
    </w:p>
    <w:p>
      <w:pPr>
        <w:spacing w:after="0"/>
        <w:tabs>
          <w:tab w:leader="none" w:pos="3480" w:val="left"/>
        </w:tabs>
        <w:rPr>
          <w:sz w:val="20"/>
          <w:szCs w:val="20"/>
          <w:color w:val="auto"/>
        </w:rPr>
      </w:pPr>
      <w:r>
        <w:rPr>
          <w:rFonts w:ascii="Arial" w:cs="Arial" w:eastAsia="Arial" w:hAnsi="Arial"/>
          <w:sz w:val="18"/>
          <w:szCs w:val="18"/>
          <w:b w:val="1"/>
          <w:bCs w:val="1"/>
          <w:color w:val="auto"/>
        </w:rPr>
        <w:t>Listing:</w:t>
      </w:r>
      <w:r>
        <w:rPr>
          <w:sz w:val="20"/>
          <w:szCs w:val="20"/>
          <w:color w:val="auto"/>
        </w:rPr>
        <w:tab/>
      </w:r>
      <w:r>
        <w:rPr>
          <w:rFonts w:ascii="Arial" w:cs="Arial" w:eastAsia="Arial" w:hAnsi="Arial"/>
          <w:sz w:val="18"/>
          <w:szCs w:val="18"/>
          <w:color w:val="auto"/>
        </w:rPr>
        <w:t>Our common stock is listed on Nasdaq under the symbol “HROW.”</w:t>
      </w:r>
    </w:p>
    <w:p>
      <w:pPr>
        <w:spacing w:after="0" w:line="225"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b w:val="1"/>
          <w:bCs w:val="1"/>
          <w:color w:val="auto"/>
        </w:rPr>
        <w:t>Transfer Agent and Registrar:</w:t>
      </w:r>
      <w:r>
        <w:rPr>
          <w:sz w:val="20"/>
          <w:szCs w:val="20"/>
          <w:color w:val="auto"/>
        </w:rPr>
        <w:tab/>
      </w:r>
      <w:r>
        <w:rPr>
          <w:rFonts w:ascii="Arial" w:cs="Arial" w:eastAsia="Arial" w:hAnsi="Arial"/>
          <w:sz w:val="16"/>
          <w:szCs w:val="16"/>
          <w:color w:val="auto"/>
        </w:rPr>
        <w:t>Securities Transfer Corporation.</w:t>
      </w:r>
    </w:p>
    <w:p>
      <w:pPr>
        <w:spacing w:after="0" w:line="225"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risks. You should carefully consider the information set forth</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in the section of this prospectus supplement entitled “Risk Factors” beginning on page S-9 of this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prospectus supplement, as well as the other information included in or incorporated by reference into</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this prospectus supplement and the accompanying prospectus before deciding whether to invest in our</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common stock.</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30,056,370 shares of our common stock outstanding as of March 31, 2023 and excludes:</w:t>
      </w:r>
    </w:p>
    <w:p>
      <w:pPr>
        <w:spacing w:after="0" w:line="170" w:lineRule="exact"/>
        <w:rPr>
          <w:sz w:val="20"/>
          <w:szCs w:val="20"/>
          <w:color w:val="auto"/>
        </w:rPr>
      </w:pPr>
    </w:p>
    <w:p>
      <w:pPr>
        <w:ind w:left="660" w:hanging="331"/>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2,145,767 shares of common stock available for award under the Company’s 2017 Incentive Stock and Awards Plan (the “Plan) as of March 31, 2023;</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2,891,026 shares of common stock issuable upon the exercise of stock options outstanding as of March 31, 2023, having a weighted average exercise price of $6.03 per share;</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1,859,314 shares of common stock issuable upon the vesting of outstanding restricted stock units (inclusive of the 2021 Awards) as of March 31, 2023; and</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336,264 restricted stock units awarded to directors of the Company, but issuance and delivery of the underlying shares of common stock are deferred until the director resigns.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indicated, all information in this prospectus supplement assumes no exercise of the outstanding stock options and warrants or vesting or settlement of outstanding restricted stock units described above, and no exercise by the underwriters of their option to purchase up to an additional 507,042 shares of our common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Investing in our common stock involves significant risks, including the risks described below. Before making an investment in our common stock, you should carefully consider, among other factors, the risks identified under “Risk Factors” in our Annual Report on Form 10-K for the fiscal year ended December 31, 2022 and our Quarterly Report on Form 10-Q for the quarter ended March 31, 2023. Please also refer to the section above entitled “Special Note Regarding Forward-Looking Statements.” Please also see “Forward-Looking Statements” in the accompanying prospectus and the risks described in the documents incorporated by reference in this prospectus supplement and in our other filings. The risks described in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 common stock and the suitability of investing in the common stock in light of your particular circumstances. Our business, financial condition and results of operations could be materially adversely affected by the materialization of any of these risks. The materialization of any of these risks could also result in a complete loss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market price of our common stock is likely to be highly volatile and could fluctuate widely in response to various factors, many of which are beyond our control, including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 or the “Risk Factors” sections included in our other filings with the SEC that are incorporated by referenced into this prospectus supplement.</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From time to time,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Credit rating agencies review their ratings periodically and, therefore, the credit rating assigned to us by any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common stock may never develop or be sustained.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(the “Securities Act”),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immediate and substantial dilution in the book value per share of the common stock you purchase.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Because the price per share of our common stock being offered in this offering may be substantially higher than the book value per share of our common stock, you will experience immediate and substantial dilution in the net tangible book value of the common stock you purchase in this offering. As a result, investors purchasing shares of common stock in this offering will incur immediate dilution of $19.99 per share, based on an offering price of $17.75 per share and our pro forma net tangible book value as of March 31, 2023, after giving effect to this offering. For a further description of the dilution that you will experience immediately after this offering, see the section of this prospectus supplement entitled “Dilution” on page S-13 of this prospectus supplement.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Existing indebtedness and offerings of debt securities or preferred equity securities, which would be senior to our common stock, may adversely affect the market price of our common stock.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2023, we had outstanding $40,250,000 aggregate principal amount of 11.875% senior notes due December 2027 and $75,000,000 aggregate principal amount of 8.625% senior notes due April 2026. In addition, we had outstanding $65,000,000 under our senior secured term loan facility with Oaktree Fund Administration, LLC, as administrative agent for the lenders as of March 31, 2023. Following the additional draw pursuant to the Oaktree Amendment, we will have outstanding $77,500,000 under the Oaktree Loan. We may also conduct additional debt or preferred stock offerings or incur other indebtedness in the future.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fail to realize the anticipated benefits of the Santen Products Acquisition, the VEVYE Acquisition and any other acquisitions we make in the future.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the Santen Products Acquisition and the VEVYE Acquisition will depend on, among other things, our ability to successfully integrate the products into our commercial platform, transfer the products’ NDAs, obtain and maintain payer reimbursement coverage, maintain an adequate supply of the products and market the products to our existing customers. We intend to pursue other product and product candidate acquisitions in the future. It is possible that we may not achieve the anticipated benefits of the Santen Products Acquisition, the VEVYE Acquisition or any future acquisitions. If we experience difficulties with the implementation of plans with respect to the recent acquisitions or any future acquisitions, the anticipated benefits of the recent acquisitions and any future acquisitions may not be realized fully or at all, or may take longer to realize than expected. Integration efforts will also divert management attention and resources. These matters could have an adverse effect during the transition period for the Santen Products Acquisition, the VEVYE Acquisition or any future acquisitions and for an undetermined period after completion of such acquisitions.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145"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proceeds to be received by us from the sale of the common stock in this offering, after deducting underwriting discounts, commissions and other offering expenses payable by us, are estimated to be approximately $56,050,005 (or $64,510,001 if the underwriters’ option to purchase 507,042 additional shares of common stock is exercised in full).</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use the net proceeds of this offering of common stock to fund the initial payment for the VEVYE Acquisition, with the remaining net proceeds available for general corporate purposes, including funding future strategic product acquisitions and related investments, making capital expenditures and funding working capital and other cash needs such as tax withholding obligations in connection with settlement of the 2021 Awards.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Pending such use, we may invest the remaining net proceeds in short-term interest-bearing accounts, securities, or similar investments. See “Capitalization.”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our cash and cash equivalents and our consolidated capitalization as of March 31, 2023:</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pro forma basis, after giving effect to the Oaktree Amendment and net proceeds received from it;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pro forma as adjusted basis, after giving effect to the sale of the common stock in this offering (assuming no exercise of the underwriters’ option to purchase additional shares of common stock), at the offering price of $17.75, after deducting underwriting discounts and commissions and estimated offering expenses payable by 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does not give effect to the Santen Products Acquisition or VEVYE Acquisition.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should read this table in conjunction with our consolidated financial statements and related notes incorporated by reference in this prospectus supplement.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2"/>
              </w:rPr>
              <w:t>As of March 31, 2023</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w w:val="99"/>
              </w:rPr>
              <w:t>Pro Forma as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Actual</w:t>
            </w:r>
          </w:p>
        </w:tc>
        <w:tc>
          <w:tcPr>
            <w:tcW w:w="340" w:type="dxa"/>
            <w:vAlign w:val="bottom"/>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Pro Forma</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19,248,000</w:t>
            </w: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31,335,000</w:t>
            </w:r>
          </w:p>
        </w:tc>
        <w:tc>
          <w:tcPr>
            <w:tcW w:w="2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87,385,000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Long-term debt: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Oaktree Credit and Guaranty Agreement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65,000,000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11.875% Senior Notes due December 2027</w:t>
            </w:r>
          </w:p>
        </w:tc>
        <w:tc>
          <w:tcPr>
            <w:tcW w:w="3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40,250,000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8.625% Senior Notes due April 2026</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75,000,000</w:t>
            </w: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Notes payable, gross</w:t>
            </w: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180,250,000</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192,750,000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192,750,000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unamortized discounts, net of premium</w:t>
            </w:r>
          </w:p>
        </w:tc>
        <w:tc>
          <w:tcPr>
            <w:tcW w:w="34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(11,400,000)</w:t>
            </w:r>
          </w:p>
        </w:tc>
        <w:tc>
          <w:tcPr>
            <w:tcW w:w="3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(11,813,000)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(11,813,000)</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long-term debt, net</w:t>
            </w:r>
          </w:p>
        </w:tc>
        <w:tc>
          <w:tcPr>
            <w:tcW w:w="3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168,850,000</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180,937,000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180,937,000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$0.001 par value, 50,000,000 shares authorized,</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w w:val="94"/>
              </w:rPr>
              <w:t>30,056,370 shares issued and outstanding at March 31, 2023, actual</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w w:val="94"/>
              </w:rPr>
              <w:t>and pro forma; 33,436,652 shares issued and outstanding, pro forma</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as adjusted</w:t>
            </w:r>
          </w:p>
        </w:tc>
        <w:tc>
          <w:tcPr>
            <w:tcW w:w="3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137,989,000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137,989,000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194,036,000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0"/>
                <w:szCs w:val="20"/>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(116,136,000)</w:t>
            </w:r>
          </w:p>
        </w:tc>
        <w:tc>
          <w:tcPr>
            <w:tcW w:w="3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(116,136,000)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(116,136,000)</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21,883,000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21,883,000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0"/>
                <w:szCs w:val="20"/>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(355,000)</w:t>
            </w:r>
          </w:p>
        </w:tc>
        <w:tc>
          <w:tcPr>
            <w:tcW w:w="3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(355,000)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(355,000)</w:t>
            </w:r>
          </w:p>
        </w:tc>
        <w:tc>
          <w:tcPr>
            <w:tcW w:w="0" w:type="dxa"/>
            <w:vAlign w:val="bottom"/>
          </w:tcPr>
          <w:p>
            <w:pPr>
              <w:spacing w:after="0"/>
              <w:rPr>
                <w:sz w:val="1"/>
                <w:szCs w:val="1"/>
                <w:color w:val="auto"/>
              </w:rPr>
            </w:pPr>
          </w:p>
        </w:tc>
      </w:tr>
      <w:tr>
        <w:trPr>
          <w:trHeight w:val="236"/>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21,528,000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21,528,000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77,578,000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190,378,000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202,465,000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30,056,370 shares of our common stock outstanding as of March 31, 2023 and excludes:</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2,145,767 shares of common stock available for award under the Plan as of March 31, 2023;</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2,891,026 shares of common stock issuable upon the exercise of stock options outstanding as of March 31, 2023, having a weighted average exercise price of $6.03 per share;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1,859,314 shares of common stock issuable upon the vesting of outstanding restricted stock units (inclusive of the 2021 Awards) as of March 31, 2023;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336,264 restricted stock units awarded to directors of the Company, but issuance and delivery of the underlying shares of common stock are deferred until the director resigns.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Except as otherwise indicated, all information in this prospectus supplement assumes no exercise of the outstanding stock options and warrants or vesting or settlement of outstanding restricted stock units described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price per share you pay in this offering and the net tangible book value per share of our common stock immediately after this offering.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historical net tangible book value deficit as of March 31, 2023 was $130.8 million, or $(4.35) per share of common stock. Historical net tangible book value deficit per share represents the amount of our total tangible assets less our total liabilities, divided by the number of shares of our common stock outstanding on March 31, 2023.</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After giving effect to the sale of shares of our common stock in this offering (assuming no exercise of the underwriters’ option to purchase additional shares of common stock) at an offering price of $17.75 per share, and after deducting estimated offering expenses payable by us, our pro forma net tangible book value as of March 31, 2023 would have been $(74.7) million, or $(2.24) per share of common stock based on 33,436,652 shares of common stock outstanding on a pro forma basis at that time. This represents an immediate increase in net tangible book value of $2.11 per share to our existing stockholders and an immediate dilution in net tangible book value of $19.99 per share to new investors in this offering.</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8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tangible book value deficit per share as of March 31, 2023</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(4.35)</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 forma increase in net tangible book value per share as of March 31, 2023</w:t>
            </w:r>
          </w:p>
        </w:tc>
        <w:tc>
          <w:tcPr>
            <w:tcW w:w="8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the pro forma transaction described above</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2.11</w:t>
            </w: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 forma net tangible book deficit per share as of March 31, 2023</w:t>
            </w:r>
          </w:p>
        </w:tc>
        <w:tc>
          <w:tcPr>
            <w:tcW w:w="820" w:type="dxa"/>
            <w:vAlign w:val="bottom"/>
          </w:tcPr>
          <w:p>
            <w:pPr>
              <w:spacing w:after="0"/>
              <w:rPr>
                <w:sz w:val="21"/>
                <w:szCs w:val="21"/>
                <w:color w:val="auto"/>
              </w:rPr>
            </w:pPr>
          </w:p>
        </w:tc>
        <w:tc>
          <w:tcPr>
            <w:tcW w:w="20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30,056,370 shares of our common stock outstanding as of March 31, 2023 and excludes:</w:t>
      </w:r>
    </w:p>
    <w:p>
      <w:pPr>
        <w:spacing w:after="0" w:line="17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2,145,767 shares of common stock available for award under the Plan as of March 31, 2023;</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2,891,026 shares of common stock issuable upon the exercise of stock options outstanding as of March 31, 2023, having a weighted average exercise price of $6.03 per share;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1,859,314 shares of common stock issuable upon the vesting of outstanding restricted stock units (inclusive of the 2021 Awards) as of March 31, 2023;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336,264 restricted stock units awarded to directors of the Company, but issuance and delivery of the underlying shares of common stock are deferred until the director resigns.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above illustration of dilution per share to investors participating in this offering assumes no exercise of outstanding options, vesting and settlement of outstanding restricted stock units or issuance of new shares at per share prices below the price to investors in this offering. To the extent that any outstanding options are exercised or outstanding restricted stock units are vested and settled, there will be no further dilution to new investors.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left="1260"/>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The following is a summary of the material U.S. federal income tax considerations with respect to the purchase, ownership and disposition of our common stock to a non-U.S. holder that purchases shares of our common stock in this offering and holds such shares as a capital asset (generally, property held for investment) within the meaning of Section 1221 of the Internal Revenue Code of 1986, as amended (the “Code”). This summary does not apply to any persons holding equity interests other than our common stock. For purposes of this summary, a “non-U.S. holder” means a beneficial owner of our common stock that is neither a U.S. person nor a partnership for U.S. federal income tax purposes. A “U.S. person” is any of the following:</w:t>
      </w:r>
    </w:p>
    <w:p>
      <w:pPr>
        <w:spacing w:after="0" w:line="16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 for U.S. federal income tax purposes.</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If a partnership or other pass-through entity for U.S. federal income tax purposes holds common stock, the tax treatment of a partner in such partnership or member of such other pass-through entity generally will depend upon the status of the partner or member and the activities of the partnership or other pass-through entity. Partnerships and other pass-through entities holding common stock, and any person who is a partner or member of such entity, should consult their own tax advisor.</w:t>
      </w:r>
    </w:p>
    <w:p>
      <w:pPr>
        <w:spacing w:after="0" w:line="187"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This summary is based upon current provisions of the Code, existing and temporary Treasury Regulations promulgated thereunder and administrative pronouncements and judicial decisions thereof, all in effect on the date hereof and all of which are subject to change or differing interpretations. Those authorities may be changed, perhaps retroactively, so as to result in U.S. federal income tax consequences different from those summarized below. We cannot assure you that a change in law, possibly with retroactive application, will not alter significantly the tax consequences described in this summary. This discussion may not apply, in whole or in part, to particular non-U.S. holders in light of their individual circumstances or to holders subject to special treatment under the U.S. federal income tax laws (such as insurance companies, tax-exempt organizations, financial institutions, private foundations, brokers or dealers in securities, “controlled foreign corporations,” “passive foreign investment companies,” corporations that accumulate earnings to avoid U.S. federal income tax, non-U.S. holders that hold our common stock as part of a straddle, hedge, conversion transaction or other integrated investment and certain U.S. expatriates). In addition, this summary does not address the alternative minimum tax provisions of the Code, the U.S. federal estate or gift tax consequences, the consequences of the 3.8% Medicare tax on certain net investment income, or the consequences of holding or disposing common stock under state, local or non-U.S. tax laws. We have not sought and do not plan to seek a ruling from the IRS, with respect to the statements and conclusions set forth in the following summary, and there can be no assurance that the IRS or a court would agree with such statements and conclusions.</w:t>
      </w:r>
    </w:p>
    <w:p>
      <w:pPr>
        <w:spacing w:after="0" w:line="16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SUMMARY IS FOR GENERAL INFORMATION ONLY AND IS NOT INTENDED TO CONSTITUTE A COMPLETE DESCRIPTION OF ALL TAX CONSEQUENCES FOR NON-U.S. HOLDERS RELATING TO THE OWNERSHIP AND DISPOSITION OF COMMON STOCK. PROSPECTIVE HOLDERS OF COMMON STOCK SHOULD CONSULT WITH THEIR TAX ADVISORS REGARDING THE TAX CONSEQUENCES TO THEM (INCLUDING THE APPLICATION AND EFFECT OF ANY STATE, LOCAL, NON-U.S. INCOME AND OTHER TAX LAWS) OF THE OWNERSHIP AND DISPOSITION OF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If we make a distribution of cash or property with respect to our common stock (or complete a redemption that is treated as a distribution with respect to our common stock), such distribution would be treated as a dividend for U.S. federal income tax purposes to the extent paid from our current or accumulated earnings and profits, if any (as determined under U.S. federal income tax principles). Dividends paid to you generally would be subject to withholding of U.S. federal income tax at a rate of 30% of the gross amount of the dividends, unless you are eligible for a reduced rate of withholding tax under an applicable tax treaty and provide proper certification of your eligibility for such reduced rate. However, dividends that are effectively connected with the conduct of a trade or business by you within the United States (and, if required by an applicable tax treaty, are attributable to a U.S. permanent establishment maintained by you) would not be subject to the withholding tax, as described below, if you comply with the applicable certification and disclosure requirements. Instead, such dividends would be subject to the regular U.S. federal income tax on net taxable income at applicable graduated individual or corporate rates in the same manner as if you were a U.S. person. Any such effectively connected dividends received by a foreign corporation might also be subject to a “branch profits tax” at a rate of 30% (or such lower rate as may be specified by an applicable income tax treaty). Non-U.S. holders should consult their tax advisors regarding applicable tax treaties that may provide for different rules.</w:t>
      </w:r>
    </w:p>
    <w:p>
      <w:pPr>
        <w:spacing w:after="0" w:line="17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the amount of a distribution paid on our common stock were to exceed our current and accumulated earnings and profits, such excess would be allocated ratably among each share of common stock with respect to which the distribution was paid. Any such excess allocated to the shares held by you would be treated first as a tax-free return of capital to the extent of your adjusted tax basis in each such share, and thereafter as capital gain from a sale or other taxable disposition of such share of common stock that is taxed to you as described below under “Gain on disposition of common stock.” Your adjusted tax basis in a share of our common stock generally would be the amount of cash contributed in exchange for such share, reduced by the amount of any such tax-free returns of capital.</w:t>
      </w:r>
    </w:p>
    <w:p>
      <w:pPr>
        <w:spacing w:after="0" w:line="192"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If you wish to claim the benefit of an applicable income tax treaty to avoid or reduce withholding of U.S. federal income tax on dividends, then you must (i) provide the withholding agent with a properly completed IRS Form W-8BEN or W-8BEN-E (or other applicable form) and certify under penalties of perjury that you are not a U.S. person and are eligible for treaty benefits or (ii) if you hold our common stock through certain foreign intermediaries (including partnerships), satisfy the relevant certification requirements of applicable U.S. Treasury regulations by providing appropriate documentation to the intermediaries (which then will be required to provide certification to the applicable withholding agent, either directly or through other intermediaries).</w:t>
      </w:r>
    </w:p>
    <w:p>
      <w:pPr>
        <w:spacing w:after="0" w:line="16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If you do not timely provide us or another applicable withholding agent with the required certification, but you are eligible for a reduced rate of U.S. federal income tax pursuant to an income tax treaty, then you may obtain a refund or credit of any excess amounts withheld by timely filing an appropriate claim with the IRS. You should consult your tax advisor regarding your entitlement to benefits under any applicable income tax treaty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Subject to the discussion below under “Additional withholding tax,” you generally will not be subject to U.S. federal income tax with respect to gain realized on the sale or other taxable disposition of our common stock (other than a redemption that is treated as a dividend for U.S. federal income tax purposes and taxed as described above), unless:</w:t>
      </w:r>
    </w:p>
    <w:p>
      <w:pPr>
        <w:spacing w:after="0" w:line="184"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you conduct in the United States (and, if required by an applicable tax treaty, is attributable to a U.S. permanent establishment maintained by you);</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an individual, you are present in the United States for 183 days or more in the taxable year of the sale or other taxable disposition and certain other conditions are met; or</w:t>
      </w: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within the shorter of (i) the five-year period ending on the date of the sale or other taxable disposition of our common stock and (ii) your holding period for our common stock and certain other requirements are met.</w:t>
      </w:r>
    </w:p>
    <w:p>
      <w:pPr>
        <w:spacing w:after="0" w:line="19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If you are a non-U.S. holder described in the first bullet point above (or so treated), you generally would be subject to tax on the net gain derived from the disposition under regular graduated U.S. federal income tax rates, subject to an applicable income tax treaty providing otherwise. If you are a foreign corporation described in the first bullet point above, you may also, under certain circumstances, be subject to a branch profits tax equal to 30% of your effectively connected earnings and profits (or such lower rate as may be specified by an applicable income tax treaty).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360"/>
        <w:spacing w:after="0" w:line="263" w:lineRule="auto"/>
        <w:rPr>
          <w:sz w:val="20"/>
          <w:szCs w:val="20"/>
          <w:color w:val="auto"/>
        </w:rPr>
      </w:pPr>
      <w:r>
        <w:rPr>
          <w:rFonts w:ascii="Arial" w:cs="Arial" w:eastAsia="Arial" w:hAnsi="Arial"/>
          <w:sz w:val="18"/>
          <w:szCs w:val="18"/>
          <w:color w:val="auto"/>
        </w:rPr>
        <w:t>If you are an individual described in the second bullet point above, you generally would be subject to a flat 30% tax (or such lower rate as may be specified by an applicable income tax treaty), on the amount by which your capital gains allocable to U.S. sources exceed capital losses allocable to U.S. sources during the taxable year of disposition.</w:t>
      </w:r>
    </w:p>
    <w:p>
      <w:pPr>
        <w:spacing w:after="0" w:line="184"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With respect to the third bullet point above, we believe that we are not currently, and we do not anticipate becoming, a U.S. real property holding corporation. In general, we would be a U.S. real property holding corporation if our U.S. real property interests comprised at least 50% of the fair market value of our worldwide real property interests and assets used or held for use in a trade or business. However, because the determination of whether we are a U.S. real property holding corporation depends on the fair market value of our United States real property interests relative to the fair market value of our global real property interests and other business assets, there can be no assurance that we have not been a United States property holding corporation or will not become one in the future. In the event we do become a U.S. real property holding corporation, you would not be subject to U.S. federal income tax on a sale or other disposition of our common stock as long as our common stock is regularly traded on an established securities market at any time during the calendar year in which the disposition occurs (within the meaning of the applicable Treasury Regulations) and you do not actually or constructively hold more than 5% of our common stock at any time during the shorter of (i) the five-year period ending on the date of the sale or disposition of our common stock or (ii) your holding period for our common stock. If gain on the sale or other taxable disposition of our common stock were subject to taxation under the third bullet point above, you would be subject to regular U.S. federal income tax with respect to such gain in generally the same manner as a U.S. person and a 15% withholding tax would apply to the gross proceeds from such sale or other taxable disposition.</w:t>
      </w:r>
    </w:p>
    <w:p>
      <w:pPr>
        <w:spacing w:after="0" w:line="168"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You should consult your tax advisor regarding potentially applicable income tax treaties that provide for different rules and the possible consequences if we are, or were to become, a U.S. real property holding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general, information returns will be filed annually with the IRS and provided to each shareholder in connection with any dividends paid to you and the amount of tax, if any, withheld with respect to such dividends.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you reside or are established.</w:t>
      </w:r>
    </w:p>
    <w:p>
      <w:pPr>
        <w:spacing w:after="0" w:line="18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As a non-U.S. holder, you generally will be subject to information reporting requirements and backup withholding with respect to dividends paid on, and the proceeds from the disposition of, shares of our common stock, unless, generally, you certify to the withholding agent under penalties of perjury (usually on IRS Form W-8BEN or W-8BEN-E) that, among other things, you are not subject to such withholding. Non-U.S. holders generally are exempt from information reporting and backup withholding, provided, if necessary, that they demonstrate their qualification for exemption by providing a properly executed IRS Form W-8BEN, Form W-8BEN-E, or other applicable tax certification form. You should consult your own tax advisors as to their qualification for exemption from backup withholding and the procedure for obtaining such exemption. Backup withholding is not an additional tax. Any amounts withheld under the backup withholding rules from a payment to a holder generally would be allowed as a refund or a credit against such holder’s U.S. federal income tax provided the required information is timely furnished to the IRS.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Certain provisions of the Code, known as the Foreign Account Tax Compliance Act (“FATCA”), impose a 30% U.S. withholding tax on certain U.S. source payments, including interest and dividends, if paid to a foreign financial institution (including amounts paid to a foreign financial institution on behalf of a holder), unless (i) such institution enters into an agreement with the U.S. Treasury Department to collect and provide to the U.S. Treasury Department certain information (that is in addition to and significantly more onerous than, the requirement to deliver an applicable U.S. nonresident withholding tax certification form (e.g., IRS Form W-8BEN), as discussed above) regarding U.S. financial account holders, including certain account holders that are foreign entities with U.S. owners, with such institution or (ii) such institution resides in a jurisdiction that has entered into an intergovernmental agreement (“IGA”) with the United States to collect and share such information and are in compliance with the terms of such IGA and any enabling legislation or regulations.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FATCA also generally imposes a withholding tax of 30% on withholdable payments made to a non-financial foreign entity unless such entity provides the withholding agent with a certification that it does not have any substantial U.S. owners or a certification identifying the direct and indirect substantial U.S. owners of the entity. Depending on the status of a holder and the status of the intermediaries through which they hold their common stock, the holder could be subject to this 30% withholding tax with respect to dividends paid on the stock. Under certain circumstances, a holder may be eligible for refunds or credits of such taxes.</w:t>
      </w:r>
    </w:p>
    <w:p>
      <w:pPr>
        <w:spacing w:after="0" w:line="18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If we determine withholding is appropriate with respect to your common stock, we will withhold tax at the applicable statutory rate, and we will not pay any additional amounts in respect of such withholding. Potential investors are urged to consult with their own tax advisors regarding the possible implications of FATCA on their investment in the common stock.</w:t>
      </w:r>
    </w:p>
    <w:p>
      <w:pPr>
        <w:spacing w:after="0" w:line="1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POTENTIAL PURCHASERS OF OUR COMMON STOCK ARE URGED TO CONSULT THEIR OWN TAX ADVISORS TO DETERMINE THE U.S. FEDERAL, STATE, LOCAL AND NON-U.S. TAX CONSIDERATIONS OF PURCHASING, OWNING AND DISPOSING OF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 Riley Securities, Inc. (“BRS”) is acting as book-running manager and representative of each of the underwriters named below. Subject to the terms and conditions set forth in an underwriting agreement among us and the underwriters dated July 18, 2023 (the “Underwriting Agreement”), we have agreed to sell to the underwriters, and each of the underwriters has agreed, severally and not jointly, to purchase from us, the number of shares of our common stock set forth opposite its name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2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 of Shares</w:t>
            </w:r>
          </w:p>
        </w:tc>
      </w:tr>
      <w:tr>
        <w:trPr>
          <w:trHeight w:val="216"/>
        </w:trPr>
        <w:tc>
          <w:tcPr>
            <w:tcW w:w="9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2,704,226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Lake Street Capital Markets, LLC</w:t>
            </w:r>
          </w:p>
        </w:tc>
        <w:tc>
          <w:tcPr>
            <w:tcW w:w="1920" w:type="dxa"/>
            <w:vAlign w:val="bottom"/>
          </w:tcPr>
          <w:p>
            <w:pPr>
              <w:jc w:val="right"/>
              <w:spacing w:after="0"/>
              <w:rPr>
                <w:sz w:val="20"/>
                <w:szCs w:val="20"/>
                <w:color w:val="auto"/>
              </w:rPr>
            </w:pPr>
            <w:r>
              <w:rPr>
                <w:rFonts w:ascii="Arial" w:cs="Arial" w:eastAsia="Arial" w:hAnsi="Arial"/>
                <w:sz w:val="18"/>
                <w:szCs w:val="18"/>
                <w:color w:val="auto"/>
              </w:rPr>
              <w:t>422,535</w:t>
            </w:r>
          </w:p>
        </w:tc>
        <w:tc>
          <w:tcPr>
            <w:tcW w:w="100" w:type="dxa"/>
            <w:vAlign w:val="bottom"/>
          </w:tcPr>
          <w:p>
            <w:pPr>
              <w:spacing w:after="0"/>
              <w:rPr>
                <w:sz w:val="18"/>
                <w:szCs w:val="18"/>
                <w:color w:val="auto"/>
              </w:rPr>
            </w:pPr>
          </w:p>
        </w:tc>
      </w:tr>
      <w:tr>
        <w:trPr>
          <w:trHeight w:val="249"/>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253,521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7"/>
        </w:trPr>
        <w:tc>
          <w:tcPr>
            <w:tcW w:w="9220" w:type="dxa"/>
            <w:vAlign w:val="bottom"/>
          </w:tcPr>
          <w:p>
            <w:pPr>
              <w:ind w:left="1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3,380,282</w:t>
            </w:r>
          </w:p>
        </w:tc>
        <w:tc>
          <w:tcPr>
            <w:tcW w:w="100" w:type="dxa"/>
            <w:vAlign w:val="bottom"/>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of common stock included in this offering are subject to approval of legal matters by counsel, including conditions contained in the Underwriting Agreement. The underwriters are obligated to purchase all the shares of common stock if any of the shares of common stock are purchased. If an underwriter defaults, the Underwriting Agreement provides that the purchase commitments of the non-defaulting underwriters may be increased or, in certain circumstances, the Underwriting Agreement may be terminated.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underwriters propose to offer part of the shares of common stock to investors directly at the offering price set forth on the cover page of this prospectus supplement and part to dealers at that price less a concession not in excess of $0.639 per share. After the offering, if all the shares of common stock are not sold at the public offering price, the offering price and other selling terms may from time to time be varied by the underwriters.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per share and total offering price, underwriting discounts and commissions that we will pay to the underwriters in connection with this offering and proceeds, before expenses, to 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980"/>
              <w:spacing w:after="0"/>
              <w:rPr>
                <w:sz w:val="20"/>
                <w:szCs w:val="20"/>
                <w:color w:val="auto"/>
              </w:rPr>
            </w:pPr>
            <w:r>
              <w:rPr>
                <w:rFonts w:ascii="Arial" w:cs="Arial" w:eastAsia="Arial" w:hAnsi="Arial"/>
                <w:sz w:val="18"/>
                <w:szCs w:val="18"/>
                <w:b w:val="1"/>
                <w:bCs w:val="1"/>
                <w:color w:val="auto"/>
              </w:rPr>
              <w:t>Per Share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20" w:type="dxa"/>
            <w:vAlign w:val="bottom"/>
          </w:tcPr>
          <w:p>
            <w:pPr>
              <w:spacing w:after="0"/>
              <w:rPr>
                <w:sz w:val="17"/>
                <w:szCs w:val="17"/>
                <w:color w:val="auto"/>
              </w:rPr>
            </w:pPr>
          </w:p>
        </w:tc>
        <w:tc>
          <w:tcPr>
            <w:tcW w:w="1680" w:type="dxa"/>
            <w:vAlign w:val="bottom"/>
            <w:tcBorders>
              <w:top w:val="single" w:sz="8" w:color="auto"/>
            </w:tcBorders>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95"/>
              </w:rPr>
              <w:t>Without Option</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3"/>
              </w:rPr>
              <w:t>With Option to</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Without Option</w:t>
            </w: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5"/>
              </w:rPr>
              <w:t>With Option to</w:t>
            </w:r>
          </w:p>
        </w:tc>
        <w:tc>
          <w:tcPr>
            <w:tcW w:w="100" w:type="dxa"/>
            <w:vAlign w:val="bottom"/>
          </w:tcPr>
          <w:p>
            <w:pPr>
              <w:spacing w:after="0"/>
              <w:rPr>
                <w:sz w:val="17"/>
                <w:szCs w:val="17"/>
                <w:color w:val="auto"/>
              </w:rPr>
            </w:pPr>
          </w:p>
        </w:tc>
      </w:tr>
      <w:tr>
        <w:trPr>
          <w:trHeight w:val="216"/>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to Purchase</w:t>
            </w:r>
          </w:p>
        </w:tc>
        <w:tc>
          <w:tcPr>
            <w:tcW w:w="1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to Purchase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w:t>
            </w:r>
          </w:p>
        </w:tc>
      </w:tr>
      <w:tr>
        <w:trPr>
          <w:trHeight w:val="216"/>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Additional</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r>
      <w:tr>
        <w:trPr>
          <w:trHeight w:val="241"/>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60,000,005.50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69,000,001.00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3,600,000.33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4,140,000.06</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56,400,005.17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64,860,000.94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underwriting discounts, commissions and reimbursements, will be approximately $350,000. We have also agreed to reimburse the underwriters for their reasonable out-of-pocket expenses in connection with this offering, including reasonable attorneys’ fees of up to $100,000.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from time to time, in whole or in part, up to an aggregate of 507,042 shares from us at the public offering price set forth on the cover page of this prospectus supplement, less the underwriting discount.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our executive officers and directors have agreed, subject to limited exceptions, for a period of 90 days after the date of this prospectus supplement, not to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exchangeable or exercisable for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Until the distribution of shares of common stock is complete, SEC rules may limit the ability of the underwriters to bid for and purchase shares of our common stock. As an exception to these rules, the underwriters are permitted to engage in certain transactions which stabilize the price of the shares of common stock, which may include short sales, covering transactions and stabilizing transactions. Short sales involve sales of shares of common stock in excess of the number of shares to be purchased by the underwriters in the offering, which creates a short position. The underwriters must close out any naked short position by purchasing shares of common stock in the open market. A naked short position is more likely to be created if the underwriters are concerned that there may be downward pressure on the price of the shares of common stock in the open market after pricing that could adversely affect investors who purchase in the offering. Stabilizing transactions consist of various bids for or purchases of the shares of common stock made by the underwriters in the open market prior to the completion of the offering.</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might have on our shares of common stock. Any of these activities may have the effect of preventing or retarding a decline in the market price of our shares of common stock. They may also cause the price of the shares of common stock to be higher than the price that would otherwise exist in the open market in the absence of these transactions. The underwriters may conduct these transactions on the Nasdaq or in the over-the-counter market, or otherwise. If the underwriters commence any of these transactions, they may discontinue them at any time without notice.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and Distribution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the delivery of the shares of common stock in the offering will be made on or about July 21, 2023, which will be the second business day following the date of this prospectus supplement (such settlement being referred to as “T+2”).</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prospectus supplement in electronic format may be made available on web sites maintained by the underwriters. Other than the prospectus supplement in electronic format, the information on the underwriters’ websites and any information contained in any other website maintained by an underwriter is not part of this prospectus supplement or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traded on the Nasdaq under the symbol “HROW.” The transfer agent and registrar for our common stock is Securities Transfer Corporation, 2901 N. Dallas Parkway, Suite 380, Plano, Texas 75093.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Additional Relationships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their various business activities, the underwriters and their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may provide from time to time in the future in the ordinary course of their business certain commercial banking, financial advisory, investment banking and other services to us for which they will be entitled to receive customary fees and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to Prospective Investors in Canada (Alberta, British Columbia, Manitoba, Ontario and Québec Only)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shares of our common stock described herein (the “Securities”). No securities commission or similar regulatory authority in Canada has reviewed or in any way passed upon this document or on the merits of the Securities and any representation to the contrary is an offence.</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document has been prepared in reliance on section 3A.3 of National Instrument 33-105 </w:t>
      </w:r>
      <w:r>
        <w:rPr>
          <w:rFonts w:ascii="Arial" w:cs="Arial" w:eastAsia="Arial" w:hAnsi="Arial"/>
          <w:sz w:val="17"/>
          <w:szCs w:val="17"/>
          <w:b w:val="1"/>
          <w:bCs w:val="1"/>
          <w:i w:val="1"/>
          <w:iCs w:val="1"/>
          <w:color w:val="auto"/>
        </w:rPr>
        <w:t xml:space="preserve">Underwriting Conflicts </w:t>
      </w:r>
      <w:r>
        <w:rPr>
          <w:rFonts w:ascii="Arial" w:cs="Arial" w:eastAsia="Arial" w:hAnsi="Arial"/>
          <w:sz w:val="17"/>
          <w:szCs w:val="17"/>
          <w:b w:val="1"/>
          <w:bCs w:val="1"/>
          <w:color w:val="auto"/>
        </w:rPr>
        <w:t>(“NI 33-105”). Pursuant to section 3A.3 of NI 33-105, this document is exempt from the requirement that the issuer and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underwriters in the offering provide Canadian investors with certain conflicts of interest disclosure pertaining to “connected issuer” and/or “related issuer” relationships as may otherwise be required pursuant to subsection 2.1(1) of NI 33-105.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Resale Restrictions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offer and sale of the Securities in Canada are being made on a private placement basis only and are exempt from the prospectus requirement under applicable Canadian securities laws. Any resale of Securities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Representations of Purchasers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Canadian investor who purchases the Securities will be deemed to have represented to us, the selling stockholder and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in Ontario, as such term is defined in subsection 73.3(1) of the </w:t>
      </w: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(Ontario); and (iii) is a “permitted client” as such term is defined in section 1.1 of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Personal Information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Prospective Canadian purchasers are advised that: (a) we may be required to provide personal information pertaining to the purchaser as required to be disclosed in Schedule 1 of Form 45-106F1 under NI 45-106 (including its name, address, telephone number, email address, if provided, and the number and type of securities purchased, the total purchase price paid for such securities, the date of the purchase and specific details of the prospectus exemption relied upon under applicable securities laws to complete such purchase) (“personal information”), which Form 45-106F1 may be required to be filed by us under NI 45-106, (b) such personal information may be delivered to the securities regulatory authority or regulator in accordance with NI 45-106, (c) such personal information is being collected indirectly by the securities regulatory authority or regulator under the authority granted to it under the securities legislation of the applicable legislation, (d) such personal information is collected for the purposes of the administration and enforcement of the securities legislation of the applicable jurisdiction, and (e) the purchaser may contact the applicable securities regulatory authority or regulator by way of the contact information provided in Schedule 2 to Form 45-106F1. Prospective Canadian purchasers that purchase securities in this offering will be deemed to have authorized the indirect collection of the personal information by each applicable securities regulatory authority or regulator, and to have acknowledged and consented to such information being disclosed to the Canadian securities regulatory authority or regulator, and to have acknowledged that such information may become available to the public in accordance with requirements of applicable Canadian laws.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Language of Documents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legal matters will be passed upon for us by Holland &amp; Knight LLP, Nashville, Tennessee, and for the underwriters by Duane Morris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Harrow Health, Inc. and subsidiaries appearing in the Company’s Annual Report on Form 10-K for the year ended December 31, 2022, incorporated by reference in this prospectus supplement, have been audited by KMJ Corbin &amp; Company LLP, an independent registered public accounting firm, as stated in its report appearing therein. Such consolidated financial statements are incorporated herein by reference in reliance upon the report of such firm given their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supplement and the accompanying prospectus by referring you to those documents. These incorporated documents contain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and later information filed with the SEC will update and supersede this information.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incorporate by reference the documents listed below as well as any future filings made with the SEC under Sections 13(a), 13(c), 14 or 15(d) of the Exchange Act after the date of this prospectus supplement and prior to the termination of this offering,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18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March 23, 2023;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6">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11, 2023;</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0000EE"/>
        </w:rPr>
      </w:pPr>
      <w:hyperlink r:id="rId47">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12,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23,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28,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23, 2023</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July 18,</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2023</w:t>
        </w:r>
        <w:r>
          <w:rPr>
            <w:rFonts w:ascii="Arial" w:cs="Arial" w:eastAsia="Arial" w:hAnsi="Arial"/>
            <w:sz w:val="18"/>
            <w:szCs w:val="18"/>
            <w:color w:val="000000"/>
          </w:rPr>
          <w:t>; and</w:t>
        </w:r>
      </w:hyperlink>
    </w:p>
    <w:p>
      <w:pPr>
        <w:spacing w:after="0" w:line="170" w:lineRule="exact"/>
        <w:rPr>
          <w:rFonts w:ascii="Arial" w:cs="Arial" w:eastAsia="Arial" w:hAnsi="Arial"/>
          <w:sz w:val="18"/>
          <w:szCs w:val="18"/>
          <w:color w:val="0000EE"/>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8">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February 7, 2013, and any amendments or reports filed for the purpose of updating such description.</w:t>
      </w:r>
    </w:p>
    <w:p>
      <w:pPr>
        <w:spacing w:after="0" w:line="170"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supplement and the accompanying prospectus, other than exhibits to those documents unless such exhibits are specifically incorporated by reference into those documents. Such written requests should be addressed to:</w:t>
      </w:r>
    </w:p>
    <w:p>
      <w:pPr>
        <w:spacing w:after="0" w:line="18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rFonts w:ascii="Arial" w:cs="Arial" w:eastAsia="Arial" w:hAnsi="Arial"/>
          <w:sz w:val="18"/>
          <w:szCs w:val="18"/>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Copies of certain information filed by us with the SEC are also available on our web site at </w:t>
      </w:r>
      <w:r>
        <w:rPr>
          <w:rFonts w:ascii="Arial" w:cs="Arial" w:eastAsia="Arial" w:hAnsi="Arial"/>
          <w:sz w:val="17"/>
          <w:szCs w:val="17"/>
          <w:i w:val="1"/>
          <w:iCs w:val="1"/>
          <w:color w:val="auto"/>
        </w:rPr>
        <w:t>www.harrowinc.com</w:t>
      </w:r>
      <w:r>
        <w:rPr>
          <w:rFonts w:ascii="Arial" w:cs="Arial" w:eastAsia="Arial" w:hAnsi="Arial"/>
          <w:sz w:val="17"/>
          <w:szCs w:val="17"/>
          <w:color w:val="auto"/>
        </w:rPr>
        <w:t>. We have not incorporated by reference into this prospectus supplement or the accompanying prospectus the information on our website, and you should not consider it to be a part of this document.</w:t>
      </w:r>
    </w:p>
    <w:p>
      <w:pPr>
        <w:spacing w:after="0" w:line="17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On May 25, 2022, the closing price of our common stock on the Nasdaq Global Market was $6.50 per share.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prospectus is dated June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210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SUMMARY</w:t>
            </w:r>
          </w:p>
        </w:tc>
        <w:tc>
          <w:tcPr>
            <w:tcW w:w="85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5"/>
              </w:rPr>
              <w:t>FORWARD-LOOKING STATEMENTS</w:t>
            </w:r>
          </w:p>
        </w:tc>
        <w:tc>
          <w:tcPr>
            <w:tcW w:w="76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76"/>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DILUTION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DIVIDEND POLICY</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DESCRIPTION OF CAPITAL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4"/>
              </w:rPr>
              <w:t>DESCRIPTION OF THE WARRANTS</w:t>
            </w:r>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5"/>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DESCRIPTION OF THE UNITS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342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PLAN OF DISTRIBUTION</w:t>
            </w:r>
          </w:p>
        </w:tc>
        <w:tc>
          <w:tcPr>
            <w:tcW w:w="71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6"/>
              </w:rPr>
              <w:t>LEGAL MATTERS</w:t>
            </w:r>
          </w:p>
        </w:tc>
        <w:tc>
          <w:tcPr>
            <w:tcW w:w="914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176"/>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EXPERTS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4"/>
              </w:rPr>
              <w:t>INCORPORATION OF CERTAIN DOCUMENTS BY REFERENCE</w:t>
            </w:r>
          </w:p>
        </w:tc>
        <w:tc>
          <w:tcPr>
            <w:tcW w:w="5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175"/>
        </w:trPr>
        <w:tc>
          <w:tcPr>
            <w:tcW w:w="382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7"/>
              </w:rPr>
              <w:t>WHERE YOU CAN FIND MORE INFORMATION</w:t>
            </w:r>
          </w:p>
        </w:tc>
        <w:tc>
          <w:tcPr>
            <w:tcW w:w="678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$300,000,000.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76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an ophthalmic-focused healthcare company. Our business specializes in the development, production, sale, and distribution of innovative prescription medications that offer unique competitive advantages and serve unmet needs in the marketplace through our subsidiaries and deconsolidated companies. We own and operate ImprimisRx, one of the nation’s leading ophthalmology-focused pharmaceutical businesses, and Visionology, Inc., or Visionology, a direct-to-consumer digital eyecare subsidiary. In addition to wholly owning ImprimisRx and Visionology, we also have non-controlling equity positions in Surface Ophthalmics, Inc., or Surface, and Melt Pharmaceuticals, Inc., or Melt.</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ImprimisRx is our </w:t>
      </w:r>
      <w:r>
        <w:rPr>
          <w:rFonts w:ascii="Arial" w:cs="Arial" w:eastAsia="Arial" w:hAnsi="Arial"/>
          <w:sz w:val="16"/>
          <w:szCs w:val="16"/>
          <w:color w:val="auto"/>
          <w:highlight w:val="white"/>
        </w:rPr>
        <w:t>ophthalmology-focused prescription pharmaceutical business.</w:t>
      </w:r>
      <w:r>
        <w:rPr>
          <w:rFonts w:ascii="Arial" w:cs="Arial" w:eastAsia="Arial" w:hAnsi="Arial"/>
          <w:sz w:val="16"/>
          <w:szCs w:val="16"/>
          <w:color w:val="auto"/>
        </w:rPr>
        <w:t xml:space="preserve"> We offer to over 10,000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outsourcing facility located in New Jersey.</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highlight w:val="white"/>
        </w:rPr>
        <w:t>Over the past two years, in order to more fully serve the needs of our growing customer base, we have invested in broadening ImprimisRx’s product portfolio to include FDA-approved products. Our investments in this regard have led to commercial partnerships to sell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minority ownership interests in Surface, Melt and Eton Pharmaceuticals, Inc., all companies that began as our subsidiaries,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We expect any new subsidiaries to be focused on eye care.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1147" w:right="499" w:bottom="1440" w:gutter="0" w:footer="0" w:header="0"/>
        </w:sectPr>
      </w:pPr>
    </w:p>
    <w:bookmarkStart w:id="31" w:name="page32"/>
    <w:bookmarkEnd w:id="31"/>
    <w:p>
      <w:pPr>
        <w:jc w:val="both"/>
        <w:ind w:firstLine="64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202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We have incurred significant operating losses and negative cash flows from operations over the course of our business. As of March 31, 2022, we had an accumulated deficit of approximately $97.8 million. Our current projections indicate that we will have operating income and/or net income during 2022; however, these projections may not be correct and our plans could change. Also, we could incur increasing operating losses in the foreseeable future for our commercialization activities, research and development, and our pharmaceutical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operations, our ability to generate the revenues necessary to achieve profitability will depend on many factors.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Arial" w:cs="Arial" w:eastAsia="Arial" w:hAnsi="Arial"/>
          <w:sz w:val="18"/>
          <w:szCs w:val="18"/>
          <w:i w:val="1"/>
          <w:iCs w:val="1"/>
          <w:color w:val="auto"/>
        </w:rPr>
        <w:t>harrowinc.com</w:t>
      </w:r>
      <w:r>
        <w:rPr>
          <w:rFonts w:ascii="Arial" w:cs="Arial" w:eastAsia="Arial" w:hAnsi="Arial"/>
          <w:sz w:val="18"/>
          <w:szCs w:val="18"/>
          <w:color w:val="auto"/>
        </w:rPr>
        <w:t>. Information contained on our website is not deemed part of this prospectus and is not incorporated in this prospectus or any other document that we file with the SEC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up to $300.0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5" w:right="4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693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27875" cy="4693285"/>
                    </a:xfrm>
                    <a:prstGeom prst="rect">
                      <a:avLst/>
                    </a:prstGeom>
                    <a:noFill/>
                  </pic:spPr>
                </pic:pic>
              </a:graphicData>
            </a:graphic>
          </wp:anchor>
        </w:drawing>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2021, which is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products,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May 4, 2022, there were approximately 82 stockholders of record (excluding an indeterminable number of stockholders whose shares are held in street or “nominee” name) of our common stock. In addition, as of March 31, 2022, there were outstanding (i) options to acquire 3,083,796 shares of our common stock with a weighted average exercise price of $5.76 per share, (ii) warrants to purchase 373,847 shares of common stock with a weighted average exercise price of $2.08 per share, (iii) 2,088,558 unvested restricted stock units, and (iv) 277,405 vested restricted stock units for which delivery of the shares had been deferred.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Liability and Indemnification of Directors and Officers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The transfer agent and registrar for our common stock is Action Stock Transfer Corporation, 2469 E. Fort Union Blvd., Suite 214, Salt Lake City, UT 84121.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depositary on account of taxes or other governmental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5540" w:right="1660" w:hanging="4884"/>
        <w:spacing w:after="0" w:line="527" w:lineRule="auto"/>
        <w:tabs>
          <w:tab w:leader="none" w:pos="9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200" w:hanging="4"/>
        <w:spacing w:after="0" w:line="500" w:lineRule="auto"/>
        <w:tabs>
          <w:tab w:leader="none" w:pos="9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the securities comprising the units;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May and June, 2021, we completed the sale of an aggregate principal amount of $75,000,000 unsecured senior notes in public offerings, which are all treated as a single series (collectively, the “Senior Notes”). The Senior Notes were issued pursuant to that certain Indenture (the “Base Indenture”) and that certain First Supplemental Indenture (the “First Supplemental Indenture” and, together with the Base Indenture, the “Indenture”) each dated April 20, 2021, between the Company and U.S. Bank National Association, as trustee (the “Trustee”). The Senior Notes bear interest at the rate of 8.625% per annum and mature on April 30, 2026. Interest on the Senior Notes is payable quarterly in arrears on January 31, April 30, July 31 and October 31 of each year. The Senior Notes are listed on the Nasdaq Global Market under the symbol “HROWL.”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Notes are senior unsecured obligations of the Company and rank equally in right of payment with all of the Company’s other existing and future senior unsecured and unsubordinated indebtedness. The Senior Notes are effectively subordinated in right of payment to all of the Company’s existing and future secured indebtedness and structurally subordinated to all existing and future indebtedness of the Company’s subsidiaries, including trade payables.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February 1, 2026, the Company may, at its option, redeem the Senior Notes, in whole at any time or in part from time to time, at a redemption price equal to 100% of the principal amount of the Senior Notes to be redeemed, plus a make-whole amount that is further described in the First Supplemental Indenture, if any, plus accrued and unpaid interest to, but excluding, the date of redemption. The Company may redeem the Senior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Senior Notes.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is incorporated by reference into the registration statement of which this prospectus is a part.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appoint the trustee as the initial security registrar. Any trustee, in addition to the security registrar initially designated by us, will be named in the prospectus supplement. We may designate additional trustees or change trustees or change the office of the trustee. However, we will be required to maintain a trustee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 securities of any series may be represented, in whole or in part, by one or more global certificates. Each global certificate will:</w:t>
      </w:r>
    </w:p>
    <w:p>
      <w:pPr>
        <w:spacing w:after="0" w:line="23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4"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both"/>
        <w:ind w:firstLine="648"/>
        <w:spacing w:after="0" w:line="263"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wholly owned subsidiary of us) or sell, transfer, lease, convey or otherwise dispose of all or substantially all of our property to, any person (other than a subsidiary of us), unless:</w:t>
      </w:r>
    </w:p>
    <w:p>
      <w:pPr>
        <w:spacing w:after="0" w:line="184" w:lineRule="exact"/>
        <w:rPr>
          <w:sz w:val="20"/>
          <w:szCs w:val="20"/>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be the surviving person, or the successor entity, if any, is a U.S. corporation, limited liability company, partnership, trust or other business entity;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successor entity (if other than the Company) expressly assumes our obligations on the debt securities and under the indentures;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the transaction, no default or event of default shall have occurred and be continuing;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301"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0" w:name="page51"/>
    <w:bookmarkEnd w:id="50"/>
    <w:p>
      <w:pPr>
        <w:jc w:val="both"/>
        <w:ind w:firstLine="648"/>
        <w:spacing w:after="0" w:line="255" w:lineRule="auto"/>
        <w:rPr>
          <w:sz w:val="20"/>
          <w:szCs w:val="20"/>
          <w:color w:val="auto"/>
        </w:rPr>
      </w:pPr>
      <w:r>
        <w:rPr>
          <w:rFonts w:ascii="Arial" w:cs="Arial" w:eastAsia="Arial" w:hAnsi="Arial"/>
          <w:sz w:val="18"/>
          <w:szCs w:val="18"/>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be subject to U.S. federal income tax differently than if we did not make the election and instead paid the amounts due on the debt securities as and when due.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63"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ind w:left="98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5" w:lineRule="exact"/>
        <w:rPr>
          <w:sz w:val="20"/>
          <w:szCs w:val="20"/>
          <w:color w:val="auto"/>
        </w:rPr>
      </w:pPr>
    </w:p>
    <w:p>
      <w:pPr>
        <w:jc w:val="both"/>
        <w:ind w:left="98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KMJ Corbin &amp; Company LLP, an independent registered public accounting firm, has audited our consolidated financial statements included in our Annual Report on Form 10-K for the year ended December 31, 2021, as set forth in its report, which is incorporated by reference in this prospectus and elsewhere in the registration statement. Our consolidated financial statements are incorporated by reference in reliance upon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7"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with the SEC on March 10, 2022;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84">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as amended, filed with the SEC on April 26, 2022;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8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SEC on May 5, 2022;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86">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7">
        <w:r>
          <w:rPr>
            <w:rFonts w:ascii="Arial" w:cs="Arial" w:eastAsia="Arial" w:hAnsi="Arial"/>
            <w:sz w:val="18"/>
            <w:szCs w:val="18"/>
            <w:u w:val="single" w:color="auto"/>
            <w:color w:val="0000EE"/>
          </w:rPr>
          <w:t>April 13,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8">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February 7, 2013, and any amendments or reports filed for the purpose of updating such description;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description of our 8.625% Senior Notes due 2026 contained in our Registration Statement on </w:t>
      </w:r>
      <w:hyperlink r:id="rId8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April 20, 2021 (File No. 001-35814), pursuant to Section 12(b) of the Exchange Act, including any amendment or report filed for the purpose of updating such description.</w:t>
      </w:r>
    </w:p>
    <w:p>
      <w:pPr>
        <w:spacing w:after="0" w:line="184" w:lineRule="exact"/>
        <w:rPr>
          <w:rFonts w:ascii="Arial" w:cs="Arial" w:eastAsia="Arial" w:hAnsi="Arial"/>
          <w:sz w:val="18"/>
          <w:szCs w:val="18"/>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3,380,282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571500</wp:posOffset>
            </wp:positionV>
            <wp:extent cx="1714500" cy="900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Book-Running Manage</w:t>
      </w:r>
      <w:r>
        <w:rPr>
          <w:rFonts w:ascii="Arial" w:cs="Arial" w:eastAsia="Arial" w:hAnsi="Arial"/>
          <w:sz w:val="18"/>
          <w:szCs w:val="18"/>
          <w:color w:val="auto"/>
        </w:rPr>
        <w:t>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 Riley Securities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Lead Manager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Lake Street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Co-Manager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702945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728980</wp:posOffset>
            </wp:positionV>
            <wp:extent cx="71323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1045845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lvl w:ilvl="1">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jpe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45" Type="http://schemas.openxmlformats.org/officeDocument/2006/relationships/hyperlink" Target="https://www.sec.gov/ix?doc=/Archives/edgar/data/1360214/000149315223008718/form10-k.htm" TargetMode="External"/><Relationship Id="rId46" Type="http://schemas.openxmlformats.org/officeDocument/2006/relationships/hyperlink" Target="https://www.sec.gov/ix?doc=/Archives/edgar/data/1360214/000149315223016414/form10-q.htm" TargetMode="External"/><Relationship Id="rId47" Type="http://schemas.openxmlformats.org/officeDocument/2006/relationships/hyperlink" Target="https://www.sec.gov/Archives/edgar/data/1360214/000149315223024851/form8-k.htm" TargetMode="External"/><Relationship Id="rId48" Type="http://schemas.openxmlformats.org/officeDocument/2006/relationships/hyperlink" Target="https://www.sec.gov/Archives/edgar/data/1360214/000135448813000459/immy_8a12b.htm" TargetMode="External"/><Relationship Id="rId83" Type="http://schemas.openxmlformats.org/officeDocument/2006/relationships/hyperlink" Target="https://www.sec.gov/ix?doc=/Archives/edgar/data/1360214/000149315222006525/form-10k.htm" TargetMode="External"/><Relationship Id="rId84" Type="http://schemas.openxmlformats.org/officeDocument/2006/relationships/hyperlink" Target="https://www.sec.gov/Archives/edgar/data/1360214/000149315222011171/formdef14a.htm" TargetMode="External"/><Relationship Id="rId85" Type="http://schemas.openxmlformats.org/officeDocument/2006/relationships/hyperlink" Target="https://www.sec.gov/ix?doc=/Archives/edgar/data/1360214/000149315222012261/form10q.htm" TargetMode="External"/><Relationship Id="rId86" Type="http://schemas.openxmlformats.org/officeDocument/2006/relationships/hyperlink" Target="https://www.sec.gov/ix?doc=/Archives/edgar/data/1360214/000149315222008268/form8-k.htm" TargetMode="External"/><Relationship Id="rId87" Type="http://schemas.openxmlformats.org/officeDocument/2006/relationships/hyperlink" Target="https://www.sec.gov/ix?doc=/Archives/edgar/data/1360214/000149315222009817/form8-k.htm" TargetMode="External"/><Relationship Id="rId88" Type="http://schemas.openxmlformats.org/officeDocument/2006/relationships/hyperlink" Target="https://www.sec.gov/Archives/edgar/data/1360214/000149315221009251/form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2023-07-19T16:22:34Z</dcterms:created>
  <dcterms:modified xsi:type="dcterms:W3CDTF">2023-07-19T16:22:34Z</dcterms:modified>
</cp:coreProperties>
</file>