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z w:val="24"/>
        </w:rPr>
        <w:t>Washington, D.C. 20549</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 xml:space="preserve">FORM </w:t>
      </w:r>
      <w:bookmarkStart w:id="2" w:name="xdx_90A_edei--DocumentType_c20240513__20"/>
      <w:bookmarkEnd w:id="2"/>
      <w:r>
        <w:rPr>
          <w:rFonts w:ascii="Times New Roman;Times;Serif" w:hAnsi="Times New Roman;Times;Serif"/>
          <w:b/>
          <w:i w:val="false"/>
          <w:caps w:val="false"/>
          <w:smallCaps w:val="false"/>
          <w:color w:val="000000"/>
          <w:sz w:val="36"/>
        </w:rPr>
        <w:t>8-K</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Pursuant to Section 13 OR 15(d) of The Securities Exchange Act of 1934</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color w:val="000000"/>
          <w:sz w:val="20"/>
        </w:rPr>
        <w:t>May 13, 2024</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36"/>
        </w:rPr>
      </w:pPr>
      <w:bookmarkStart w:id="4" w:name="xdx_903_edei--EntityRegistrantName_c2024"/>
      <w:bookmarkEnd w:id="4"/>
      <w:r>
        <w:rPr>
          <w:rFonts w:ascii="Times New Roman;Times;Serif" w:hAnsi="Times New Roman;Times;Serif"/>
          <w:b/>
          <w:i w:val="false"/>
          <w:caps w:val="false"/>
          <w:smallCaps w:val="false"/>
          <w:color w:val="000000"/>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registrant as specified in its charter)</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5" w:name="xdx_900_edei--EntityIncorporationStateCo"/>
            <w:bookmarkEnd w:id="5"/>
            <w:r>
              <w:rPr>
                <w:rFonts w:ascii="Times New Roman;Times;Serif" w:hAnsi="Times New Roman;Times;Serif"/>
                <w:b/>
                <w:i w:val="false"/>
                <w:caps w:val="false"/>
                <w:smallCaps w:val="false"/>
                <w:color w:val="000000"/>
                <w:sz w:val="20"/>
              </w:rPr>
              <w:t>Delaware</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6" w:name="xdx_907_edei--EntityFileNumber_c20240513"/>
            <w:bookmarkEnd w:id="6"/>
            <w:r>
              <w:rPr>
                <w:rFonts w:ascii="Times New Roman;Times;Serif" w:hAnsi="Times New Roman;Times;Serif"/>
                <w:b/>
                <w:i w:val="false"/>
                <w:caps w:val="false"/>
                <w:smallCaps w:val="false"/>
                <w:color w:val="000000"/>
                <w:sz w:val="20"/>
              </w:rPr>
              <w:t>001-35814</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7" w:name="xdx_901_edei--EntityTaxIdentificationNum"/>
            <w:bookmarkEnd w:id="7"/>
            <w:r>
              <w:rPr>
                <w:rFonts w:ascii="Times New Roman;Times;Serif" w:hAnsi="Times New Roman;Times;Serif"/>
                <w:b/>
                <w:i w:val="false"/>
                <w:caps w:val="false"/>
                <w:smallCaps w:val="false"/>
                <w:color w:val="000000"/>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of incorporation)</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 Number)</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Identification No.)</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8" w:name="xdx_90C_edei--EntityAddressAddressLine1_"/>
            <w:bookmarkEnd w:id="8"/>
            <w:r>
              <w:rPr>
                <w:rFonts w:ascii="Times New Roman;Times;Serif" w:hAnsi="Times New Roman;Times;Serif"/>
                <w:b/>
                <w:i w:val="false"/>
                <w:caps w:val="false"/>
                <w:smallCaps w:val="false"/>
                <w:color w:val="000000"/>
                <w:sz w:val="20"/>
              </w:rPr>
              <w:t xml:space="preserve">102 Woodmont Blvd., </w:t>
            </w:r>
            <w:bookmarkStart w:id="9" w:name="xdx_907_edei--EntityAddressAddressLine2_"/>
            <w:bookmarkEnd w:id="9"/>
            <w:r>
              <w:rPr>
                <w:rFonts w:ascii="Times New Roman;Times;Serif" w:hAnsi="Times New Roman;Times;Serif"/>
                <w:b/>
                <w:i w:val="false"/>
                <w:caps w:val="false"/>
                <w:smallCaps w:val="false"/>
                <w:color w:val="000000"/>
                <w:sz w:val="20"/>
              </w:rPr>
              <w:t>Suite 610</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2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10" w:name="xdx_907_edei--EntityAddressCityOrTown_c2"/>
            <w:bookmarkEnd w:id="10"/>
            <w:r>
              <w:rPr>
                <w:rFonts w:ascii="Times New Roman;Times;Serif" w:hAnsi="Times New Roman;Times;Serif"/>
                <w:b/>
                <w:i w:val="false"/>
                <w:caps w:val="false"/>
                <w:smallCaps w:val="false"/>
                <w:color w:val="000000"/>
                <w:sz w:val="20"/>
              </w:rPr>
              <w:t xml:space="preserve">Nashville, </w:t>
            </w:r>
            <w:bookmarkStart w:id="11" w:name="xdx_903_edei--EntityAddressStateOrProvin"/>
            <w:bookmarkEnd w:id="11"/>
            <w:r>
              <w:rPr>
                <w:rFonts w:ascii="Times New Roman;Times;Serif" w:hAnsi="Times New Roman;Times;Serif"/>
                <w:b/>
                <w:i w:val="false"/>
                <w:caps w:val="false"/>
                <w:smallCaps w:val="false"/>
                <w:color w:val="000000"/>
                <w:sz w:val="20"/>
              </w:rPr>
              <w:t xml:space="preserve">Tennessee </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12" w:name="xdx_903_edei--EntityAddressPostalZipCode"/>
            <w:bookmarkEnd w:id="12"/>
            <w:r>
              <w:rPr>
                <w:rFonts w:ascii="Times New Roman;Times;Serif" w:hAnsi="Times New Roman;Times;Serif"/>
                <w:b/>
                <w:i w:val="false"/>
                <w:caps w:val="false"/>
                <w:smallCaps w:val="false"/>
                <w:color w:val="000000"/>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of principal executive offices)</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(Zip Code)</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Registrant’s telephone number, including area code: </w:t>
      </w:r>
      <w:bookmarkStart w:id="13" w:name="xdx_902_edei--CityAreaCode_c20240513__20"/>
      <w:bookmarkEnd w:id="13"/>
      <w:r>
        <w:rPr>
          <w:rFonts w:ascii="Times New Roman;Times;Serif" w:hAnsi="Times New Roman;Times;Serif"/>
          <w:b/>
          <w:i w:val="false"/>
          <w:caps w:val="false"/>
          <w:smallCaps w:val="false"/>
          <w:color w:val="000000"/>
          <w:sz w:val="20"/>
        </w:rPr>
        <w:t xml:space="preserve">(615) </w:t>
      </w:r>
      <w:bookmarkStart w:id="14" w:name="xdx_909_edei--LocalPhoneNumber_c20240513"/>
      <w:bookmarkEnd w:id="14"/>
      <w:r>
        <w:rPr>
          <w:rFonts w:ascii="Times New Roman;Times;Serif" w:hAnsi="Times New Roman;Times;Serif"/>
          <w:b/>
          <w:i w:val="false"/>
          <w:caps w:val="false"/>
          <w:smallCaps w:val="false"/>
          <w:color w:val="000000"/>
          <w:sz w:val="20"/>
        </w:rPr>
        <w:t>733-4730</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(Former Name or Former Address, if Changed Since Last Report)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registered pursuant to Section 12(b) of the Act: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Trading Symbol(s)</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5" w:name="xdx_90D_edei--Security12bTitle_c20240513"/>
            <w:bookmarkEnd w:id="15"/>
            <w:r>
              <w:rPr>
                <w:rFonts w:ascii="Times New Roman;Times;Serif" w:hAnsi="Times New Roman;Times;Serif"/>
                <w:b w:val="false"/>
                <w:i w:val="false"/>
                <w:caps w:val="false"/>
                <w:smallCaps w:val="false"/>
                <w:color w:val="000000"/>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6" w:name="xdx_90F_edei--TradingSymbol_c20240513__2"/>
            <w:bookmarkEnd w:id="16"/>
            <w:r>
              <w:rPr>
                <w:rFonts w:ascii="Times New Roman;Times;Serif" w:hAnsi="Times New Roman;Times;Serif"/>
                <w:b w:val="false"/>
                <w:i w:val="false"/>
                <w:caps w:val="false"/>
                <w:smallCaps w:val="false"/>
                <w:color w:val="000000"/>
                <w:sz w:val="20"/>
              </w:rPr>
              <w:t>HROW</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7" w:name="xdx_909_edei--SecurityExchangeName_c2024"/>
            <w:bookmarkEnd w:id="17"/>
            <w:r>
              <w:rPr>
                <w:rFonts w:ascii="Times New Roman;Times;Serif" w:hAnsi="Times New Roman;Times;Serif"/>
                <w:b w:val="false"/>
                <w:i w:val="false"/>
                <w:caps w:val="false"/>
                <w:smallCaps w:val="false"/>
                <w:color w:val="000000"/>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8" w:name="xdx_90F_edei--Security12bTitle_c20240513"/>
            <w:bookmarkEnd w:id="18"/>
            <w:r>
              <w:rPr>
                <w:rFonts w:ascii="Times New Roman;Times;Serif" w:hAnsi="Times New Roman;Times;Serif"/>
                <w:b w:val="false"/>
                <w:i w:val="false"/>
                <w:caps w:val="false"/>
                <w:smallCaps w:val="false"/>
                <w:color w:val="000000"/>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9" w:name="xdx_90D_edei--TradingSymbol_c20240513__2"/>
            <w:bookmarkEnd w:id="19"/>
            <w:r>
              <w:rPr>
                <w:rFonts w:ascii="Times New Roman;Times;Serif" w:hAnsi="Times New Roman;Times;Serif"/>
                <w:b w:val="false"/>
                <w:i w:val="false"/>
                <w:caps w:val="false"/>
                <w:smallCaps w:val="false"/>
                <w:color w:val="000000"/>
                <w:sz w:val="20"/>
              </w:rPr>
              <w:t>HROWL</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0" w:name="xdx_907_edei--SecurityExchangeName_c2024"/>
            <w:bookmarkEnd w:id="20"/>
            <w:r>
              <w:rPr>
                <w:rFonts w:ascii="Times New Roman;Times;Serif" w:hAnsi="Times New Roman;Times;Serif"/>
                <w:b w:val="false"/>
                <w:i w:val="false"/>
                <w:caps w:val="false"/>
                <w:smallCaps w:val="false"/>
                <w:color w:val="000000"/>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1" w:name="xdx_905_edei--Security12bTitle_c20240513"/>
            <w:bookmarkEnd w:id="21"/>
            <w:r>
              <w:rPr>
                <w:rFonts w:ascii="Times New Roman;Times;Serif" w:hAnsi="Times New Roman;Times;Serif"/>
                <w:b w:val="false"/>
                <w:i w:val="false"/>
                <w:caps w:val="false"/>
                <w:smallCaps w:val="false"/>
                <w:color w:val="000000"/>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2" w:name="xdx_90F_edei--TradingSymbol_c20240513__2"/>
            <w:bookmarkEnd w:id="22"/>
            <w:r>
              <w:rPr>
                <w:rFonts w:ascii="Times New Roman;Times;Serif" w:hAnsi="Times New Roman;Times;Serif"/>
                <w:b w:val="false"/>
                <w:i w:val="false"/>
                <w:caps w:val="false"/>
                <w:smallCaps w:val="false"/>
                <w:color w:val="000000"/>
                <w:sz w:val="20"/>
              </w:rPr>
              <w:t>HROWM</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3" w:name="xdx_90B_edei--SecurityExchangeName_c2024"/>
            <w:bookmarkEnd w:id="23"/>
            <w:r>
              <w:rPr>
                <w:rFonts w:ascii="Times New Roman;Times;Serif" w:hAnsi="Times New Roman;Times;Serif"/>
                <w:b w:val="false"/>
                <w:i w:val="false"/>
                <w:caps w:val="false"/>
                <w:smallCaps w:val="false"/>
                <w:color w:val="000000"/>
                <w:sz w:val="20"/>
              </w:rPr>
              <w:t>The Nasdaq Stock Market LLC</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color w:val="000000"/>
              </w:rPr>
            </w:pPr>
            <w:bookmarkStart w:id="24" w:name="xdx_90E_edei--WrittenCommunications_c202"/>
            <w:bookmarkEnd w:id="24"/>
            <w:r>
              <w:rPr>
                <w:caps w:val="false"/>
                <w:smallCaps w:val="false"/>
                <w:color w:val="000000"/>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 w:type="dxa"/>
            <w:tcBorders/>
            <w:vAlign w:val="center"/>
          </w:tcPr>
          <w:p>
            <w:pPr>
              <w:pStyle w:val="TableContents"/>
              <w:bidi w:val="0"/>
              <w:spacing w:before="0" w:after="283"/>
              <w:jc w:val="left"/>
              <w:rPr>
                <w:caps w:val="false"/>
                <w:smallCaps w:val="false"/>
                <w:color w:val="000000"/>
              </w:rPr>
            </w:pPr>
            <w:bookmarkStart w:id="25" w:name="xdx_905_edei--SolicitingMaterial_c202405"/>
            <w:bookmarkEnd w:id="25"/>
            <w:r>
              <w:rPr>
                <w:caps w:val="false"/>
                <w:smallCaps w:val="false"/>
                <w:color w:val="000000"/>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 w:type="dxa"/>
            <w:tcBorders/>
            <w:vAlign w:val="center"/>
          </w:tcPr>
          <w:p>
            <w:pPr>
              <w:pStyle w:val="TableContents"/>
              <w:bidi w:val="0"/>
              <w:spacing w:before="0" w:after="283"/>
              <w:jc w:val="left"/>
              <w:rPr>
                <w:caps w:val="false"/>
                <w:smallCaps w:val="false"/>
                <w:color w:val="000000"/>
              </w:rPr>
            </w:pPr>
            <w:bookmarkStart w:id="26" w:name="xdx_90E_edei--PreCommencementTenderOffer"/>
            <w:bookmarkEnd w:id="26"/>
            <w:r>
              <w:rPr>
                <w:caps w:val="false"/>
                <w:smallCaps w:val="false"/>
                <w:color w:val="000000"/>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6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 w:type="dxa"/>
            <w:tcBorders/>
            <w:vAlign w:val="center"/>
          </w:tcPr>
          <w:p>
            <w:pPr>
              <w:pStyle w:val="TableContents"/>
              <w:bidi w:val="0"/>
              <w:spacing w:before="0" w:after="283"/>
              <w:jc w:val="left"/>
              <w:rPr>
                <w:caps w:val="false"/>
                <w:smallCaps w:val="false"/>
                <w:color w:val="000000"/>
              </w:rPr>
            </w:pPr>
            <w:bookmarkStart w:id="27" w:name="xdx_906_edei--PreCommencementIssuerTende"/>
            <w:bookmarkEnd w:id="27"/>
            <w:r>
              <w:rPr>
                <w:caps w:val="false"/>
                <w:smallCaps w:val="false"/>
                <w:color w:val="000000"/>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registrant is an emerging growth company as defined in Rule 405 of the Securities Act of 1933 or Rule 12b-2 of the Securities Act of 1934: Emerging growth company </w:t>
      </w:r>
      <w:bookmarkStart w:id="28" w:name="xdx_901_edei--EntityEmergingGrowthCompan"/>
      <w:bookmarkEnd w:id="28"/>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2.02 Results of Operations and Financial Condition.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May 13, 2024, Harrow, Inc. (the “Company”) issued a press release and a letter to stockholders announcing its financial results for the period ended March 31, 2024 and an update on recent corporate events. The press release and letter to stockholders are being furnished as Exhibits 99.1 and 99.2, respectively, to this Current Report on Form 8-K.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9.01. Financial Statements and Exhibits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Exhibits</w:t>
            </w:r>
          </w:p>
        </w:tc>
      </w:tr>
      <w:tr>
        <w:trPr/>
        <w:tc>
          <w:tcPr>
            <w:tcW w:w="3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color w:val="000000"/>
                  <w:sz w:val="20"/>
                </w:rPr>
                <w:t>Press Release issued by Harrow, Inc. on May 13, 2024</w:t>
              </w:r>
            </w:hyperlink>
          </w:p>
        </w:tc>
      </w:tr>
      <w:tr>
        <w:trPr/>
        <w:tc>
          <w:tcPr>
            <w:tcW w:w="3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color w:val="000000"/>
                  <w:sz w:val="20"/>
                </w:rPr>
                <w:t>Letter to Stockholders by Harrow, Inc. dated May 13, 2024</w:t>
              </w:r>
            </w:hyperlink>
          </w:p>
        </w:tc>
      </w:tr>
      <w:tr>
        <w:trPr/>
        <w:tc>
          <w:tcPr>
            <w:tcW w:w="3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Cover Page Interactive Data File (embedded within the Inline XBRL document)</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SIGNATURES</w:t>
      </w:r>
    </w:p>
    <w:p>
      <w:pPr>
        <w:pStyle w:val="TextBody"/>
        <w:bidi w:val="0"/>
        <w:spacing w:before="0" w:after="0"/>
        <w:ind w:left="0" w:right="0" w:firstLine="367"/>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color w:val="000000"/>
        </w:rPr>
      </w:pPr>
      <w:r>
        <w:rPr>
          <w:caps w:val="false"/>
          <w:smallCaps w:val="false"/>
          <w:color w:val="000000"/>
        </w:rPr>
        <w:t> </w:t>
      </w:r>
    </w:p>
    <w:tbl>
      <w:tblPr>
        <w:tblW w:w="4200" w:type="dxa"/>
        <w:jc w:val="left"/>
        <w:tblInd w:w="0" w:type="dxa"/>
        <w:tblLayout w:type="fixed"/>
        <w:tblCellMar>
          <w:top w:w="0" w:type="dxa"/>
          <w:left w:w="0" w:type="dxa"/>
          <w:bottom w:w="0" w:type="dxa"/>
          <w:right w:w="0" w:type="dxa"/>
        </w:tblCellMar>
      </w:tblPr>
      <w:tblGrid>
        <w:gridCol w:w="1760"/>
        <w:gridCol w:w="545"/>
        <w:gridCol w:w="1895"/>
      </w:tblGrid>
      <w:tr>
        <w:trPr/>
        <w:tc>
          <w:tcPr>
            <w:tcW w:w="17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tc>
      </w:tr>
      <w:tr>
        <w:trPr/>
        <w:tc>
          <w:tcPr>
            <w:tcW w:w="17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89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May 13,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 Andrew R. Boll</w:t>
            </w:r>
          </w:p>
        </w:tc>
      </w:tr>
      <w:tr>
        <w:trPr/>
        <w:tc>
          <w:tcPr>
            <w:tcW w:w="17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Andrew R. Boll</w:t>
            </w:r>
          </w:p>
        </w:tc>
      </w:tr>
      <w:tr>
        <w:trPr/>
        <w:tc>
          <w:tcPr>
            <w:tcW w:w="17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Financial Officer</w:t>
            </w:r>
          </w:p>
        </w:tc>
      </w:tr>
    </w:tbl>
    <w:p>
      <w:pPr>
        <w:pStyle w:val="TextBody"/>
        <w:bidi w:val="0"/>
        <w:spacing w:before="0" w:after="0"/>
        <w:ind w:left="0" w:right="0" w:firstLine="367"/>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right"/>
        <w:rPr>
          <w:caps w:val="false"/>
          <w:smallCaps w:val="false"/>
          <w:position w:val="-2"/>
          <w:sz w:val="19"/>
        </w:rPr>
      </w:pPr>
      <w:bookmarkStart w:id="29" w:name="ex99-1.htm"/>
      <w:bookmarkStart w:id="30" w:name="ksex991"/>
      <w:bookmarkEnd w:id="29"/>
      <w:bookmarkEnd w:id="30"/>
      <w:r>
        <w:rPr>
          <w:caps w:val="false"/>
          <w:smallCaps w:val="false"/>
          <w:position w:val="-2"/>
          <w:sz w:val="19"/>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First Quarter 2024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2024 and Recent Selected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$34.6 million, a 33% increase over the $26.1 million realized in the prior-year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confirmation from the Centers for Medicare &amp; Medicaid Services (CMS) on March 20 that IHEEZO is separately reimbursable for unilateral and bilateral in-office procedures, retroactive to January 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signed IHEEZO supply agreements with seven multi-practice strategic accounts.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Patent and Trademark Office recently granted new IHEEZO patent claims with an expiry through 2039.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Sequential month-over-month growth in VEVYE total prescriptions, new prescriptions, prescribers, and refills.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lives for VEVYE increased to 150+ million, up from 40+ million, as reported in March.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Passing all preliminary assays for recent TRIESENCE process performance qualification (PPQ) batch.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 revenues returned to sequential quarterly growth.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as of March 31, 2024, of $76.0 million (including Eton Pharmaceuticals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 Eton Pharmaceuticals common stock in April 2024, yielding $5.5 million in cash that can be deployed strategically to drive value in Harrow’s core ophthalmic pharmaceuticals business.</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 May 13, 2024 – Harrow (Nasdaq: HROW), a leading North American eyecare pharmaceutical company, announced results for the first quarter ended March 31, 2024. The Company also posted its first quarter Letter to Stockholders and corporate presentation to the “Investors” section of its website, harrow.com. The Company encourages all Harrow stockholders to review these documents, which provide additional details concerning the historical quarterly period and future expectations for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primary focus for 2024 remains on three key operational initiatives – building a formidable dry eye disease franchise, including successfully launching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continuing to build a retina franchise with 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stabilizing ImprimisRx and our Anterior Segment Products and returning them to a growth trajectory,” said Mark L. Baum, Chief Executive Officer of Harrow. “I am very pleased with the success we had in all three of these areas during the first quarter, and I remain optimistic for 2024 based on what we are seeing in the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Given the strength we see with both IHEEZO and VEVYE, the upcoming re-introduction of TRIESENCE to the ophthalmic market, and the significant momentum that we have built so far in 2024, we are well positioned to meet our 2024 revenue guidance of more than $180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2024 figures of merit:</w:t>
      </w:r>
    </w:p>
    <w:p>
      <w:pPr>
        <w:pStyle w:val="TextBody"/>
        <w:bidi w:val="0"/>
        <w:spacing w:before="0" w:after="0"/>
        <w:ind w:left="0" w:right="0" w:hanging="0"/>
        <w:jc w:val="both"/>
        <w:rPr>
          <w:caps w:val="false"/>
          <w:smallCaps w:val="false"/>
        </w:rPr>
      </w:pPr>
      <w:r>
        <w:rPr>
          <w:caps w:val="false"/>
          <w:smallCaps w:val="false"/>
        </w:rPr>
        <w:t> </w:t>
      </w:r>
    </w:p>
    <w:tbl>
      <w:tblPr>
        <w:tblW w:w="7917" w:type="dxa"/>
        <w:jc w:val="left"/>
        <w:tblInd w:w="0" w:type="dxa"/>
        <w:tblLayout w:type="fixed"/>
        <w:tblCellMar>
          <w:top w:w="0" w:type="dxa"/>
          <w:left w:w="0" w:type="dxa"/>
          <w:bottom w:w="0" w:type="dxa"/>
          <w:right w:w="0" w:type="dxa"/>
        </w:tblCellMar>
      </w:tblPr>
      <w:tblGrid>
        <w:gridCol w:w="3500"/>
        <w:gridCol w:w="60"/>
        <w:gridCol w:w="204"/>
        <w:gridCol w:w="1714"/>
        <w:gridCol w:w="313"/>
        <w:gridCol w:w="87"/>
        <w:gridCol w:w="204"/>
        <w:gridCol w:w="1605"/>
        <w:gridCol w:w="23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23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13"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714" w:type="dxa"/>
            <w:tcBorders/>
            <w:shd w:fill="CCEEFF" w:val="clear"/>
            <w:vAlign w:val="center"/>
          </w:tcPr>
          <w:p>
            <w:pPr>
              <w:pStyle w:val="TableContents"/>
              <w:bidi w:val="0"/>
              <w:spacing w:before="0" w:after="283"/>
              <w:jc w:val="right"/>
              <w:rPr/>
            </w:pPr>
            <w:r>
              <w:rPr/>
              <w:t>34,587,000</w:t>
            </w:r>
          </w:p>
        </w:tc>
        <w:tc>
          <w:tcPr>
            <w:tcW w:w="3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605" w:type="dxa"/>
            <w:tcBorders/>
            <w:shd w:fill="CCEEFF" w:val="clear"/>
            <w:vAlign w:val="center"/>
          </w:tcPr>
          <w:p>
            <w:pPr>
              <w:pStyle w:val="TableContents"/>
              <w:bidi w:val="0"/>
              <w:spacing w:before="0" w:after="283"/>
              <w:jc w:val="right"/>
              <w:rPr/>
            </w:pPr>
            <w:r>
              <w:rPr/>
              <w:t>26,103,000</w:t>
            </w:r>
          </w:p>
        </w:tc>
        <w:tc>
          <w:tcPr>
            <w:tcW w:w="23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69</w:t>
            </w:r>
          </w:p>
        </w:tc>
        <w:tc>
          <w:tcPr>
            <w:tcW w:w="313"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68</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76</w:t>
            </w:r>
          </w:p>
        </w:tc>
        <w:tc>
          <w:tcPr>
            <w:tcW w:w="313"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(13,565,000</w:t>
            </w:r>
          </w:p>
        </w:tc>
        <w:tc>
          <w:tcPr>
            <w:tcW w:w="313"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(6,643,000</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(9,789,000</w:t>
            </w:r>
          </w:p>
        </w:tc>
        <w:tc>
          <w:tcPr>
            <w:tcW w:w="313"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(1,042,000</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227,000</w:t>
            </w:r>
          </w:p>
        </w:tc>
        <w:tc>
          <w:tcPr>
            <w:tcW w:w="3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5,342,000</w:t>
            </w:r>
          </w:p>
        </w:tc>
        <w:tc>
          <w:tcPr>
            <w:tcW w:w="23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(0.38</w:t>
            </w:r>
          </w:p>
        </w:tc>
        <w:tc>
          <w:tcPr>
            <w:tcW w:w="313"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(0.22</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(0.28</w:t>
            </w:r>
          </w:p>
        </w:tc>
        <w:tc>
          <w:tcPr>
            <w:tcW w:w="313"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(0.03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tc>
      </w:tr>
    </w:tbl>
    <w:p>
      <w:pPr>
        <w:pStyle w:val="TextBody"/>
        <w:bidi w:val="0"/>
        <w:spacing w:before="0" w:after="0"/>
        <w:ind w:left="180" w:right="0" w:hanging="1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2024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conference call and live webcast tomorrow morning, Tuesday, May 14, 2024, at 8:00 a.m. Eastern Time to discuss the first quarter 2024 results and provide a business update. To participate in the call, see details below:</w:t>
      </w:r>
    </w:p>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28" w:type="dxa"/>
          <w:right w:w="0" w:type="dxa"/>
        </w:tblCellMar>
      </w:tblPr>
      <w:tblGrid>
        <w:gridCol w:w="3965"/>
        <w:gridCol w:w="60"/>
        <w:gridCol w:w="2585"/>
      </w:tblGrid>
      <w:tr>
        <w:trPr/>
        <w:tc>
          <w:tcPr>
            <w:tcW w:w="6610" w:type="dxa"/>
            <w:gridSpan w:val="3"/>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May 14, 2024</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a.m. Eastern time</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Dial-in: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1-833-953-2434 (U.S.)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1-412-317-5763 (International)</w:t>
            </w:r>
          </w:p>
        </w:tc>
      </w:tr>
      <w:tr>
        <w:trPr/>
        <w:tc>
          <w:tcPr>
            <w:tcW w:w="396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Replay Dial-in (Passcode 3093849):</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(telephonic replay through May 21,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FFFF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1-877-344-7529 (U.S.)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1-412-317-0088 (International)</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Webcast: </w:t>
            </w:r>
            <w:r>
              <w:rPr>
                <w:rFonts w:ascii="Times New Roman;Times;Serif" w:hAnsi="Times New Roman;Times;Serif"/>
                <w:b/>
                <w:i/>
                <w:caps w:val="false"/>
                <w:smallCaps w:val="false"/>
                <w:sz w:val="20"/>
              </w:rPr>
              <w:t>(online replay through May 14,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harrow.com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comprehensive portfolio of prescription and non-prescription pharmaceutical products accessible and affordable to millions of patients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2024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br/>
        <w:t>CONDENSED CONSOLIDATED BALANCE SHEETS</w:t>
      </w:r>
    </w:p>
    <w:tbl>
      <w:tblPr>
        <w:tblW w:w="10048" w:type="dxa"/>
        <w:jc w:val="left"/>
        <w:tblInd w:w="0" w:type="dxa"/>
        <w:tblLayout w:type="fixed"/>
        <w:tblCellMar>
          <w:top w:w="0" w:type="dxa"/>
          <w:left w:w="0" w:type="dxa"/>
          <w:bottom w:w="0" w:type="dxa"/>
          <w:right w:w="0" w:type="dxa"/>
        </w:tblCellMar>
      </w:tblPr>
      <w:tblGrid>
        <w:gridCol w:w="6230"/>
        <w:gridCol w:w="60"/>
        <w:gridCol w:w="165"/>
        <w:gridCol w:w="1444"/>
        <w:gridCol w:w="60"/>
        <w:gridCol w:w="60"/>
        <w:gridCol w:w="192"/>
        <w:gridCol w:w="1762"/>
        <w:gridCol w:w="75"/>
      </w:tblGrid>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center"/>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68,538,000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762" w:type="dxa"/>
            <w:tcBorders/>
            <w:shd w:fill="FFFFFF" w:val="clear"/>
            <w:vAlign w:val="center"/>
          </w:tcPr>
          <w:p>
            <w:pPr>
              <w:pStyle w:val="TableContents"/>
              <w:bidi w:val="0"/>
              <w:spacing w:before="0" w:after="283"/>
              <w:jc w:val="right"/>
              <w:rPr/>
            </w:pPr>
            <w:r>
              <w:rPr/>
              <w:t>74,085,000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12" w:space="0" w:color="000000"/>
            </w:tcBorders>
            <w:shd w:fill="CCEEFF" w:val="clear"/>
            <w:tcMar>
              <w:bottom w:w="28" w:type="dxa"/>
            </w:tcMar>
            <w:vAlign w:val="center"/>
          </w:tcPr>
          <w:p>
            <w:pPr>
              <w:pStyle w:val="TableContents"/>
              <w:bidi w:val="0"/>
              <w:spacing w:before="0" w:after="283"/>
              <w:jc w:val="right"/>
              <w:rPr/>
            </w:pPr>
            <w:r>
              <w:rPr/>
              <w:t>56,920,000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66,407,000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b/>
              </w:rPr>
            </w:pPr>
            <w:r>
              <w:rPr>
                <w:b/>
              </w:rPr>
              <w:t>125,458,000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b/>
              </w:rPr>
            </w:pPr>
            <w:r>
              <w:rPr>
                <w:b/>
              </w:rPr>
              <w:t xml:space="preserve">140,492,000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12" w:space="0" w:color="000000"/>
            </w:tcBorders>
            <w:shd w:fill="CCEEFF" w:val="clear"/>
            <w:tcMar>
              <w:bottom w:w="28" w:type="dxa"/>
            </w:tcMar>
            <w:vAlign w:val="center"/>
          </w:tcPr>
          <w:p>
            <w:pPr>
              <w:pStyle w:val="TableContents"/>
              <w:bidi w:val="0"/>
              <w:spacing w:before="0" w:after="283"/>
              <w:jc w:val="right"/>
              <w:rPr/>
            </w:pPr>
            <w:r>
              <w:rPr/>
              <w:t>170,078,000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single" w:sz="12" w:space="0" w:color="000000"/>
            </w:tcBorders>
            <w:shd w:fill="CCEEFF" w:val="clear"/>
            <w:tcMar>
              <w:bottom w:w="28" w:type="dxa"/>
            </w:tcMar>
            <w:vAlign w:val="center"/>
          </w:tcPr>
          <w:p>
            <w:pPr>
              <w:pStyle w:val="TableContents"/>
              <w:bidi w:val="0"/>
              <w:spacing w:before="0" w:after="283"/>
              <w:jc w:val="right"/>
              <w:rPr/>
            </w:pPr>
            <w:r>
              <w:rPr/>
              <w:t>172,682,000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295,536,000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 xml:space="preserve">313,174,000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b/>
              </w:rPr>
            </w:pPr>
            <w:r>
              <w:rPr>
                <w:b/>
              </w:rPr>
              <w:t xml:space="preserve">LIABILITIES AND STOCKHOLDERS’ EQUITY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b/>
              </w:rPr>
            </w:pPr>
            <w:r>
              <w:rPr>
                <w:b/>
              </w:rPr>
              <w:t>$</w:t>
            </w:r>
          </w:p>
        </w:tc>
        <w:tc>
          <w:tcPr>
            <w:tcW w:w="1444" w:type="dxa"/>
            <w:tcBorders/>
            <w:shd w:fill="CCEEFF" w:val="clear"/>
            <w:vAlign w:val="center"/>
          </w:tcPr>
          <w:p>
            <w:pPr>
              <w:pStyle w:val="TableContents"/>
              <w:bidi w:val="0"/>
              <w:spacing w:before="0" w:after="283"/>
              <w:jc w:val="right"/>
              <w:rPr>
                <w:b/>
              </w:rPr>
            </w:pPr>
            <w:r>
              <w:rPr>
                <w:b/>
              </w:rPr>
              <w:t>41,753,000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1762" w:type="dxa"/>
            <w:tcBorders/>
            <w:shd w:fill="CCEEFF" w:val="clear"/>
            <w:vAlign w:val="center"/>
          </w:tcPr>
          <w:p>
            <w:pPr>
              <w:pStyle w:val="TableContents"/>
              <w:bidi w:val="0"/>
              <w:spacing w:before="0" w:after="283"/>
              <w:jc w:val="right"/>
              <w:rPr>
                <w:b/>
              </w:rPr>
            </w:pPr>
            <w:r>
              <w:rPr>
                <w:b/>
              </w:rPr>
              <w:t xml:space="preserve">50,354,000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184,148,000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pPr>
            <w:r>
              <w:rPr/>
              <w:t>183,172,000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12" w:space="0" w:color="000000"/>
            </w:tcBorders>
            <w:shd w:fill="CCEEFF" w:val="clear"/>
            <w:tcMar>
              <w:bottom w:w="28" w:type="dxa"/>
            </w:tcMar>
            <w:vAlign w:val="center"/>
          </w:tcPr>
          <w:p>
            <w:pPr>
              <w:pStyle w:val="TableContents"/>
              <w:bidi w:val="0"/>
              <w:spacing w:before="0" w:after="283"/>
              <w:jc w:val="right"/>
              <w:rPr/>
            </w:pPr>
            <w:r>
              <w:rPr/>
              <w:t>9,429,000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single" w:sz="12" w:space="0" w:color="000000"/>
            </w:tcBorders>
            <w:shd w:fill="CCEEFF" w:val="clear"/>
            <w:tcMar>
              <w:bottom w:w="28" w:type="dxa"/>
            </w:tcMar>
            <w:vAlign w:val="center"/>
          </w:tcPr>
          <w:p>
            <w:pPr>
              <w:pStyle w:val="TableContents"/>
              <w:bidi w:val="0"/>
              <w:spacing w:before="0" w:after="283"/>
              <w:jc w:val="right"/>
              <w:rPr/>
            </w:pPr>
            <w:r>
              <w:rPr/>
              <w:t>9,237,000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b/>
              </w:rPr>
            </w:pPr>
            <w:r>
              <w:rPr>
                <w:b/>
              </w:rPr>
              <w:t>235,330,000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b/>
              </w:rPr>
            </w:pPr>
            <w:r>
              <w:rPr>
                <w:b/>
              </w:rPr>
              <w:t xml:space="preserve">242,763,000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60,206,000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70,411,000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295,536,000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 xml:space="preserve">313,174,000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9747" w:type="dxa"/>
        <w:jc w:val="left"/>
        <w:tblInd w:w="0" w:type="dxa"/>
        <w:tblLayout w:type="fixed"/>
        <w:tblCellMar>
          <w:top w:w="0" w:type="dxa"/>
          <w:left w:w="0" w:type="dxa"/>
          <w:bottom w:w="0" w:type="dxa"/>
          <w:right w:w="0" w:type="dxa"/>
        </w:tblCellMar>
      </w:tblPr>
      <w:tblGrid>
        <w:gridCol w:w="5450"/>
        <w:gridCol w:w="60"/>
        <w:gridCol w:w="213"/>
        <w:gridCol w:w="1790"/>
        <w:gridCol w:w="144"/>
        <w:gridCol w:w="91"/>
        <w:gridCol w:w="213"/>
        <w:gridCol w:w="1676"/>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r>
              <w:rPr/>
              <w:t>34,587,000</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pPr>
            <w:r>
              <w:rPr/>
              <w:t>26,103,000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90" w:type="dxa"/>
            <w:tcBorders>
              <w:bottom w:val="single" w:sz="12" w:space="0" w:color="000000"/>
            </w:tcBorders>
            <w:shd w:fill="FFFFFF" w:val="clear"/>
            <w:tcMar>
              <w:bottom w:w="28" w:type="dxa"/>
            </w:tcMar>
            <w:vAlign w:val="center"/>
          </w:tcPr>
          <w:p>
            <w:pPr>
              <w:pStyle w:val="TableContents"/>
              <w:bidi w:val="0"/>
              <w:spacing w:before="0" w:after="283"/>
              <w:jc w:val="right"/>
              <w:rPr/>
            </w:pPr>
            <w:r>
              <w:rPr/>
              <w:t>10,553,000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76" w:type="dxa"/>
            <w:tcBorders>
              <w:bottom w:val="single" w:sz="12" w:space="0" w:color="000000"/>
            </w:tcBorders>
            <w:shd w:fill="FFFFFF" w:val="clear"/>
            <w:tcMar>
              <w:bottom w:w="28" w:type="dxa"/>
            </w:tcMar>
            <w:vAlign w:val="center"/>
          </w:tcPr>
          <w:p>
            <w:pPr>
              <w:pStyle w:val="TableContents"/>
              <w:bidi w:val="0"/>
              <w:spacing w:before="0" w:after="283"/>
              <w:jc w:val="right"/>
              <w:rPr/>
            </w:pPr>
            <w:r>
              <w:rPr/>
              <w:t>8,271,000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b/>
              </w:rPr>
            </w:pPr>
            <w:r>
              <w:rPr>
                <w:b/>
              </w:rPr>
              <w:t>24,034,000</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b/>
              </w:rPr>
            </w:pPr>
            <w:r>
              <w:rPr>
                <w:b/>
              </w:rPr>
              <w:t>17,832,000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r>
              <w:rPr/>
              <w:t>28,813,000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15,888,000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90" w:type="dxa"/>
            <w:tcBorders>
              <w:bottom w:val="single" w:sz="12" w:space="0" w:color="000000"/>
            </w:tcBorders>
            <w:shd w:fill="CCEEFF" w:val="clear"/>
            <w:tcMar>
              <w:bottom w:w="28" w:type="dxa"/>
            </w:tcMar>
            <w:vAlign w:val="center"/>
          </w:tcPr>
          <w:p>
            <w:pPr>
              <w:pStyle w:val="TableContents"/>
              <w:bidi w:val="0"/>
              <w:spacing w:before="0" w:after="283"/>
              <w:jc w:val="right"/>
              <w:rPr/>
            </w:pPr>
            <w:r>
              <w:rPr/>
              <w:t>2,149,000</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6" w:type="dxa"/>
            <w:tcBorders>
              <w:bottom w:val="single" w:sz="12" w:space="0" w:color="000000"/>
            </w:tcBorders>
            <w:shd w:fill="CCEEFF" w:val="clear"/>
            <w:tcMar>
              <w:bottom w:w="28" w:type="dxa"/>
            </w:tcMar>
            <w:vAlign w:val="center"/>
          </w:tcPr>
          <w:p>
            <w:pPr>
              <w:pStyle w:val="TableContents"/>
              <w:bidi w:val="0"/>
              <w:spacing w:before="0" w:after="283"/>
              <w:jc w:val="right"/>
              <w:rPr/>
            </w:pPr>
            <w:r>
              <w:rPr/>
              <w:t>734,000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b/>
              </w:rPr>
            </w:pPr>
            <w:r>
              <w:rPr>
                <w:b/>
              </w:rPr>
              <w:t>30,962,000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b/>
              </w:rPr>
            </w:pPr>
            <w:r>
              <w:rPr>
                <w:b/>
              </w:rPr>
              <w:t>16,622,000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b/>
              </w:rPr>
            </w:pPr>
            <w:r>
              <w:rPr>
                <w:b/>
              </w:rPr>
              <w:t>(6,928,000</w:t>
            </w:r>
          </w:p>
        </w:tc>
        <w:tc>
          <w:tcPr>
            <w:tcW w:w="144"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b/>
              </w:rPr>
            </w:pPr>
            <w:r>
              <w:rPr>
                <w:b/>
              </w:rPr>
              <w:t>1,210,000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r>
              <w:rPr/>
              <w:t>(6,637,000</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(8,141,000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6" w:type="dxa"/>
            <w:tcBorders>
              <w:bottom w:val="single" w:sz="12" w:space="0" w:color="000000"/>
            </w:tcBorders>
            <w:shd w:fill="CCEEFF" w:val="clear"/>
            <w:tcMar>
              <w:bottom w:w="28" w:type="dxa"/>
            </w:tcMar>
            <w:vAlign w:val="center"/>
          </w:tcPr>
          <w:p>
            <w:pPr>
              <w:pStyle w:val="TableContents"/>
              <w:bidi w:val="0"/>
              <w:spacing w:before="0" w:after="283"/>
              <w:jc w:val="right"/>
              <w:rPr/>
            </w:pPr>
            <w:r>
              <w:rPr/>
              <w:t>288,000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(13,565,000</w:t>
            </w:r>
          </w:p>
        </w:tc>
        <w:tc>
          <w:tcPr>
            <w:tcW w:w="144" w:type="dxa"/>
            <w:tcBorders/>
            <w:shd w:fill="FFFFFF" w:val="clear"/>
            <w:vAlign w:val="center"/>
          </w:tcPr>
          <w:p>
            <w:pPr>
              <w:pStyle w:val="TableContents"/>
              <w:bidi w:val="0"/>
              <w:spacing w:before="0" w:after="283"/>
              <w:jc w:val="left"/>
              <w:rPr>
                <w:b/>
              </w:rPr>
            </w:pPr>
            <w:r>
              <w:rPr>
                <w:b/>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(6,643,000</w:t>
            </w:r>
          </w:p>
        </w:tc>
        <w:tc>
          <w:tcPr>
            <w:tcW w:w="110" w:type="dxa"/>
            <w:tcBorders/>
            <w:shd w:fill="FFFFFF" w:val="clear"/>
            <w:vAlign w:val="center"/>
          </w:tcPr>
          <w:p>
            <w:pPr>
              <w:pStyle w:val="TableContents"/>
              <w:bidi w:val="0"/>
              <w:spacing w:before="0" w:after="283"/>
              <w:jc w:val="left"/>
              <w:rPr>
                <w:b/>
              </w:rPr>
            </w:pPr>
            <w:r>
              <w:rPr>
                <w:b/>
              </w:rPr>
              <w:t>)</w:t>
            </w:r>
          </w:p>
        </w:tc>
      </w:tr>
      <w:tr>
        <w:trPr/>
        <w:tc>
          <w:tcPr>
            <w:tcW w:w="5450"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(0.38</w:t>
            </w:r>
          </w:p>
        </w:tc>
        <w:tc>
          <w:tcPr>
            <w:tcW w:w="144"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(0.22</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015"/>
        <w:gridCol w:w="60"/>
        <w:gridCol w:w="140"/>
        <w:gridCol w:w="1100"/>
        <w:gridCol w:w="95"/>
        <w:gridCol w:w="60"/>
        <w:gridCol w:w="140"/>
        <w:gridCol w:w="1295"/>
        <w:gridCol w:w="110"/>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(4,628,000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(8,214,000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(130,970,000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(809,000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62,162,000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(5,547,000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(77,022,000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74,085,000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68,538,000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19,248,000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2024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(income) loss,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875"/>
        <w:gridCol w:w="60"/>
        <w:gridCol w:w="216"/>
        <w:gridCol w:w="1820"/>
        <w:gridCol w:w="147"/>
        <w:gridCol w:w="92"/>
        <w:gridCol w:w="216"/>
        <w:gridCol w:w="1634"/>
        <w:gridCol w:w="26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2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6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820" w:type="dxa"/>
            <w:tcBorders/>
            <w:shd w:fill="CCEEFF" w:val="clear"/>
            <w:vAlign w:val="center"/>
          </w:tcPr>
          <w:p>
            <w:pPr>
              <w:pStyle w:val="TableContents"/>
              <w:bidi w:val="0"/>
              <w:spacing w:before="0" w:after="283"/>
              <w:jc w:val="right"/>
              <w:rPr/>
            </w:pPr>
            <w:r>
              <w:rPr/>
              <w:t>(13,565,000</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634" w:type="dxa"/>
            <w:tcBorders/>
            <w:shd w:fill="CCEEFF" w:val="clear"/>
            <w:vAlign w:val="center"/>
          </w:tcPr>
          <w:p>
            <w:pPr>
              <w:pStyle w:val="TableContents"/>
              <w:bidi w:val="0"/>
              <w:spacing w:before="0" w:after="283"/>
              <w:jc w:val="right"/>
              <w:rPr/>
            </w:pPr>
            <w:r>
              <w:rPr/>
              <w:t>(6,643,000</w:t>
            </w:r>
          </w:p>
        </w:tc>
        <w:tc>
          <w:tcPr>
            <w:tcW w:w="26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right"/>
              <w:rPr/>
            </w:pPr>
            <w:r>
              <w:rPr/>
              <w:t>4,169,000</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1,633,000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right"/>
              <w:rPr/>
            </w:pPr>
            <w:r>
              <w:rPr/>
              <w:t>5,415,000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4,747,000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(288,000</w:t>
            </w:r>
          </w:p>
        </w:tc>
        <w:tc>
          <w:tcPr>
            <w:tcW w:w="26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right"/>
              <w:rPr/>
            </w:pPr>
            <w:r>
              <w:rPr/>
              <w:t>432,000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292,000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right"/>
              <w:rPr/>
            </w:pPr>
            <w:r>
              <w:rPr/>
              <w:t>2,554,000</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2,207,000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Investment loss (income), net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right"/>
              <w:rPr/>
            </w:pPr>
            <w:r>
              <w:rPr/>
              <w:t>1,248,000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(2,042,000</w:t>
            </w:r>
          </w:p>
        </w:tc>
        <w:tc>
          <w:tcPr>
            <w:tcW w:w="26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0" w:type="dxa"/>
            <w:tcBorders>
              <w:bottom w:val="single" w:sz="12" w:space="0" w:color="000000"/>
            </w:tcBorders>
            <w:shd w:fill="FFFFFF" w:val="clear"/>
            <w:tcMar>
              <w:bottom w:w="28" w:type="dxa"/>
            </w:tcMar>
            <w:vAlign w:val="center"/>
          </w:tcPr>
          <w:p>
            <w:pPr>
              <w:pStyle w:val="TableContents"/>
              <w:bidi w:val="0"/>
              <w:spacing w:before="0" w:after="283"/>
              <w:jc w:val="right"/>
              <w:rPr/>
            </w:pPr>
            <w:r>
              <w:rPr/>
              <w:t>(26,000</w:t>
            </w:r>
          </w:p>
        </w:tc>
        <w:tc>
          <w:tcPr>
            <w:tcW w:w="147"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12" w:space="0" w:color="000000"/>
            </w:tcBorders>
            <w:shd w:fill="FFFFFF" w:val="clear"/>
            <w:tcMar>
              <w:bottom w:w="28" w:type="dxa"/>
            </w:tcMar>
            <w:vAlign w:val="center"/>
          </w:tcPr>
          <w:p>
            <w:pPr>
              <w:pStyle w:val="TableContents"/>
              <w:bidi w:val="0"/>
              <w:spacing w:before="0" w:after="283"/>
              <w:jc w:val="right"/>
              <w:rPr/>
            </w:pPr>
            <w:r>
              <w:rPr/>
              <w:t>5,436,000</w:t>
            </w:r>
          </w:p>
        </w:tc>
        <w:tc>
          <w:tcPr>
            <w:tcW w:w="260"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8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227,000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5,342,000</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2024 Financial Results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w:t>
            </w:r>
          </w:p>
        </w:tc>
      </w:tr>
    </w:tbl>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5"/>
        <w:gridCol w:w="60"/>
        <w:gridCol w:w="140"/>
        <w:gridCol w:w="1175"/>
        <w:gridCol w:w="215"/>
        <w:gridCol w:w="60"/>
        <w:gridCol w:w="249"/>
        <w:gridCol w:w="1749"/>
        <w:gridCol w:w="60"/>
        <w:gridCol w:w="60"/>
        <w:gridCol w:w="140"/>
        <w:gridCol w:w="980"/>
        <w:gridCol w:w="60"/>
        <w:gridCol w:w="60"/>
        <w:gridCol w:w="140"/>
        <w:gridCol w:w="755"/>
        <w:gridCol w:w="95"/>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March 31, 2024</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24,034,000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1749"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26,174,000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(6,928,000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2,554,000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(4,374,000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75"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(0.28</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75"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35,469,638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35,469,638</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44"/>
        <w:gridCol w:w="60"/>
        <w:gridCol w:w="140"/>
        <w:gridCol w:w="1100"/>
        <w:gridCol w:w="215"/>
        <w:gridCol w:w="60"/>
        <w:gridCol w:w="212"/>
        <w:gridCol w:w="1493"/>
        <w:gridCol w:w="60"/>
        <w:gridCol w:w="60"/>
        <w:gridCol w:w="140"/>
        <w:gridCol w:w="1055"/>
        <w:gridCol w:w="95"/>
        <w:gridCol w:w="60"/>
        <w:gridCol w:w="140"/>
        <w:gridCol w:w="98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March 31, 2023</w:t>
            </w:r>
          </w:p>
        </w:tc>
      </w:tr>
      <w:tr>
        <w:trPr/>
        <w:tc>
          <w:tcPr>
            <w:tcW w:w="27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5" w:type="dxa"/>
            <w:gridSpan w:val="2"/>
            <w:tcBorders>
              <w:bottom w:val="single" w:sz="12" w:space="0" w:color="000000"/>
            </w:tcBorders>
            <w:vAlign w:val="center"/>
          </w:tcPr>
          <w:p>
            <w:pPr>
              <w:pStyle w:val="TableContents"/>
              <w:bidi w:val="0"/>
              <w:spacing w:before="0" w:after="283"/>
              <w:jc w:val="center"/>
              <w:rPr>
                <w:b/>
              </w:rPr>
            </w:pPr>
            <w:r>
              <w:rPr>
                <w:b/>
              </w:rPr>
              <w:t xml:space="preserve">Amortization </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744"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17,832,000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493" w:type="dxa"/>
            <w:tcBorders/>
            <w:shd w:fill="CCEEFF" w:val="clear"/>
            <w:tcMar>
              <w:bottom w:w="0" w:type="dxa"/>
            </w:tcMar>
            <w:vAlign w:val="center"/>
          </w:tcPr>
          <w:p>
            <w:pPr>
              <w:pStyle w:val="TableContents"/>
              <w:bidi w:val="0"/>
              <w:spacing w:before="0" w:after="283"/>
              <w:jc w:val="right"/>
              <w:rPr/>
            </w:pPr>
            <w:r>
              <w:rPr/>
              <w:t>2,045,000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19,877,000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44"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44"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1,210,000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pPr>
            <w:r>
              <w:rPr/>
              <w:t>2,207,000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3,417,000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44"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(6,931,000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3" w:type="dxa"/>
            <w:tcBorders/>
            <w:shd w:fill="FFFFFF" w:val="clear"/>
            <w:tcMar>
              <w:bottom w:w="0" w:type="dxa"/>
            </w:tcMar>
            <w:vAlign w:val="center"/>
          </w:tcPr>
          <w:p>
            <w:pPr>
              <w:pStyle w:val="TableContents"/>
              <w:bidi w:val="0"/>
              <w:spacing w:before="0" w:after="283"/>
              <w:jc w:val="right"/>
              <w:rPr/>
            </w:pPr>
            <w:r>
              <w:rPr/>
              <w:t>2,207,000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(2,042,000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5,436,000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(1,330,000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44" w:type="dxa"/>
            <w:tcBorders/>
            <w:shd w:fill="CCEEFF" w:val="clear"/>
            <w:tcMar>
              <w:bottom w:w="0" w:type="dxa"/>
            </w:tcMar>
            <w:vAlign w:val="center"/>
          </w:tcPr>
          <w:p>
            <w:pPr>
              <w:pStyle w:val="TableContents"/>
              <w:bidi w:val="0"/>
              <w:spacing w:before="0" w:after="283"/>
              <w:jc w:val="left"/>
              <w:rPr/>
            </w:pPr>
            <w:r>
              <w:rPr/>
              <w:t>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288,000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44"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(6,643,000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3" w:type="dxa"/>
            <w:tcBorders/>
            <w:shd w:fill="FFFFFF" w:val="clear"/>
            <w:tcMar>
              <w:bottom w:w="0" w:type="dxa"/>
            </w:tcMar>
            <w:vAlign w:val="center"/>
          </w:tcPr>
          <w:p>
            <w:pPr>
              <w:pStyle w:val="TableContents"/>
              <w:bidi w:val="0"/>
              <w:spacing w:before="0" w:after="283"/>
              <w:jc w:val="right"/>
              <w:rPr/>
            </w:pPr>
            <w:r>
              <w:rPr/>
              <w:t>2,207,000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(2,042,000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5,436,000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(1,042,000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(0.03</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44"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30,289,730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30,289,730</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Consolidated Financial Statements included in the Company’s Quarterly Report on Form 10-Q for the quarter ended March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1" w:name="ex99-2.htm"/>
      <w:bookmarkStart w:id="32" w:name="ksex992"/>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marks the beginning of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week of 2024 and the 134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into the second year of Harrow’s current Five-Year Strategic Plan. This year remains focused on three key operational initiatives: (1) building a formidable dry eye disease franchise, including successfully launching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(2) continuing to lay the foundation for Harrow’s retina franchise with 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(3) stabilizing ImprimisRx and our recently acquired Anterior Segment Products and returning them to a growth trajectory. I will discuss these key initiatives in more detail, along with commentary on a few other items, providing an overview of our progress during the first third of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I jump into the above subjects, I want to touch on (a) the Change Healthcare (Change) cyberattack and 2024 Guidance and (b) Greg DiPasquale joining Harrow as Senior Vice President, Head of Commercial.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 Healthcare Cyberattack and 2024 Guidance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assured that our team works diligently – in all respects – to ensure the stability of our business. However, external influences are sometimes beyond our control, as was evident during the Change Healthcare cyberattack, which I discussed briefly in my last Letter to Stockholders. Despite the impact of the Change Healthcare cyberattack in the first quarter of 2024 on the entire healthcare industry, including Harrow, based on the recovery of revenues we saw beginning in March and continuing into April, we are reaffirming our 2024 revenue guidance of at least $180 million. We are expecting revenue growth throughout 2024, with the back half of the year being stronger than the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Greg DiPasquale Joins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morning, we announced that Greg DiPasquale joined Harrow as Senior Vice President, Head of Commercial. Effective today, Greg is managing all sales, marketing, and sales operations activities for our branded ophthalmic pharmaceuticals portfolio. Greg’s charge is simple: </w:t>
      </w:r>
      <w:r>
        <w:rPr>
          <w:rFonts w:ascii="Times New Roman;Times;Serif" w:hAnsi="Times New Roman;Times;Serif"/>
          <w:b w:val="false"/>
          <w:i/>
          <w:caps w:val="false"/>
          <w:smallCaps w:val="false"/>
          <w:sz w:val="20"/>
        </w:rPr>
        <w:t>grow revenues from Harrow’s branded ophthalmic pharmaceuticals products and on the expense side, connect an attractive return to all commercial investments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consider Greg’s background, in particular his leadership experience and remarkable success in retina, optometry, and eyecare in general, you see why we believe his skills are such a good fit for Harrow – especially at the present stage of our development. Greg joined us after serving as a senior commercial leader at Regeneron Pharmaceuticals, where his $6B annual revenue portfolio included responsibility for national sales for the two largest indications for </w:t>
      </w:r>
      <w:r>
        <w:rPr>
          <w:rFonts w:ascii="Times New Roman;Times;Serif" w:hAnsi="Times New Roman;Times;Serif"/>
          <w:b w:val="false"/>
          <w:i w:val="false"/>
          <w:caps/>
          <w:sz w:val="20"/>
        </w:rPr>
        <w:t>Eylea</w:t>
      </w:r>
      <w:r>
        <w:rPr>
          <w:rFonts w:ascii="Times New Roman;Times;Serif" w:hAnsi="Times New Roman;Times;Serif"/>
          <w:b w:val="false"/>
          <w:i w:val="false"/>
          <w:caps/>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Eylea</w:t>
      </w:r>
      <w:r>
        <w:rPr>
          <w:rFonts w:ascii="Times New Roman;Times;Serif" w:hAnsi="Times New Roman;Times;Serif"/>
          <w:b w:val="false"/>
          <w:i w:val="false"/>
          <w:caps/>
          <w:position w:val="7"/>
          <w:sz w:val="16"/>
          <w:sz w:val="20"/>
        </w:rPr>
        <w:t>®</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HD, as well as all national strategic accounts. In addition to Regeneron, Greg has had an impressive 30+ year career in executive management positions with such industry giants as Essilor, Novartis’ Retina Division, Zeiss, and Bausch + Lomb. I am grateful that Greg chose to leave a big company and an important job to help Harrow, with the rest of our team, take our business to the next level.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 – the Cornerstone of Harrow’s Dry Eye Disease Franchise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is the cornerstone product in our dry eye disease franchise. Our small but mighty VEVYE sales team continues to exceed our expectations. Slide 13 of our updated corporate presentation includes our best current data on total prescriptions (TRx), shipped prescriptions, refills, prescribers, and insurance coverage. To date, our internal average sales price (ASP) targets are also on track. (For those of you who are unfamiliar with ASP, just know that it is the amount of money that Harrow receives for a bottle of VEVYE, net of rebates, discounts, distribution fees, and other costs.) Patient access to VEVYE is a great story thanks to the hard work of our Market Access Team, under the leadership of Rob Philo. Covered lives for VEVYE now exceeds 150 million, up from the 41 million figure we reported in our last Letter to Stockholders. Refill demand for VEVYE is now entering the fifth refill cycle – and gaining momentum. Our strong belief that VEVYE is on a trajectory to become a top-tier branded chronic dry eye disease product is based on the numbers, which continue to grow as more Americans benefit from VEVYE.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stockholders have asked why we haven’t invested more and expanded the VEVYE commercial team. The answer is that Harrow is committed to growing VEVYE in a financially sound way, investing in sales personnel as (a) our ASP hits our internal target and (b) we attain a critical mass of insurance coverage. Our team is working hard to reach our ASP and coverage goals, and when we have sufficient positive directional information, you’ll see more posts on LinkedIn and other recruiting sites as we beef up the VEVYE sales force and seek to advance VEVYE’s market share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Harrow’s Retina Franchise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current appeal to retina specialists in the eyecare professional (ECP) community primarily centers around two fantastic products: (i) IHEEZO, a novel topical anesthetic gel that is broadly indicated for ophthalmic anesthesia, and specifically, anesthetizing the eye during office-based intravitreal injection (IVI) procedures, and (ii) TRIESENCE, the only indicated product to visualize the vitreous during vitrectomy, which is also labeled for the treatment of posterior uveitis and other posterior segment indicated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IHEEZO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IHEEZO commercial team has been successful in introducing the many clinical benefits of IHEEZO to U.S. ophthalmologists, now they can also communicate another unique feature of IHEEZO: </w:t>
      </w:r>
      <w:r>
        <w:rPr>
          <w:rFonts w:ascii="Times New Roman;Times;Serif" w:hAnsi="Times New Roman;Times;Serif"/>
          <w:b w:val="false"/>
          <w:i/>
          <w:caps w:val="false"/>
          <w:smallCaps w:val="false"/>
          <w:sz w:val="20"/>
        </w:rPr>
        <w:t>it is the only ophthalmic anesthetic in the U.S. market that is separately reimbursable for unilateral and bilateral same-day procedures</w:t>
      </w:r>
      <w:r>
        <w:rPr>
          <w:rFonts w:ascii="Times New Roman;Times;Serif" w:hAnsi="Times New Roman;Times;Serif"/>
          <w:b w:val="false"/>
          <w:i w:val="false"/>
          <w:caps w:val="false"/>
          <w:smallCaps w:val="false"/>
          <w:sz w:val="20"/>
        </w:rPr>
        <w:t xml:space="preserve">. On March 20, 2024, we received communication from the Centers for Medicare &amp; Medicaid Services (CMS) confirming separate reimbursement for IHEEZO in the physician’s office setting of care. This confirmatory communication from CMS was important for our retina offering because virtually all intravitreal injections for wet aged-related macular degeneration (wet-AMD) and geographic atrophy (GA) occur in the physician’s office setting of care. More recently, on April 12, 2024, the American Academy of Ophthalmology (AAO) posted to its website a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xml:space="preserve"> confirming that IHEEZO had been added to the CMS ASP pricing file and that it would receive separate payment in the office setting. Lastly, Harrow Stockholders should know that on July 1, 2024, we expect CMS to formally publish that bilateral case use of IHEEZO will be reimbursed retroactive to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supported by these recent developments, we’ve been able to execute IHEEZO supply contracts with seven (7) large multi-practice organizations or “strategic accounts.” These organizations, in the aggregate, are responsible for over 450,000 annual cataract surgeries and over 1.1 million IVIs each year, not including other relevant procedures for IHEEZO use, such as selective laser trabeculoplasties (SLTs), YAG capsulotomy procedures, or foreign body removals. Signing these supply agreements (and others in the works) is a critical advancement in our commercial strategy, as is order “pull-through” at the practice level to ensure they experience IHEEZO’s many benefits. We are pleased to now see orders coming in from these new supply agreements, and we expect pull-through to accelerate during 2024 and beyond. Strategic account relationships will be a focus of Greg DiPasquale’s first few months on the job.</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team is doing a much better job making IHEEZO accessible to interested accounts—from a customers’ working capital perspective—by providing reasonable terms to our customers. This is another way we are reducing barriers for customers to enjoy the benefits of IHEEZO without damaging our longer-term ASP targets and profitability goals for 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last item of note is that the U.S. Patent and Trademark Office recently granted a new set of claims covering IHEEZO. This new patent has an expiration date of 2039.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TRIESENCE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testing of the commercial-scale process performance qualification (“PPQ”) batch of TRIESENCE, produced by our manufacturing partner during the week of April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is nearing completion. The testing protocol is comprehensive and complex and includes drug content assay, content uniformity, sterility, endotoxin content, osmolality, viscosity, pH, and particle size distribution tests. To date, this batch has passed all preliminary release parameters, and we anticipate having final results for all release parameters by the end of May. If we remain in specification with this PPQ batch, we intend to communicate our plan for the remaining elements of the TRIESENCE re-launch program during the current calendar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ImprimisRx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addition of Greg DiPasquale to the Harrow team to oversee our branded business, John Saharek, ImprimisRx’s President and CEO, will be focused on the day-to-day management of our compounding business, further stabilizing this (now) growing, profitable and cash generating business and allowing us to take advantage of our position as the national leader in providing prescription compounded ophthalmic pharmaceutical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Financially, in the last Letter to Stockholders, I reported that our ImprimisRx compounding business was “back on track,” producing revenues at or above forecasts, and is on target to achieve the low double-digit growth rate of the last several years. </w:t>
      </w:r>
      <w:r>
        <w:rPr>
          <w:rFonts w:ascii="Times New Roman;Times;Serif" w:hAnsi="Times New Roman;Times;Serif"/>
          <w:b w:val="false"/>
          <w:i/>
          <w:caps w:val="false"/>
          <w:smallCaps w:val="false"/>
          <w:sz w:val="20"/>
        </w:rPr>
        <w:t>This remains the case.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Anterior Segment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our VEVYE, IHEEZO, TRIESENCE, and ImprimisRx business, as a Harrow Stockholder, you also own 14 wonderful branded ophthalmic products, all of which are represented on page 5 of our updated corporate presentation. We own anti-infectives, steroids, non-steroidal anti-inflammatories (NSAIDs); a fantastic product called Zerviate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that treats ocular itch from allergies; a pair of products that reduce intraocular eye pressure; Verkazia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that treats a rare ophthalmic condition called vernal keratoconjunctivitis; and, a terrific anti-fungal product called Natacyn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(which we have global rights to) used to treat fungal versions of blepharitis, conjunctivitis, and keratitis. (By the way, we recently executed our first outside the U.S. deal for Natacyn – with China’s </w:t>
      </w:r>
      <w:r>
        <w:rPr>
          <w:rFonts w:ascii="Times New Roman;Times;Serif" w:hAnsi="Times New Roman;Times;Serif"/>
          <w:b w:val="false"/>
          <w:i w:val="false"/>
          <w:caps w:val="false"/>
          <w:smallCaps w:val="false"/>
          <w:sz w:val="20"/>
          <w:u w:val="single"/>
        </w:rPr>
        <w:t>Ocumension</w:t>
      </w:r>
      <w:r>
        <w:rPr>
          <w:rFonts w:ascii="Times New Roman;Times;Serif" w:hAnsi="Times New Roman;Times;Serif"/>
          <w:b w:val="false"/>
          <w:i w:val="false"/>
          <w:caps w:val="false"/>
          <w:smallCaps w:val="false"/>
          <w:sz w:val="20"/>
        </w:rPr>
        <w:t xml:space="preserve"> – to pursue approval and for Harrow to provide a long-term supply of Natacyn for the China, Hong Kong, Taiwan, and Macau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love owning each of our Anterior Segment Products – because they act as a lodestone for the Harrow brand. A recent experience I had crystallizes this point: As many of you know, I try to get on the road with our sales team at least once a month – talking to doctors and their staff, observing surgery, and even talking to patients when appropriate. A few weeks ago, I was in an influential optometrist’s office in New Jersey discussing VEVYE. When I walked in, although he was prescribing VEVYE, he had no idea who Harrow was. </w:t>
      </w:r>
      <w:r>
        <w:rPr>
          <w:rFonts w:ascii="Times New Roman;Times;Serif" w:hAnsi="Times New Roman;Times;Serif"/>
          <w:b w:val="false"/>
          <w:i w:val="false"/>
          <w:caps w:val="false"/>
          <w:smallCaps w:val="false"/>
          <w:sz w:val="20"/>
          <w:u w:val="single"/>
        </w:rPr>
        <w:t>None</w:t>
      </w:r>
      <w:r>
        <w:rPr>
          <w:rFonts w:ascii="Times New Roman;Times;Serif" w:hAnsi="Times New Roman;Times;Serif"/>
          <w:b w:val="false"/>
          <w:i w:val="false"/>
          <w:caps w:val="false"/>
          <w:smallCaps w:val="false"/>
          <w:sz w:val="20"/>
        </w:rPr>
        <w:t>. When he asked me to tell him about Harrow, I pointed to products that were scattered in various corners of his office – Verkazia, Tobradex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ST, Flarex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FreshKote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Vigamox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Ilevro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 told him these (and others) were all Harrow products – that we are (a) 100% eyecare, (b) 100% pharmaceuticals, and (c) dedicated to his patients’ access to those medicines and others. When he learned about the breadth of our portfolio, he was impressed. (He was even more impressed with the results he was seeing from VEVYE patients!)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making solid commercial progress with our Anterior Segment Products and should make a nice long-term return on these products. The key is to be a good steward of these important products – ensuring access and adequate inventory for our prescriber customers. I believe that by providing our customers with a broad branded offering, we are making a lot of ECP friends, ensuring they have access to these high-trust workhorse products, ECPs use daily to help preserve the gift of sight for their patients.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and Royalties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has non-controlling equity positions in </w:t>
      </w:r>
      <w:r>
        <w:rPr>
          <w:rFonts w:ascii="Times New Roman;Times;Serif" w:hAnsi="Times New Roman;Times;Serif"/>
          <w:b w:val="false"/>
          <w:i w:val="false"/>
          <w:caps w:val="false"/>
          <w:smallCaps w:val="false"/>
          <w:sz w:val="20"/>
          <w:u w:val="single"/>
        </w:rPr>
        <w:t>Melt Pharmaceuticals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Surface Ophthalmics</w:t>
      </w:r>
      <w:r>
        <w:rPr>
          <w:rFonts w:ascii="Times New Roman;Times;Serif" w:hAnsi="Times New Roman;Times;Serif"/>
          <w:b w:val="false"/>
          <w:i w:val="false"/>
          <w:caps w:val="false"/>
          <w:smallCaps w:val="false"/>
          <w:sz w:val="20"/>
        </w:rPr>
        <w:t>, two companies founded as Harrow subsidiaries before being deconsolidated into independent and separately-managed companies. Until recently, Harrow owned an equity interest in a third such company, Eton Pharmaceuticals. However, given the lack of strategic alignment with Eton, Harrow opted to divest its nearly two million shares through a block sale, yielding approximately $5.5 million in cash. This cash can now be deployed strategically to drive value in Harrow’s core ophthalmic pharmaceuticals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remain bullish on Melt Pharmaceuticals, a clinical-stage pharmaceutical company focused on developing proprietary non-opioid, non-IV, sedation therapeutics for medical procedures in the hospital, outpatient, and in-office settings. Melt intends to seek regulatory approval through the FDA’s 505(b)(2) regulatory pathway for its patented small-molecule product candidates. Melt’s core intellectual property is the subject of multiple granted patents in North America, Europe, Asia, and the Middle East. Melt recently announced the closing of a $24 million Series B Preferred Stock financing to support its Phase 3 program through the NDA stage for its lead drug candidate, MELT-300, the promise of which is depicted in this </w:t>
      </w:r>
      <w:r>
        <w:rPr>
          <w:rFonts w:ascii="Times New Roman;Times;Serif" w:hAnsi="Times New Roman;Times;Serif"/>
          <w:b w:val="false"/>
          <w:i w:val="false"/>
          <w:caps w:val="false"/>
          <w:smallCaps w:val="false"/>
          <w:sz w:val="20"/>
          <w:u w:val="single"/>
        </w:rPr>
        <w:t>video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Melt expects to begin its Phase 3 study for MELT-300 in the month of May.</w:t>
      </w:r>
      <w:r>
        <w:rPr>
          <w:rFonts w:ascii="Times New Roman;Times;Serif" w:hAnsi="Times New Roman;Times;Serif"/>
          <w:b w:val="false"/>
          <w:i w:val="false"/>
          <w:caps w:val="false"/>
          <w:smallCaps w:val="false"/>
          <w:sz w:val="20"/>
        </w:rPr>
        <w:t xml:space="preserve"> Harrow currently owns approximately 46% of Melt’s equity interests and a 5% royalty interest in MELT-300.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temporary challenges of the Change Healthcare cyberattack, I am exceptionally proud of the strong performance across our portfolio. VEVYE and IHEEZO are beating internal expectations and will drive revenue and profit growth for many years. So far, we seem to be gaining momentum into the second quarter. I am very excited about the recent progress with TRIESENCE and am looking forward to communicating more about our plans for TRIESENCE in the near term. ImprimisRx is rolling. Our Anterior Segment Products are stable, with early signs of demand strengthening for certain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more clarity than ever about the potential for 2024, I remain upbeat about Harrow. Supported by an experienced and capable team, the management team and I are 100% focused on wringing as much value as possible from the business we’ve built over the past 10+ years. With the support of the Harrow Family, including several new key hires, we are enthusiastic about our Five-Year Strategic Plan and Harrow evolving into a North American ophthalmic pharmaceuticals market leader.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wonderful Summer.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875"/>
        <w:gridCol w:w="60"/>
        <w:gridCol w:w="860"/>
        <w:gridCol w:w="60"/>
        <w:gridCol w:w="860"/>
        <w:gridCol w:w="60"/>
        <w:gridCol w:w="860"/>
        <w:gridCol w:w="60"/>
        <w:gridCol w:w="875"/>
      </w:tblGrid>
      <w:tr>
        <w:trPr/>
        <w:tc>
          <w:tcPr>
            <w:tcW w:w="875" w:type="dxa"/>
            <w:tcBorders>
              <w:bottom w:val="single" w:sz="12" w:space="0" w:color="000000"/>
            </w:tcBorders>
            <w:shd w:fill="FFFFFF" w:val="cle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shd w:fill="FFFFFF" w:val="cle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shd w:fill="FFFFFF" w:val="clear"/>
            <w:vAlign w:val="center"/>
          </w:tcPr>
          <w:p>
            <w:pPr>
              <w:pStyle w:val="TableContents"/>
              <w:bidi w:val="0"/>
              <w:spacing w:before="0" w:after="283"/>
              <w:jc w:val="center"/>
              <w:rPr/>
            </w:pPr>
            <w:r>
              <w:rPr/>
              <w:t>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shd w:fill="FFFFFF" w:val="clear"/>
            <w:vAlign w:val="center"/>
          </w:tcPr>
          <w:p>
            <w:pPr>
              <w:pStyle w:val="TableContents"/>
              <w:bidi w:val="0"/>
              <w:spacing w:before="0" w:after="283"/>
              <w:jc w:val="center"/>
              <w:rPr/>
            </w:pPr>
            <w:r>
              <w:rPr/>
              <w:t>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shd w:fill="FFFFFF" w:val="clear"/>
            <w:vAlign w:val="center"/>
          </w:tcPr>
          <w:p>
            <w:pPr>
              <w:pStyle w:val="TableContents"/>
              <w:bidi w:val="0"/>
              <w:spacing w:before="0" w:after="283"/>
              <w:jc w:val="center"/>
              <w:rPr/>
            </w:pPr>
            <w:r>
              <w:rPr/>
              <w:t>2019</w:t>
            </w:r>
          </w:p>
        </w:tc>
      </w:tr>
      <w:tr>
        <w:trPr/>
        <w:tc>
          <w:tcPr>
            <w:tcW w:w="875" w:type="dxa"/>
            <w:tcBorders/>
            <w:shd w:fill="CCEEFF" w:val="clear"/>
            <w:tcMar>
              <w:bottom w:w="0" w:type="dxa"/>
            </w:tcMar>
            <w:vAlign w:val="center"/>
          </w:tcPr>
          <w:p>
            <w:pPr>
              <w:pStyle w:val="TableContents"/>
              <w:bidi w:val="0"/>
              <w:spacing w:before="0" w:after="283"/>
              <w:jc w:val="center"/>
              <w:rPr>
                <w:u w:val="single"/>
              </w:rPr>
            </w:pPr>
            <w:r>
              <w:rPr>
                <w:u w:val="single"/>
              </w:rPr>
              <w:t>4Q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4Q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u w:val="single"/>
              </w:rPr>
            </w:pPr>
            <w:r>
              <w:rPr>
                <w:u w:val="single"/>
              </w:rPr>
              <w:t>4Q 2019</w:t>
            </w:r>
          </w:p>
        </w:tc>
      </w:tr>
      <w:tr>
        <w:trPr/>
        <w:tc>
          <w:tcPr>
            <w:tcW w:w="875" w:type="dxa"/>
            <w:tcBorders/>
            <w:shd w:fill="FFFFFF" w:val="clear"/>
            <w:tcMar>
              <w:bottom w:w="0" w:type="dxa"/>
            </w:tcMar>
            <w:vAlign w:val="center"/>
          </w:tcPr>
          <w:p>
            <w:pPr>
              <w:pStyle w:val="TableContents"/>
              <w:bidi w:val="0"/>
              <w:spacing w:before="0" w:after="283"/>
              <w:jc w:val="center"/>
              <w:rPr>
                <w:u w:val="single"/>
              </w:rPr>
            </w:pPr>
            <w:r>
              <w:rPr>
                <w:u w:val="single"/>
              </w:rPr>
              <w:t>3Q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3Q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u w:val="single"/>
              </w:rPr>
            </w:pPr>
            <w:r>
              <w:rPr>
                <w:u w:val="single"/>
              </w:rPr>
              <w:t>3Q 2019</w:t>
            </w:r>
          </w:p>
        </w:tc>
      </w:tr>
      <w:tr>
        <w:trPr/>
        <w:tc>
          <w:tcPr>
            <w:tcW w:w="875" w:type="dxa"/>
            <w:tcBorders/>
            <w:shd w:fill="CCEEFF" w:val="clear"/>
            <w:tcMar>
              <w:bottom w:w="0" w:type="dxa"/>
            </w:tcMar>
            <w:vAlign w:val="center"/>
          </w:tcPr>
          <w:p>
            <w:pPr>
              <w:pStyle w:val="TableContents"/>
              <w:bidi w:val="0"/>
              <w:spacing w:before="0" w:after="283"/>
              <w:jc w:val="center"/>
              <w:rPr>
                <w:u w:val="single"/>
              </w:rPr>
            </w:pPr>
            <w:r>
              <w:rPr>
                <w:u w:val="single"/>
              </w:rPr>
              <w:t>2Q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u w:val="single"/>
              </w:rPr>
            </w:pPr>
            <w:r>
              <w:rPr>
                <w:u w:val="single"/>
              </w:rPr>
              <w:t>2Q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r>
      <w:tr>
        <w:trPr/>
        <w:tc>
          <w:tcPr>
            <w:tcW w:w="875" w:type="dxa"/>
            <w:tcBorders/>
            <w:shd w:fill="FFFFFF" w:val="clear"/>
            <w:tcMar>
              <w:bottom w:w="0" w:type="dxa"/>
            </w:tcMar>
            <w:vAlign w:val="center"/>
          </w:tcPr>
          <w:p>
            <w:pPr>
              <w:pStyle w:val="TableContents"/>
              <w:bidi w:val="0"/>
              <w:spacing w:before="0" w:after="283"/>
              <w:jc w:val="center"/>
              <w:rPr>
                <w:u w:val="single"/>
              </w:rPr>
            </w:pPr>
            <w:r>
              <w:rPr>
                <w:u w:val="single"/>
              </w:rPr>
              <w:t>1Q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u w:val="single"/>
              </w:rPr>
            </w:pPr>
            <w:r>
              <w:rPr>
                <w:u w:val="single"/>
              </w:rPr>
              <w:t>1Q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First Quarter 2024 Financial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GAAP Operating Results before reviewing non-GAAP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to Selected Core Results (non-GAAP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$34.6 million for the first quarter of 2024 represent a 33% increase over the prior-year first-quarter revenues of $26.1 million and a slight decrease in revenues compared with the sequential fourth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discussed in last quarter’s Letter to Stockholders, revenues for the first quarter were adversely impacted by the February 2024 Change Healthcare cyberattack. As a result of the attack, Change, the largest U.S. clearinghouse for medical claims, disconnected affected payment systems, preventing doctor’s offices and health care systems nationwide from submitting and processing claims for payment. IHEEZO sales were especially impacted as Harrow’s customers struggled to rebound from the disruptions to their revenue cycles caused by the initial attack, including delaying product purchases in order to prioritize cash for more pressing matters such as payroll and other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loss was ($6.9) million for the first quarter of 2024, compared with GAAP operating income of $1.2 million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$227,000 for the first quarter of 2024 compared with Adjusted EBITDA of $5.3 million during the same period last year. The decrease in Adjusted EBITDA was primarily due to the decrease in revenues as a result of the aforementioned Change Healthcare cyberattack and an increase in operating expenses associated with commercial activities of VEVYE and other products acquired later in 2023. Core net loss for the first quarter of 2024 was $(9.8) million compared with $(1.0) million for the first quarter of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$68.5 million of cash and cash equivalents at the end of the first quarter of 2024, or $76.0 million, including our investment in Eton Pharmaceuticals (Nasdaq: ETON). Since the close of the first quarter, Harrow divested its nearly 2.0 million shares of Eton common stock, increasing its current cash and cash equivalents by $5.5 million as a result of such sale.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was 76% in the first quarter of 2024 compared with 76% in the first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for the first quarter of 2024 increased to $28.8 million compared with $15.9 million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increased to $2.1 million in the first quarter of 2024, compared with $734,000 during the same period last year, primarily as a result of the continued build out of our medical and clinical affairs teams, drug formulation development, and costs associated with the tech transfer manufacturing processes for some of our recent product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per share for the first quarter of 2024 was $(0.28) compared with $(0.03)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first quarter was $(4.6) million compared with ($8.2) million for the prior year’s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all non-GAAP financial measures in this letter begins on page 9.</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ended March 31, 2024 and 2023 are as follows:</w:t>
      </w:r>
    </w:p>
    <w:p>
      <w:pPr>
        <w:pStyle w:val="TextBody"/>
        <w:bidi w:val="0"/>
        <w:spacing w:before="0" w:after="0"/>
        <w:ind w:left="0" w:right="0" w:hanging="0"/>
        <w:jc w:val="both"/>
        <w:rPr>
          <w:caps w:val="false"/>
          <w:smallCaps w:val="false"/>
        </w:rPr>
      </w:pPr>
      <w:r>
        <w:rPr>
          <w:caps w:val="false"/>
          <w:smallCaps w:val="false"/>
        </w:rPr>
        <w:t> </w:t>
      </w:r>
    </w:p>
    <w:tbl>
      <w:tblPr>
        <w:tblW w:w="8637" w:type="dxa"/>
        <w:jc w:val="left"/>
        <w:tblInd w:w="0" w:type="dxa"/>
        <w:tblLayout w:type="fixed"/>
        <w:tblCellMar>
          <w:top w:w="0" w:type="dxa"/>
          <w:left w:w="0" w:type="dxa"/>
          <w:bottom w:w="0" w:type="dxa"/>
          <w:right w:w="0" w:type="dxa"/>
        </w:tblCellMar>
      </w:tblPr>
      <w:tblGrid>
        <w:gridCol w:w="5450"/>
        <w:gridCol w:w="60"/>
        <w:gridCol w:w="156"/>
        <w:gridCol w:w="1309"/>
        <w:gridCol w:w="105"/>
        <w:gridCol w:w="66"/>
        <w:gridCol w:w="156"/>
        <w:gridCol w:w="1225"/>
        <w:gridCol w:w="110"/>
      </w:tblGrid>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34,587,000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26,103,000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10,553,000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8,271,000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24,034,000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17,832,000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28,813,000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15,888,000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2,149,000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734,000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30,962,000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16,622,000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b/>
              </w:rPr>
            </w:pPr>
            <w:r>
              <w:rPr>
                <w:b/>
              </w:rPr>
              <w:t>(6,928,000</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1,210,000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(6,637,000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(8,141,000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288,000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(13,565,000</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(6,643,000</w:t>
            </w:r>
          </w:p>
        </w:tc>
        <w:tc>
          <w:tcPr>
            <w:tcW w:w="110" w:type="dxa"/>
            <w:tcBorders/>
            <w:shd w:fill="FFFFFF" w:val="clear"/>
            <w:vAlign w:val="center"/>
          </w:tcPr>
          <w:p>
            <w:pPr>
              <w:pStyle w:val="TableContents"/>
              <w:bidi w:val="0"/>
              <w:spacing w:before="0" w:after="283"/>
              <w:jc w:val="left"/>
              <w:rPr>
                <w:b/>
              </w:rPr>
            </w:pPr>
            <w:r>
              <w:rPr>
                <w:b/>
              </w:rPr>
              <w:t>)</w:t>
            </w:r>
          </w:p>
        </w:tc>
      </w:tr>
      <w:tr>
        <w:trPr/>
        <w:tc>
          <w:tcPr>
            <w:tcW w:w="5450"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(0.38</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(0.22</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months ended March 31, 2024 and 2023 are as follows:</w:t>
      </w:r>
    </w:p>
    <w:p>
      <w:pPr>
        <w:pStyle w:val="TextBody"/>
        <w:bidi w:val="0"/>
        <w:spacing w:before="0" w:after="0"/>
        <w:ind w:left="0" w:right="0" w:hanging="0"/>
        <w:jc w:val="both"/>
        <w:rPr>
          <w:caps w:val="false"/>
          <w:smallCaps w:val="false"/>
        </w:rPr>
      </w:pPr>
      <w:r>
        <w:rPr>
          <w:caps w:val="false"/>
          <w:smallCaps w:val="false"/>
        </w:rPr>
        <w:t> </w:t>
      </w:r>
    </w:p>
    <w:tbl>
      <w:tblPr>
        <w:tblW w:w="6852" w:type="dxa"/>
        <w:jc w:val="left"/>
        <w:tblInd w:w="0" w:type="dxa"/>
        <w:tblLayout w:type="fixed"/>
        <w:tblCellMar>
          <w:top w:w="0" w:type="dxa"/>
          <w:left w:w="0" w:type="dxa"/>
          <w:bottom w:w="0" w:type="dxa"/>
          <w:right w:w="0" w:type="dxa"/>
        </w:tblCellMar>
      </w:tblPr>
      <w:tblGrid>
        <w:gridCol w:w="3545"/>
        <w:gridCol w:w="60"/>
        <w:gridCol w:w="149"/>
        <w:gridCol w:w="1253"/>
        <w:gridCol w:w="229"/>
        <w:gridCol w:w="64"/>
        <w:gridCol w:w="149"/>
        <w:gridCol w:w="1173"/>
        <w:gridCol w:w="230"/>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3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2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34,587,000</w:t>
            </w:r>
          </w:p>
        </w:tc>
        <w:tc>
          <w:tcPr>
            <w:tcW w:w="22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26,103,000</w:t>
            </w:r>
          </w:p>
        </w:tc>
        <w:tc>
          <w:tcPr>
            <w:tcW w:w="23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69</w:t>
            </w:r>
          </w:p>
        </w:tc>
        <w:tc>
          <w:tcPr>
            <w:tcW w:w="229"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68</w:t>
            </w:r>
          </w:p>
        </w:tc>
        <w:tc>
          <w:tcPr>
            <w:tcW w:w="23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76</w:t>
            </w:r>
          </w:p>
        </w:tc>
        <w:tc>
          <w:tcPr>
            <w:tcW w:w="229"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(13,565,000</w:t>
            </w:r>
          </w:p>
        </w:tc>
        <w:tc>
          <w:tcPr>
            <w:tcW w:w="229"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(6,643,000</w:t>
            </w:r>
          </w:p>
        </w:tc>
        <w:tc>
          <w:tcPr>
            <w:tcW w:w="23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(9,789,000</w:t>
            </w:r>
          </w:p>
        </w:tc>
        <w:tc>
          <w:tcPr>
            <w:tcW w:w="229"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(1,042,000</w:t>
            </w:r>
          </w:p>
        </w:tc>
        <w:tc>
          <w:tcPr>
            <w:tcW w:w="230"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227,000</w:t>
            </w:r>
          </w:p>
        </w:tc>
        <w:tc>
          <w:tcPr>
            <w:tcW w:w="22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5,342,000</w:t>
            </w:r>
          </w:p>
        </w:tc>
        <w:tc>
          <w:tcPr>
            <w:tcW w:w="23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(0.38</w:t>
            </w:r>
          </w:p>
        </w:tc>
        <w:tc>
          <w:tcPr>
            <w:tcW w:w="229"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(0.22</w:t>
            </w:r>
          </w:p>
        </w:tc>
        <w:tc>
          <w:tcPr>
            <w:tcW w:w="230"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(0.28</w:t>
            </w:r>
          </w:p>
        </w:tc>
        <w:tc>
          <w:tcPr>
            <w:tcW w:w="229"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(0.03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Quarterly Reports on Form 10-Q,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loss, and core diluted net loss per share. A reconciliation of non-GAAP measures with the most directly comparable GAAP measures is included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income,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tbl>
      <w:tblPr>
        <w:tblW w:w="7211" w:type="dxa"/>
        <w:jc w:val="left"/>
        <w:tblInd w:w="0" w:type="dxa"/>
        <w:tblLayout w:type="fixed"/>
        <w:tblCellMar>
          <w:top w:w="0" w:type="dxa"/>
          <w:left w:w="0" w:type="dxa"/>
          <w:bottom w:w="0" w:type="dxa"/>
          <w:right w:w="0" w:type="dxa"/>
        </w:tblCellMar>
      </w:tblPr>
      <w:tblGrid>
        <w:gridCol w:w="3875"/>
        <w:gridCol w:w="60"/>
        <w:gridCol w:w="158"/>
        <w:gridCol w:w="1331"/>
        <w:gridCol w:w="107"/>
        <w:gridCol w:w="67"/>
        <w:gridCol w:w="158"/>
        <w:gridCol w:w="1195"/>
        <w:gridCol w:w="260"/>
      </w:tblGrid>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6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GAAP 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(13,565,000</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(6,643,000</w:t>
            </w:r>
          </w:p>
        </w:tc>
        <w:tc>
          <w:tcPr>
            <w:tcW w:w="26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both"/>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4,169,000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1,633,000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5,415,000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4,747,000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(288,000</w:t>
            </w:r>
          </w:p>
        </w:tc>
        <w:tc>
          <w:tcPr>
            <w:tcW w:w="26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432,000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292,000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2,554,000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2,207,000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Investment loss (income),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1,248,000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(2,042,000</w:t>
            </w:r>
          </w:p>
        </w:tc>
        <w:tc>
          <w:tcPr>
            <w:tcW w:w="26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both"/>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(26,000</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5,436,000</w:t>
            </w:r>
          </w:p>
        </w:tc>
        <w:tc>
          <w:tcPr>
            <w:tcW w:w="260"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3875"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227,000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5,342,000</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5"/>
        <w:gridCol w:w="60"/>
        <w:gridCol w:w="140"/>
        <w:gridCol w:w="1175"/>
        <w:gridCol w:w="215"/>
        <w:gridCol w:w="60"/>
        <w:gridCol w:w="249"/>
        <w:gridCol w:w="1749"/>
        <w:gridCol w:w="60"/>
        <w:gridCol w:w="60"/>
        <w:gridCol w:w="140"/>
        <w:gridCol w:w="980"/>
        <w:gridCol w:w="60"/>
        <w:gridCol w:w="60"/>
        <w:gridCol w:w="140"/>
        <w:gridCol w:w="755"/>
        <w:gridCol w:w="95"/>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March 31, 2024</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24,034,000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1749"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26,174,000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(6,928,000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2,554,000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(4,374,000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75"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(13,565,000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2,554,000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(9,789,000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74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(0.28</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675"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35,469,638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17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35,469,638</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46"/>
        <w:gridCol w:w="60"/>
        <w:gridCol w:w="140"/>
        <w:gridCol w:w="1100"/>
        <w:gridCol w:w="215"/>
        <w:gridCol w:w="60"/>
        <w:gridCol w:w="212"/>
        <w:gridCol w:w="1490"/>
        <w:gridCol w:w="60"/>
        <w:gridCol w:w="60"/>
        <w:gridCol w:w="140"/>
        <w:gridCol w:w="1055"/>
        <w:gridCol w:w="95"/>
        <w:gridCol w:w="60"/>
        <w:gridCol w:w="140"/>
        <w:gridCol w:w="980"/>
        <w:gridCol w:w="60"/>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March 31, 2023</w:t>
            </w:r>
          </w:p>
        </w:tc>
      </w:tr>
      <w:tr>
        <w:trPr/>
        <w:tc>
          <w:tcPr>
            <w:tcW w:w="27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2" w:type="dxa"/>
            <w:gridSpan w:val="2"/>
            <w:tcBorders>
              <w:bottom w:val="single" w:sz="12"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746"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17,832,000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2,045,000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19,877,000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746"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76</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746"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1,210,000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2,207,000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3,417,000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746" w:type="dxa"/>
            <w:tcBorders/>
            <w:shd w:fill="FFFFFF" w:val="clear"/>
            <w:tcMar>
              <w:bottom w:w="0" w:type="dxa"/>
            </w:tcMar>
            <w:vAlign w:val="center"/>
          </w:tcPr>
          <w:p>
            <w:pPr>
              <w:pStyle w:val="TableContents"/>
              <w:bidi w:val="0"/>
              <w:spacing w:before="0" w:after="283"/>
              <w:jc w:val="left"/>
              <w:rPr/>
            </w:pPr>
            <w:r>
              <w:rPr/>
              <w:t>Loss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(6,931,000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2,207,000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(2,042,000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5,436,000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(1,330,000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746" w:type="dxa"/>
            <w:tcBorders/>
            <w:shd w:fill="CCEEFF" w:val="clear"/>
            <w:tcMar>
              <w:bottom w:w="0" w:type="dxa"/>
            </w:tcMar>
            <w:vAlign w:val="center"/>
          </w:tcPr>
          <w:p>
            <w:pPr>
              <w:pStyle w:val="TableContents"/>
              <w:bidi w:val="0"/>
              <w:spacing w:before="0" w:after="283"/>
              <w:jc w:val="left"/>
              <w:rPr/>
            </w:pPr>
            <w:r>
              <w:rPr/>
              <w:t>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288,000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288,000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746"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(6,643,000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2,207,000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(2,042,000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5,436,000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(1,042,000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27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(0.22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(0.03</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2746" w:type="dxa"/>
            <w:tcBorders/>
            <w:shd w:fill="FFFFFF" w:val="clear"/>
            <w:tcMar>
              <w:bottom w:w="0" w:type="dxa"/>
            </w:tcMar>
            <w:vAlign w:val="center"/>
          </w:tcPr>
          <w:p>
            <w:pPr>
              <w:pStyle w:val="TableContents"/>
              <w:bidi w:val="0"/>
              <w:spacing w:before="0" w:after="283"/>
              <w:jc w:val="left"/>
              <w:rPr/>
            </w:pPr>
            <w:r>
              <w:rPr/>
              <w:t xml:space="preserve">Weighted average number of shares of common stock outstanding, basic and diluted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30,289,730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30,289,730</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(includes Non-GAAP Values)</w:t>
      </w:r>
    </w:p>
    <w:p>
      <w:pPr>
        <w:pStyle w:val="TextBody"/>
        <w:bidi w:val="0"/>
        <w:spacing w:before="0" w:after="0"/>
        <w:ind w:left="0" w:right="0" w:hanging="0"/>
        <w:jc w:val="both"/>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5405"/>
        <w:gridCol w:w="60"/>
        <w:gridCol w:w="108"/>
        <w:gridCol w:w="1771"/>
        <w:gridCol w:w="60"/>
        <w:gridCol w:w="60"/>
        <w:gridCol w:w="152"/>
        <w:gridCol w:w="1264"/>
        <w:gridCol w:w="260"/>
      </w:tblGrid>
      <w:tr>
        <w:trPr/>
        <w:tc>
          <w:tcPr>
            <w:tcW w:w="5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At March 31, 2024</w:t>
            </w:r>
          </w:p>
        </w:tc>
        <w:tc>
          <w:tcPr>
            <w:tcW w:w="260" w:type="dxa"/>
            <w:tcBorders/>
            <w:vAlign w:val="center"/>
          </w:tcPr>
          <w:p>
            <w:pPr>
              <w:pStyle w:val="TableContents"/>
              <w:bidi w:val="0"/>
              <w:spacing w:before="0" w:after="283"/>
              <w:jc w:val="left"/>
              <w:rPr/>
            </w:pPr>
            <w:r>
              <w:rPr/>
              <w:t> </w:t>
            </w:r>
          </w:p>
        </w:tc>
      </w:tr>
      <w:tr>
        <w:trPr/>
        <w:tc>
          <w:tcPr>
            <w:tcW w:w="5405" w:type="dxa"/>
            <w:tcBorders>
              <w:bottom w:val="single" w:sz="12" w:space="0" w:color="000000"/>
            </w:tcBorders>
            <w:tcMar>
              <w:bottom w:w="28" w:type="dxa"/>
            </w:tcMar>
            <w:vAlign w:val="center"/>
          </w:tcPr>
          <w:p>
            <w:pPr>
              <w:pStyle w:val="TableContents"/>
              <w:bidi w:val="0"/>
              <w:spacing w:before="0" w:after="283"/>
              <w:jc w:val="center"/>
              <w:rPr>
                <w:b/>
              </w:rPr>
            </w:pPr>
            <w:r>
              <w:rPr>
                <w:b/>
              </w:rPr>
              <w:t>Company</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jc w:val="center"/>
              <w:rPr>
                <w:b/>
              </w:rPr>
            </w:pPr>
            <w:r>
              <w:rPr>
                <w:b/>
              </w:rPr>
              <w:t>Number of Shares</w:t>
            </w:r>
          </w:p>
          <w:p>
            <w:pPr>
              <w:pStyle w:val="TableContents"/>
              <w:bidi w:val="0"/>
              <w:spacing w:before="0" w:after="283"/>
              <w:jc w:val="center"/>
              <w:rPr>
                <w:b/>
              </w:rPr>
            </w:pPr>
            <w:r>
              <w:rPr>
                <w:b/>
              </w:rPr>
              <w:t>of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Management</w:t>
            </w:r>
          </w:p>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Estimated Value</w:t>
            </w:r>
          </w:p>
        </w:tc>
        <w:tc>
          <w:tcPr>
            <w:tcW w:w="26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Eton Pharmaceuticals (common)</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1,982,000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 xml:space="preserve">7,433,000 </w:t>
            </w:r>
          </w:p>
        </w:tc>
        <w:tc>
          <w:tcPr>
            <w:tcW w:w="26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Surface Ophthalmics (common)</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15,750,000</w:t>
            </w:r>
          </w:p>
        </w:tc>
        <w:tc>
          <w:tcPr>
            <w:tcW w:w="260" w:type="dxa"/>
            <w:tcBorders/>
            <w:shd w:fill="FFFFFF" w:val="clear"/>
            <w:vAlign w:val="center"/>
          </w:tcPr>
          <w:p>
            <w:pPr>
              <w:pStyle w:val="TableContents"/>
              <w:bidi w:val="0"/>
              <w:spacing w:before="0" w:after="283"/>
              <w:jc w:val="left"/>
              <w:rPr>
                <w:position w:val="8"/>
                <w:sz w:val="19"/>
              </w:rPr>
            </w:pPr>
            <w:r>
              <w:rPr>
                <w:position w:val="8"/>
                <w:sz w:val="19"/>
              </w:rPr>
              <w:t>(1)</w:t>
            </w:r>
          </w:p>
        </w:tc>
      </w:tr>
      <w:tr>
        <w:trPr/>
        <w:tc>
          <w:tcPr>
            <w:tcW w:w="5405" w:type="dxa"/>
            <w:tcBorders/>
            <w:shd w:fill="CCEEFF" w:val="clear"/>
            <w:vAlign w:val="center"/>
          </w:tcPr>
          <w:p>
            <w:pPr>
              <w:pStyle w:val="TableContents"/>
              <w:bidi w:val="0"/>
              <w:spacing w:before="0" w:after="283"/>
              <w:jc w:val="left"/>
              <w:rPr/>
            </w:pPr>
            <w:r>
              <w:rPr/>
              <w:t xml:space="preserve">Melt Pharmaceuticals (3,500,000 shares of common and </w:t>
              <w:br/>
              <w:t>2,334,256 of preferred stock)</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1" w:type="dxa"/>
            <w:tcBorders/>
            <w:shd w:fill="CCEEFF" w:val="clear"/>
            <w:vAlign w:val="center"/>
          </w:tcPr>
          <w:p>
            <w:pPr>
              <w:pStyle w:val="TableContents"/>
              <w:bidi w:val="0"/>
              <w:spacing w:before="0" w:after="283"/>
              <w:jc w:val="right"/>
              <w:rPr/>
            </w:pPr>
            <w:r>
              <w:rPr/>
              <w:t>5,834,256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49,591,000</w:t>
            </w:r>
          </w:p>
        </w:tc>
        <w:tc>
          <w:tcPr>
            <w:tcW w:w="260" w:type="dxa"/>
            <w:tcBorders/>
            <w:shd w:fill="CCEEFF" w:val="clear"/>
            <w:vAlign w:val="center"/>
          </w:tcPr>
          <w:p>
            <w:pPr>
              <w:pStyle w:val="TableContents"/>
              <w:bidi w:val="0"/>
              <w:spacing w:before="0" w:after="283"/>
              <w:jc w:val="left"/>
              <w:rPr>
                <w:position w:val="8"/>
                <w:sz w:val="19"/>
              </w:rPr>
            </w:pPr>
            <w:r>
              <w:rPr>
                <w:position w:val="8"/>
                <w:sz w:val="19"/>
              </w:rPr>
              <w:t>(2)</w:t>
            </w:r>
          </w:p>
        </w:tc>
      </w:tr>
      <w:tr>
        <w:trPr/>
        <w:tc>
          <w:tcPr>
            <w:tcW w:w="5405" w:type="dxa"/>
            <w:tcBorders/>
            <w:shd w:fill="FFFFFF" w:val="clear"/>
            <w:vAlign w:val="center"/>
          </w:tcPr>
          <w:p>
            <w:pPr>
              <w:pStyle w:val="TableContents"/>
              <w:bidi w:val="0"/>
              <w:spacing w:before="0" w:after="283"/>
              <w:jc w:val="left"/>
              <w:rPr>
                <w:b/>
              </w:rPr>
            </w:pPr>
            <w:r>
              <w:rPr>
                <w:b/>
              </w:rPr>
              <w:t>Estimated Total Value</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 xml:space="preserve">72,774,000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$(4.50) of the Series A-1 Preferred Stock (the most recent equity offering) multiplied by the number of common shares owned by Harrow at March 31, 2024.</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$(8.50) of the Series B Preferred Stock (the most recent equity offering) multiplied by the number of common shares owned by Harrow at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7310</Words>
  <Characters>40682</Characters>
  <CharactersWithSpaces>48356</CharactersWithSpaces>
  <Paragraphs>2125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