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020" w:right="1980" w:hanging="3813"/>
        <w:spacing w:after="0" w:line="490" w:lineRule="auto"/>
        <w:tabs>
          <w:tab w:leader="none" w:pos="66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 ]</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25" w:lineRule="exact"/>
        <w:rPr>
          <w:sz w:val="24"/>
          <w:szCs w:val="24"/>
          <w:color w:val="auto"/>
        </w:rPr>
      </w:pPr>
    </w:p>
    <w:p>
      <w:pPr>
        <w:jc w:val="center"/>
        <w:spacing w:after="0"/>
        <w:tabs>
          <w:tab w:leader="none" w:pos="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7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3"/>
              </w:rPr>
              <w:t>Delaware</w:t>
            </w: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45-0567010</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80" w:type="dxa"/>
            <w:vAlign w:val="bottom"/>
            <w:gridSpan w:val="3"/>
          </w:tcPr>
          <w:p>
            <w:pPr>
              <w:jc w:val="center"/>
              <w:ind w:right="2160"/>
              <w:spacing w:after="0"/>
              <w:rPr>
                <w:sz w:val="20"/>
                <w:szCs w:val="20"/>
                <w:color w:val="auto"/>
              </w:rPr>
            </w:pPr>
            <w:r>
              <w:rPr>
                <w:rFonts w:ascii="Arial" w:cs="Arial" w:eastAsia="Arial" w:hAnsi="Arial"/>
                <w:sz w:val="18"/>
                <w:szCs w:val="18"/>
                <w:color w:val="auto"/>
                <w:w w:val="93"/>
              </w:rPr>
              <w:t>incorporation or organization)</w:t>
            </w:r>
          </w:p>
        </w:tc>
        <w:tc>
          <w:tcPr>
            <w:tcW w:w="364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78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0"/>
              </w:rPr>
              <w:t>12264 El Camino Real, Suite 350</w:t>
            </w:r>
          </w:p>
        </w:tc>
        <w:tc>
          <w:tcPr>
            <w:tcW w:w="3640" w:type="dxa"/>
            <w:vAlign w:val="bottom"/>
          </w:tcPr>
          <w:p>
            <w:pPr>
              <w:spacing w:after="0"/>
              <w:rPr>
                <w:sz w:val="24"/>
                <w:szCs w:val="24"/>
                <w:color w:val="auto"/>
              </w:rPr>
            </w:pPr>
          </w:p>
        </w:tc>
      </w:tr>
      <w:tr>
        <w:trPr>
          <w:trHeight w:val="220"/>
        </w:trPr>
        <w:tc>
          <w:tcPr>
            <w:tcW w:w="778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0"/>
              </w:rPr>
              <w:t>San Diego, CA 92130</w:t>
            </w:r>
          </w:p>
        </w:tc>
        <w:tc>
          <w:tcPr>
            <w:tcW w:w="3640" w:type="dxa"/>
            <w:vAlign w:val="bottom"/>
          </w:tcPr>
          <w:p>
            <w:pPr>
              <w:spacing w:after="0"/>
              <w:rPr>
                <w:sz w:val="19"/>
                <w:szCs w:val="19"/>
                <w:color w:val="auto"/>
              </w:rPr>
            </w:pPr>
          </w:p>
        </w:tc>
      </w:tr>
      <w:tr>
        <w:trPr>
          <w:trHeight w:val="230"/>
        </w:trPr>
        <w:tc>
          <w:tcPr>
            <w:tcW w:w="7780" w:type="dxa"/>
            <w:vAlign w:val="bottom"/>
            <w:gridSpan w:val="3"/>
          </w:tcPr>
          <w:p>
            <w:pPr>
              <w:jc w:val="center"/>
              <w:ind w:left="3550"/>
              <w:spacing w:after="0"/>
              <w:rPr>
                <w:sz w:val="20"/>
                <w:szCs w:val="20"/>
                <w:color w:val="auto"/>
              </w:rPr>
            </w:pPr>
            <w:r>
              <w:rPr>
                <w:rFonts w:ascii="Arial" w:cs="Arial" w:eastAsia="Arial" w:hAnsi="Arial"/>
                <w:sz w:val="18"/>
                <w:szCs w:val="18"/>
                <w:color w:val="auto"/>
                <w:w w:val="93"/>
              </w:rPr>
              <w:t>(Address of Principal Executive Offices)(Zip Code)</w:t>
            </w:r>
          </w:p>
        </w:tc>
        <w:tc>
          <w:tcPr>
            <w:tcW w:w="3640" w:type="dxa"/>
            <w:vAlign w:val="bottom"/>
          </w:tcPr>
          <w:p>
            <w:pPr>
              <w:spacing w:after="0"/>
              <w:rPr>
                <w:sz w:val="20"/>
                <w:szCs w:val="20"/>
                <w:color w:val="auto"/>
              </w:rPr>
            </w:pPr>
          </w:p>
        </w:tc>
      </w:tr>
      <w:tr>
        <w:trPr>
          <w:trHeight w:val="418"/>
        </w:trPr>
        <w:tc>
          <w:tcPr>
            <w:tcW w:w="778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90"/>
              </w:rPr>
              <w:t>(858) 704-4040</w:t>
            </w:r>
          </w:p>
        </w:tc>
        <w:tc>
          <w:tcPr>
            <w:tcW w:w="3640" w:type="dxa"/>
            <w:vAlign w:val="bottom"/>
          </w:tcPr>
          <w:p>
            <w:pPr>
              <w:spacing w:after="0"/>
              <w:rPr>
                <w:sz w:val="24"/>
                <w:szCs w:val="24"/>
                <w:color w:val="auto"/>
              </w:rPr>
            </w:pPr>
          </w:p>
        </w:tc>
      </w:tr>
      <w:tr>
        <w:trPr>
          <w:trHeight w:val="230"/>
        </w:trPr>
        <w:tc>
          <w:tcPr>
            <w:tcW w:w="7780" w:type="dxa"/>
            <w:vAlign w:val="bottom"/>
            <w:gridSpan w:val="3"/>
          </w:tcPr>
          <w:p>
            <w:pPr>
              <w:jc w:val="center"/>
              <w:ind w:left="3550"/>
              <w:spacing w:after="0"/>
              <w:rPr>
                <w:sz w:val="20"/>
                <w:szCs w:val="20"/>
                <w:color w:val="auto"/>
              </w:rPr>
            </w:pPr>
            <w:r>
              <w:rPr>
                <w:rFonts w:ascii="Arial" w:cs="Arial" w:eastAsia="Arial" w:hAnsi="Arial"/>
                <w:sz w:val="18"/>
                <w:szCs w:val="18"/>
                <w:color w:val="auto"/>
                <w:w w:val="90"/>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 [ ] No [X]</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w:t>
      </w:r>
      <w:r>
        <w:rPr>
          <w:rFonts w:ascii="Arial" w:cs="Arial" w:eastAsia="Arial" w:hAnsi="Arial"/>
          <w:sz w:val="17"/>
          <w:szCs w:val="17"/>
          <w:b w:val="1"/>
          <w:bCs w:val="1"/>
          <w:color w:val="auto"/>
        </w:rPr>
        <w:t>Yes [ ] No [X]</w:t>
      </w: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 [X] No [ ]</w:t>
      </w:r>
    </w:p>
    <w:p>
      <w:pPr>
        <w:spacing w:after="0" w:line="181"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b w:val="1"/>
          <w:bCs w:val="1"/>
          <w:color w:val="auto"/>
        </w:rPr>
        <w:t>[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747" w:right="239" w:bottom="0" w:gutter="0" w:footer="0" w:header="0"/>
        </w:sectPr>
      </w:pP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 ]</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8"/>
          <w:szCs w:val="18"/>
          <w:b w:val="1"/>
          <w:bCs w:val="1"/>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18"/>
          <w:szCs w:val="18"/>
          <w:b w:val="1"/>
          <w:bCs w:val="1"/>
          <w:color w:val="auto"/>
        </w:rPr>
        <w:t>[ ]</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6"/>
          <w:szCs w:val="16"/>
          <w:b w:val="1"/>
          <w:bCs w:val="1"/>
          <w:color w:val="auto"/>
        </w:rPr>
        <w:t>[X]</w:t>
      </w:r>
    </w:p>
    <w:p>
      <w:pPr>
        <w:spacing w:after="0" w:line="416" w:lineRule="exact"/>
        <w:rPr>
          <w:sz w:val="24"/>
          <w:szCs w:val="24"/>
          <w:color w:val="auto"/>
        </w:rPr>
      </w:pPr>
    </w:p>
    <w:p>
      <w:pPr>
        <w:sectPr>
          <w:pgSz w:w="11900" w:h="16838" w:orient="portrait"/>
          <w:cols w:equalWidth="0" w:num="2">
            <w:col w:w="5000" w:space="720"/>
            <w:col w:w="5700"/>
          </w:cols>
          <w:pgMar w:left="240" w:top="747" w:right="239" w:bottom="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 [ ] No [X]</w:t>
      </w:r>
    </w:p>
    <w:p>
      <w:pPr>
        <w:spacing w:after="0" w:line="229"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As of June 30, 2016, the last business day of the registrant’s most recently completed second fiscal quarter, the aggregate market value of the common stock held by non-affiliates of the registrant was approximately $45 million, based on the closing price of $3.76 for the registrant’s common stock as quoted on The NASDAQ Capital Market on that date. For purposes of this calculation, it has been assumed that shares of common stock held by each director, each officer</w:t>
      </w:r>
    </w:p>
    <w:p>
      <w:pPr>
        <w:sectPr>
          <w:pgSz w:w="11900" w:h="16838" w:orient="portrait"/>
          <w:cols w:equalWidth="0" w:num="1">
            <w:col w:w="11420"/>
          </w:cols>
          <w:pgMar w:left="240" w:top="747" w:right="239" w:bottom="0" w:gutter="0" w:footer="0" w:header="0"/>
          <w:type w:val="continuous"/>
        </w:sectPr>
      </w:pPr>
    </w:p>
    <w:bookmarkStart w:id="1" w:name="page2"/>
    <w:bookmarkEnd w:id="1"/>
    <w:p>
      <w:pPr>
        <w:spacing w:after="0" w:line="342" w:lineRule="auto"/>
        <w:rPr>
          <w:sz w:val="20"/>
          <w:szCs w:val="20"/>
          <w:color w:val="auto"/>
        </w:rPr>
      </w:pPr>
      <w:r>
        <w:rPr>
          <w:rFonts w:ascii="Arial" w:cs="Arial" w:eastAsia="Arial" w:hAnsi="Arial"/>
          <w:sz w:val="16"/>
          <w:szCs w:val="16"/>
          <w:color w:val="auto"/>
        </w:rPr>
        <w:t>and each person who owns 10% or more of the outstanding common stock of the registrant are held by affiliates of the registrant. The treatment of these persons as affiliates for purposes of this calculation is not conclusive as to whether such persons are, affiliates of the registrant for any other purpose.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March 20, 2017, there were 18,627,915 shares of the registrant’s common stock outstanding.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definitive proxy statement for its 2017 Annual Meeting of Stockholders (Proxy Statement) are incorporated by reference in Part III of this annual report on Form 10-K (Annual Report),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0" w:type="dxa"/>
            <w:vAlign w:val="bottom"/>
            <w:gridSpan w:val="8"/>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0180" w:type="dxa"/>
            <w:vAlign w:val="bottom"/>
            <w:tcBorders>
              <w:top w:val="single" w:sz="8" w:color="CCEEFF"/>
            </w:tcBorders>
            <w:gridSpan w:val="24"/>
            <w:shd w:val="clear" w:color="auto" w:fill="CCEEFF"/>
          </w:tcPr>
          <w:p>
            <w:pPr>
              <w:ind w:left="60"/>
              <w:spacing w:after="0" w:line="16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5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10180" w:type="dxa"/>
            <w:vAlign w:val="bottom"/>
            <w:gridSpan w:val="24"/>
          </w:tcPr>
          <w:p>
            <w:pPr>
              <w:ind w:left="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018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10180" w:type="dxa"/>
            <w:vAlign w:val="bottom"/>
            <w:gridSpan w:val="24"/>
          </w:tcPr>
          <w:p>
            <w:pPr>
              <w:ind w:left="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18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10180" w:type="dxa"/>
            <w:vAlign w:val="bottom"/>
            <w:gridSpan w:val="24"/>
          </w:tcPr>
          <w:p>
            <w:pPr>
              <w:ind w:left="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18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180" w:type="dxa"/>
            <w:vAlign w:val="bottom"/>
            <w:gridSpan w:val="24"/>
            <w:shd w:val="clear" w:color="auto" w:fill="CCEEFF"/>
          </w:tcPr>
          <w:p>
            <w:pPr>
              <w:ind w:left="60"/>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10180" w:type="dxa"/>
            <w:vAlign w:val="bottom"/>
            <w:gridSpan w:val="24"/>
          </w:tcPr>
          <w:p>
            <w:pPr>
              <w:ind w:left="6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018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10180" w:type="dxa"/>
            <w:vAlign w:val="bottom"/>
            <w:gridSpan w:val="24"/>
          </w:tcPr>
          <w:p>
            <w:pPr>
              <w:ind w:left="6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1018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 About Market Risk</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8.</w:t>
            </w:r>
          </w:p>
        </w:tc>
        <w:tc>
          <w:tcPr>
            <w:tcW w:w="10180" w:type="dxa"/>
            <w:vAlign w:val="bottom"/>
            <w:gridSpan w:val="24"/>
          </w:tcPr>
          <w:p>
            <w:pPr>
              <w:ind w:left="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1018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Changes in and Disagreements with Accountants on Accounting and Financial Disclosure</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10180" w:type="dxa"/>
            <w:vAlign w:val="bottom"/>
            <w:gridSpan w:val="24"/>
          </w:tcPr>
          <w:p>
            <w:pPr>
              <w:ind w:left="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1018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180" w:type="dxa"/>
            <w:vAlign w:val="bottom"/>
            <w:gridSpan w:val="24"/>
            <w:shd w:val="clear" w:color="auto" w:fill="CCEEFF"/>
          </w:tcPr>
          <w:p>
            <w:pPr>
              <w:ind w:left="60"/>
              <w:spacing w:after="0" w:line="17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III</w:t>
              </w:r>
            </w:hyperlink>
          </w:p>
        </w:tc>
        <w:tc>
          <w:tcPr>
            <w:tcW w:w="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10180" w:type="dxa"/>
            <w:vAlign w:val="bottom"/>
            <w:gridSpan w:val="24"/>
          </w:tcPr>
          <w:p>
            <w:pPr>
              <w:ind w:left="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Directors, Executive Officers and Corporate Governance</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1018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Executive Compensation</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10180" w:type="dxa"/>
            <w:vAlign w:val="bottom"/>
            <w:gridSpan w:val="24"/>
          </w:tcPr>
          <w:p>
            <w:pPr>
              <w:ind w:left="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Security Ownership of Certain Beneficial Owners and Management and Related Stockholder Matters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1018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Certain Relationships and Related Transactions, and Director Independence</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10180" w:type="dxa"/>
            <w:vAlign w:val="bottom"/>
            <w:gridSpan w:val="24"/>
          </w:tcPr>
          <w:p>
            <w:pPr>
              <w:ind w:left="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Principal Accountant Fees and Services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180" w:type="dxa"/>
            <w:vAlign w:val="bottom"/>
            <w:gridSpan w:val="24"/>
          </w:tcPr>
          <w:p>
            <w:pPr>
              <w:ind w:left="60"/>
              <w:spacing w:after="0" w:line="17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IV</w:t>
              </w:r>
            </w:hyperlink>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10180" w:type="dxa"/>
            <w:vAlign w:val="bottom"/>
            <w:gridSpan w:val="24"/>
            <w:shd w:val="clear" w:color="auto" w:fill="CCEEFF"/>
          </w:tcPr>
          <w:p>
            <w:pPr>
              <w:ind w:left="6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Exhibits, Financial Statement Schedules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80" w:type="dxa"/>
            <w:vAlign w:val="bottom"/>
            <w:gridSpan w:val="25"/>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gridSpan w:val="2"/>
          </w:tcPr>
          <w:p>
            <w:pPr>
              <w:spacing w:after="0"/>
              <w:rPr>
                <w:sz w:val="24"/>
                <w:szCs w:val="24"/>
                <w:color w:val="auto"/>
              </w:rPr>
            </w:pPr>
          </w:p>
        </w:tc>
        <w:tc>
          <w:tcPr>
            <w:tcW w:w="5120" w:type="dxa"/>
            <w:vAlign w:val="bottom"/>
            <w:tcBorders>
              <w:bottom w:val="single" w:sz="8" w:color="auto"/>
            </w:tcBorders>
            <w:gridSpan w:val="17"/>
          </w:tcPr>
          <w:p>
            <w:pPr>
              <w:jc w:val="right"/>
              <w:ind w:right="460"/>
              <w:spacing w:after="0"/>
              <w:rPr>
                <w:sz w:val="20"/>
                <w:szCs w:val="20"/>
                <w:color w:val="auto"/>
              </w:rPr>
            </w:pPr>
            <w:r>
              <w:rPr>
                <w:rFonts w:ascii="Arial" w:cs="Arial" w:eastAsia="Arial" w:hAnsi="Arial"/>
                <w:sz w:val="18"/>
                <w:szCs w:val="18"/>
                <w:color w:val="auto"/>
              </w:rPr>
              <w:t>2</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both"/>
        <w:ind w:firstLine="648"/>
        <w:spacing w:after="0" w:line="277" w:lineRule="auto"/>
        <w:rPr>
          <w:sz w:val="20"/>
          <w:szCs w:val="20"/>
          <w:color w:val="auto"/>
        </w:rPr>
      </w:pPr>
      <w:r>
        <w:rPr>
          <w:rFonts w:ascii="Arial" w:cs="Arial" w:eastAsia="Arial" w:hAnsi="Arial"/>
          <w:sz w:val="18"/>
          <w:szCs w:val="18"/>
          <w:i w:val="1"/>
          <w:iCs w:val="1"/>
          <w:color w:val="auto"/>
        </w:rPr>
        <w:t>As used in this Annual Report, unless indicated or the context requires otherwise, the terms the “Company”, “Imprimis” “we”, “us” and “our” refer to Imprimis Pharmaceuticals, Inc. and its consolidated subsidiaries.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Annual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acquisitions of Pharmacy Creations, LLC (“Pharmacy Creations”), South Coast Specialty Compounding, Inc. D/B/A Park Compounding (“Park”), Thousand Oaks Holding Company’s wholly-owned subsidiaries Topical Apothecary Group, LLC (d/b/a TAG Pharmacy), Aerosol Science Laboratories, Inc. (d/b/a ASL Pharmacy), SinuTopic, Inc. (d/b/a Sinus Dynamics Pharmacy) and Mycotoxins, LLC (collectively “ImprimisRx PA”),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 Item 1A of this Annual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Except as otherwise noted, all dollar amounts in this discussion and analysis are expressed in thousands.</w:t>
      </w:r>
    </w:p>
    <w:p>
      <w:pPr>
        <w:spacing w:after="0" w:line="229"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6"/>
          <w:szCs w:val="16"/>
          <w:color w:val="auto"/>
        </w:rPr>
        <w:t>We have registered trademarks, copyrights and/or pending trademark and copyright applications for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Imprimis Pharmaceuticals</w:t>
      </w:r>
      <w:r>
        <w:rPr>
          <w:rFonts w:ascii="Arial" w:cs="Arial" w:eastAsia="Arial" w:hAnsi="Arial"/>
          <w:sz w:val="26"/>
          <w:szCs w:val="26"/>
          <w:color w:val="auto"/>
          <w:vertAlign w:val="superscript"/>
        </w:rPr>
        <w:t>®</w:t>
      </w:r>
      <w:r>
        <w:rPr>
          <w:rFonts w:ascii="Arial" w:cs="Arial" w:eastAsia="Arial" w:hAnsi="Arial"/>
          <w:sz w:val="16"/>
          <w:szCs w:val="16"/>
          <w:color w:val="auto"/>
        </w:rPr>
        <w:t>, Imprimis Cares®, Imprimis Cares!</w:t>
      </w:r>
      <w:r>
        <w:rPr>
          <w:rFonts w:ascii="Arial" w:cs="Arial" w:eastAsia="Arial" w:hAnsi="Arial"/>
          <w:sz w:val="26"/>
          <w:szCs w:val="26"/>
          <w:color w:val="auto"/>
          <w:vertAlign w:val="superscript"/>
        </w:rPr>
        <w:t>®</w:t>
      </w:r>
      <w:r>
        <w:rPr>
          <w:rFonts w:ascii="Arial" w:cs="Arial" w:eastAsia="Arial" w:hAnsi="Arial"/>
          <w:sz w:val="16"/>
          <w:szCs w:val="16"/>
          <w:color w:val="auto"/>
        </w:rPr>
        <w:t>, SSP Technology</w:t>
      </w:r>
      <w:r>
        <w:rPr>
          <w:rFonts w:ascii="Arial" w:cs="Arial" w:eastAsia="Arial" w:hAnsi="Arial"/>
          <w:sz w:val="26"/>
          <w:szCs w:val="26"/>
          <w:color w:val="auto"/>
          <w:vertAlign w:val="superscript"/>
        </w:rPr>
        <w:t>®</w:t>
      </w:r>
      <w:r>
        <w:rPr>
          <w:rFonts w:ascii="Arial" w:cs="Arial" w:eastAsia="Arial" w:hAnsi="Arial"/>
          <w:sz w:val="16"/>
          <w:szCs w:val="16"/>
          <w:color w:val="auto"/>
        </w:rPr>
        <w:t>, Dropless</w:t>
      </w:r>
      <w:r>
        <w:rPr>
          <w:rFonts w:ascii="Arial" w:cs="Arial" w:eastAsia="Arial" w:hAnsi="Arial"/>
          <w:sz w:val="26"/>
          <w:szCs w:val="26"/>
          <w:color w:val="auto"/>
          <w:vertAlign w:val="superscript"/>
        </w:rPr>
        <w:t>®</w:t>
      </w:r>
      <w:r>
        <w:rPr>
          <w:rFonts w:ascii="Arial" w:cs="Arial" w:eastAsia="Arial" w:hAnsi="Arial"/>
          <w:sz w:val="16"/>
          <w:szCs w:val="16"/>
          <w:color w:val="auto"/>
        </w:rPr>
        <w:t>, Go Dropless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Go Dropless! </w:t>
      </w:r>
      <w:r>
        <w:rPr>
          <w:rFonts w:ascii="Arial" w:cs="Arial" w:eastAsia="Arial" w:hAnsi="Arial"/>
          <w:sz w:val="26"/>
          <w:szCs w:val="26"/>
          <w:color w:val="auto"/>
          <w:vertAlign w:val="superscript"/>
        </w:rPr>
        <w:t>®</w:t>
      </w:r>
      <w:r>
        <w:rPr>
          <w:rFonts w:ascii="Arial" w:cs="Arial" w:eastAsia="Arial" w:hAnsi="Arial"/>
          <w:sz w:val="16"/>
          <w:szCs w:val="16"/>
          <w:color w:val="auto"/>
        </w:rPr>
        <w:t>, GoDropless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Dropless Therapy</w:t>
      </w:r>
      <w:r>
        <w:rPr>
          <w:rFonts w:ascii="Arial" w:cs="Arial" w:eastAsia="Arial" w:hAnsi="Arial"/>
          <w:sz w:val="26"/>
          <w:szCs w:val="26"/>
          <w:color w:val="auto"/>
          <w:vertAlign w:val="superscript"/>
        </w:rPr>
        <w:t>®</w:t>
      </w:r>
      <w:r>
        <w:rPr>
          <w:rFonts w:ascii="Arial" w:cs="Arial" w:eastAsia="Arial" w:hAnsi="Arial"/>
          <w:sz w:val="16"/>
          <w:szCs w:val="16"/>
          <w:color w:val="auto"/>
        </w:rPr>
        <w:t>, Tri-Moxi</w:t>
      </w:r>
      <w:r>
        <w:rPr>
          <w:rFonts w:ascii="Arial" w:cs="Arial" w:eastAsia="Arial" w:hAnsi="Arial"/>
          <w:sz w:val="26"/>
          <w:szCs w:val="26"/>
          <w:color w:val="auto"/>
          <w:vertAlign w:val="superscript"/>
        </w:rPr>
        <w:t>®</w:t>
      </w:r>
      <w:r>
        <w:rPr>
          <w:rFonts w:ascii="Arial" w:cs="Arial" w:eastAsia="Arial" w:hAnsi="Arial"/>
          <w:sz w:val="16"/>
          <w:szCs w:val="16"/>
          <w:color w:val="auto"/>
        </w:rPr>
        <w:t>, Pred-Moxi</w:t>
      </w:r>
      <w:r>
        <w:rPr>
          <w:rFonts w:ascii="Arial" w:cs="Arial" w:eastAsia="Arial" w:hAnsi="Arial"/>
          <w:sz w:val="26"/>
          <w:szCs w:val="26"/>
          <w:color w:val="auto"/>
          <w:vertAlign w:val="superscript"/>
        </w:rPr>
        <w:t>®</w:t>
      </w:r>
      <w:r>
        <w:rPr>
          <w:rFonts w:ascii="Arial" w:cs="Arial" w:eastAsia="Arial" w:hAnsi="Arial"/>
          <w:sz w:val="16"/>
          <w:szCs w:val="16"/>
          <w:color w:val="auto"/>
        </w:rPr>
        <w:t>, HLA</w:t>
      </w:r>
      <w:r>
        <w:rPr>
          <w:rFonts w:ascii="Arial" w:cs="Arial" w:eastAsia="Arial" w:hAnsi="Arial"/>
          <w:sz w:val="26"/>
          <w:szCs w:val="26"/>
          <w:color w:val="auto"/>
          <w:vertAlign w:val="superscript"/>
        </w:rPr>
        <w:t>®</w:t>
      </w:r>
      <w:r>
        <w:rPr>
          <w:rFonts w:ascii="Arial" w:cs="Arial" w:eastAsia="Arial" w:hAnsi="Arial"/>
          <w:sz w:val="16"/>
          <w:szCs w:val="16"/>
          <w:color w:val="auto"/>
        </w:rPr>
        <w:t>, Triple Drop</w:t>
      </w:r>
      <w:r>
        <w:rPr>
          <w:rFonts w:ascii="Arial" w:cs="Arial" w:eastAsia="Arial" w:hAnsi="Arial"/>
          <w:sz w:val="26"/>
          <w:szCs w:val="26"/>
          <w:color w:val="auto"/>
          <w:vertAlign w:val="superscript"/>
        </w:rPr>
        <w:t>®</w:t>
      </w:r>
      <w:r>
        <w:rPr>
          <w:rFonts w:ascii="Arial" w:cs="Arial" w:eastAsia="Arial" w:hAnsi="Arial"/>
          <w:sz w:val="16"/>
          <w:szCs w:val="16"/>
          <w:color w:val="auto"/>
        </w:rPr>
        <w:t>, ED Free</w:t>
      </w:r>
      <w:r>
        <w:rPr>
          <w:rFonts w:ascii="Arial" w:cs="Arial" w:eastAsia="Arial" w:hAnsi="Arial"/>
          <w:sz w:val="26"/>
          <w:szCs w:val="26"/>
          <w:color w:val="auto"/>
          <w:vertAlign w:val="superscript"/>
        </w:rPr>
        <w:t>®</w:t>
      </w:r>
      <w:r>
        <w:rPr>
          <w:rFonts w:ascii="Arial" w:cs="Arial" w:eastAsia="Arial" w:hAnsi="Arial"/>
          <w:sz w:val="16"/>
          <w:szCs w:val="16"/>
          <w:color w:val="auto"/>
        </w:rPr>
        <w:t>, Defeat IC</w:t>
      </w:r>
      <w:r>
        <w:rPr>
          <w:rFonts w:ascii="Arial" w:cs="Arial" w:eastAsia="Arial" w:hAnsi="Arial"/>
          <w:sz w:val="26"/>
          <w:szCs w:val="26"/>
          <w:color w:val="auto"/>
          <w:vertAlign w:val="superscript"/>
        </w:rPr>
        <w:t>©</w:t>
      </w:r>
      <w:r>
        <w:rPr>
          <w:rFonts w:ascii="Arial" w:cs="Arial" w:eastAsia="Arial" w:hAnsi="Arial"/>
          <w:sz w:val="16"/>
          <w:szCs w:val="16"/>
          <w:color w:val="auto"/>
        </w:rPr>
        <w:t>, Say Goodbye</w:t>
      </w:r>
      <w:r>
        <w:rPr>
          <w:rFonts w:ascii="Arial" w:cs="Arial" w:eastAsia="Arial" w:hAnsi="Arial"/>
          <w:sz w:val="26"/>
          <w:szCs w:val="26"/>
          <w:color w:val="auto"/>
          <w:vertAlign w:val="superscript"/>
        </w:rPr>
        <w:t>©</w:t>
      </w:r>
      <w:r>
        <w:rPr>
          <w:rFonts w:ascii="Arial" w:cs="Arial" w:eastAsia="Arial" w:hAnsi="Arial"/>
          <w:sz w:val="16"/>
          <w:szCs w:val="16"/>
          <w:color w:val="auto"/>
        </w:rPr>
        <w:t>, PPS-DR</w:t>
      </w:r>
      <w:r>
        <w:rPr>
          <w:rFonts w:ascii="Arial" w:cs="Arial" w:eastAsia="Arial" w:hAnsi="Arial"/>
          <w:sz w:val="26"/>
          <w:szCs w:val="26"/>
          <w:color w:val="auto"/>
          <w:vertAlign w:val="superscript"/>
        </w:rPr>
        <w:t>®</w:t>
      </w:r>
      <w:r>
        <w:rPr>
          <w:rFonts w:ascii="Arial" w:cs="Arial" w:eastAsia="Arial" w:hAnsi="Arial"/>
          <w:sz w:val="16"/>
          <w:szCs w:val="16"/>
          <w:color w:val="auto"/>
        </w:rPr>
        <w:t>, Stericheck™, Pred-Moxi-Ketor™, Pred-Moxi-Brom™, Pred-Ketor</w:t>
      </w:r>
      <w:r>
        <w:rPr>
          <w:rFonts w:ascii="Arial" w:cs="Arial" w:eastAsia="Arial" w:hAnsi="Arial"/>
          <w:sz w:val="26"/>
          <w:szCs w:val="26"/>
          <w:color w:val="auto"/>
          <w:vertAlign w:val="superscript"/>
        </w:rPr>
        <w:t>®</w:t>
      </w:r>
      <w:r>
        <w:rPr>
          <w:rFonts w:ascii="Arial" w:cs="Arial" w:eastAsia="Arial" w:hAnsi="Arial"/>
          <w:sz w:val="16"/>
          <w:szCs w:val="16"/>
          <w:color w:val="auto"/>
        </w:rPr>
        <w:t>, Dex-Moxi</w:t>
      </w:r>
      <w:r>
        <w:rPr>
          <w:rFonts w:ascii="Arial" w:cs="Arial" w:eastAsia="Arial" w:hAnsi="Arial"/>
          <w:sz w:val="26"/>
          <w:szCs w:val="26"/>
          <w:color w:val="auto"/>
          <w:vertAlign w:val="superscript"/>
        </w:rPr>
        <w:t>®</w:t>
      </w:r>
      <w:r>
        <w:rPr>
          <w:rFonts w:ascii="Arial" w:cs="Arial" w:eastAsia="Arial" w:hAnsi="Arial"/>
          <w:sz w:val="16"/>
          <w:szCs w:val="16"/>
          <w:color w:val="auto"/>
        </w:rPr>
        <w:t>, Combination Drop Therapy™, Compounded Alternative™, Compounded Choice™, Custom Compounding™, Custom Compounding Choice</w:t>
      </w:r>
      <w:r>
        <w:rPr>
          <w:rFonts w:ascii="Arial" w:cs="Arial" w:eastAsia="Arial" w:hAnsi="Arial"/>
          <w:sz w:val="26"/>
          <w:szCs w:val="26"/>
          <w:color w:val="auto"/>
          <w:vertAlign w:val="superscript"/>
        </w:rPr>
        <w:t>TM</w:t>
      </w:r>
      <w:r>
        <w:rPr>
          <w:rFonts w:ascii="Arial" w:cs="Arial" w:eastAsia="Arial" w:hAnsi="Arial"/>
          <w:sz w:val="16"/>
          <w:szCs w:val="16"/>
          <w:color w:val="auto"/>
        </w:rPr>
        <w:t>, Pred-Gati™, Pred-Gati-Nepaf™, Pred-Nepaf™, Correct Compound™, Making Drugs Affordable Again™, Superbundle™, People-Focused™, MKO Melt™</w:t>
      </w:r>
      <w:r>
        <w:rPr>
          <w:rFonts w:ascii="Arial" w:cs="Arial" w:eastAsia="Arial" w:hAnsi="Arial"/>
          <w:sz w:val="16"/>
          <w:szCs w:val="16"/>
          <w:u w:val="single" w:color="auto"/>
          <w:color w:val="auto"/>
        </w:rPr>
        <w:t>,</w:t>
      </w:r>
      <w:r>
        <w:rPr>
          <w:rFonts w:ascii="Arial" w:cs="Arial" w:eastAsia="Arial" w:hAnsi="Arial"/>
          <w:sz w:val="16"/>
          <w:szCs w:val="16"/>
          <w:color w:val="auto"/>
        </w:rPr>
        <w:t xml:space="preserve"> IV Free™, Imprimis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(logo),</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Imprimis LessDrops</w:t>
      </w:r>
      <w:r>
        <w:rPr>
          <w:rFonts w:ascii="Arial" w:cs="Arial" w:eastAsia="Arial" w:hAnsi="Arial"/>
          <w:sz w:val="30"/>
          <w:szCs w:val="30"/>
          <w:color w:val="auto"/>
          <w:vertAlign w:val="superscript"/>
        </w:rPr>
        <w:t>®</w:t>
      </w:r>
      <w:r>
        <w:rPr>
          <w:rFonts w:ascii="Arial" w:cs="Arial" w:eastAsia="Arial" w:hAnsi="Arial"/>
          <w:sz w:val="18"/>
          <w:szCs w:val="18"/>
          <w:color w:val="auto"/>
        </w:rPr>
        <w:t>, Imprimis Dropless Cataract Surgery</w:t>
      </w:r>
      <w:r>
        <w:rPr>
          <w:rFonts w:ascii="Arial" w:cs="Arial" w:eastAsia="Arial" w:hAnsi="Arial"/>
          <w:sz w:val="30"/>
          <w:szCs w:val="30"/>
          <w:color w:val="auto"/>
          <w:vertAlign w:val="superscript"/>
        </w:rPr>
        <w:t>®</w:t>
      </w:r>
      <w:r>
        <w:rPr>
          <w:rFonts w:ascii="Arial" w:cs="Arial" w:eastAsia="Arial" w:hAnsi="Arial"/>
          <w:sz w:val="18"/>
          <w:szCs w:val="18"/>
          <w:color w:val="auto"/>
        </w:rPr>
        <w:t>, Pred-Gati™, Pred-Gati-Nepaf™, Pred-Nepaf™, Pred-Gati-Brom™, Pred-Gati-Ketor™, Dex-Moxi-Ketor™, Moxi™, Dex-Gati™, Correct Compound™, Lat™, Lat-Ds™, Tim-Lat™, Tim-Dor-Lat™, Tim-Brim-Dor™, Tim-Brim-Dor-Lat™, Pred-Levo-Ketor™, Pred-Levo-Brom™, Pred-Levo-Nepaf™, Tri-Moxi-Vanc™, Smartdrops™, Smarteyedrops™, Serum Tears™, Plasma Tears™, PRP Tears™, Omegadoxy™, Double Drop™, Quad Drop™, Lower Drops™, Simple Drops™, and Glaucoma Care™. We may choose to pursue trademark protection in other jurisdictions for one or more of these or other marks in the future. All other trademarks, service marks and trade names included or incorporated by reference into this Annual Report, are the property of their respective owners.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an ophthalmology-focused pharmaceutical company specialized in the development, production and sale of innovative medications that offer unique competitive advantages and serve unmet needs in the marketplace. We are committed to our company’s mission, vision and values to deliver high-quality novel medications to physicians and patients at affordable prices.</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cornerstone of our ophthalmology program consists of our proprietary Dropless 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injectable and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topical formulations that compete in the multi-billion dollar U.S. eye drop market. These formulations have been uniquely designed to address patient compliance issues and provide other compelling medical and economic benefits. We also offer a conscious sedation medication, the IV Free MKO Melt™, a proprietary alternative to intravenous sedation. The MKO Melt is administered sublingually to sedate patients undergoing ocular and other surgeries. We plan to expand our ophthalmology program and introduce additional innovative medications for glaucoma, wet age-related macular degeneration (wet AMD), diabetic macular edema (DME) and chronic dry eye disease (DED). Our integrative medicine business includes medications used in several therapeutic areas including oncology, autoimmunity, chronic infectious diseases, and endocrine and metabolic diseases. Our urology business includes a series of injectable erectile</w:t>
      </w:r>
    </w:p>
    <w:p>
      <w:pPr>
        <w:spacing w:after="0" w:line="3"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dysfunction formulations for patients that are refractory to or are otherwise unable to take phosphodiesterase type 5 inhibitors such as sildenafil (Viagra</w:t>
      </w:r>
      <w:r>
        <w:rPr>
          <w:rFonts w:ascii="Arial" w:cs="Arial" w:eastAsia="Arial" w:hAnsi="Arial"/>
          <w:sz w:val="26"/>
          <w:szCs w:val="26"/>
          <w:color w:val="auto"/>
          <w:vertAlign w:val="superscript"/>
        </w:rPr>
        <w:t>®</w:t>
      </w:r>
      <w:r>
        <w:rPr>
          <w:rFonts w:ascii="Arial" w:cs="Arial" w:eastAsia="Arial" w:hAnsi="Arial"/>
          <w:sz w:val="16"/>
          <w:szCs w:val="16"/>
          <w:color w:val="auto"/>
        </w:rPr>
        <w:t>), tadalafil (Cialis</w:t>
      </w:r>
      <w:r>
        <w:rPr>
          <w:rFonts w:ascii="Arial" w:cs="Arial" w:eastAsia="Arial" w:hAnsi="Arial"/>
          <w:sz w:val="26"/>
          <w:szCs w:val="26"/>
          <w:color w:val="auto"/>
          <w:vertAlign w:val="superscript"/>
        </w:rPr>
        <w:t>®</w:t>
      </w:r>
      <w:r>
        <w:rPr>
          <w:rFonts w:ascii="Arial" w:cs="Arial" w:eastAsia="Arial" w:hAnsi="Arial"/>
          <w:sz w:val="16"/>
          <w:szCs w:val="16"/>
          <w:color w:val="auto"/>
        </w:rPr>
        <w:t>), and vardenafil (Levitra</w:t>
      </w:r>
      <w:r>
        <w:rPr>
          <w:rFonts w:ascii="Arial" w:cs="Arial" w:eastAsia="Arial" w:hAnsi="Arial"/>
          <w:sz w:val="26"/>
          <w:szCs w:val="26"/>
          <w:color w:val="auto"/>
          <w:vertAlign w:val="superscript"/>
        </w:rPr>
        <w:t>®</w:t>
      </w:r>
      <w:r>
        <w:rPr>
          <w:rFonts w:ascii="Arial" w:cs="Arial" w:eastAsia="Arial" w:hAnsi="Arial"/>
          <w:sz w:val="16"/>
          <w:szCs w:val="16"/>
          <w:color w:val="auto"/>
        </w:rPr>
        <w:t>). We also make PPS-DR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(pentosan polysulfate sodium delayed-release) formulations as lower-cost alternatives</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to Elmiron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patients diagnosed with interstitial cystitis. We also make and sell low-cost therapeutic alternatives to Daraprim</w:t>
      </w:r>
      <w:r>
        <w:rPr>
          <w:rFonts w:ascii="Arial" w:cs="Arial" w:eastAsia="Arial" w:hAnsi="Arial"/>
          <w:sz w:val="30"/>
          <w:szCs w:val="30"/>
          <w:color w:val="auto"/>
          <w:vertAlign w:val="superscript"/>
        </w:rPr>
        <w:t>®</w:t>
      </w:r>
      <w:r>
        <w:rPr>
          <w:rFonts w:ascii="Arial" w:cs="Arial" w:eastAsia="Arial" w:hAnsi="Arial"/>
          <w:sz w:val="18"/>
          <w:szCs w:val="18"/>
          <w:color w:val="auto"/>
        </w:rPr>
        <w:t>,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Calcium Disodium Versenate, all FDA-approved drugs that have experienced significant price increases.</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Approximately 90 percent of our revenue is derived from buy-and-bill customers as a cash pay business, and as such, the majority of our commercial transactions do not involve distributors, wholesalers, insurance companies, pharmacy benefit managers or other middle parties. We do not operate using and are not dependent on discount cards, rebates, or other methods and programs that typically eliminate transparency to the consumer. By making ourselves generally independent of third party payments, we are not subject to insurance company formulary inclusion and pharmacy benefit manager payment clawbacks. In this regard, our transactions are simple, involving a patient-in-need, a physician’s diagnosis and a fair price and great service for a quality pharmaceutical product. The efficiency of our business model allows us to quickly innovate and safely deliver novel and clinically relevant products to the market with less complications and at lower costs for our customers than traditional pharmaceutical company competitors.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262"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1915795</wp:posOffset>
            </wp:positionH>
            <wp:positionV relativeFrom="page">
              <wp:posOffset>431800</wp:posOffset>
            </wp:positionV>
            <wp:extent cx="3738880" cy="26327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738880"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produce and dispense our medications directly to customers through our ImprimisRx facilities located in Ledgewood, New Jersey, Irvine, California and Folcroft, Pennsylvania. Our New Jersey facility is comprised of two separate facilities, with one facility registered with the FDA as an outsourcing facility (“NJOF”) under Section 503B of the Federal Food, Drug &amp; Cosmetic Act (FDCA). The other New Jersey facility (“NJRX”), and our California and Pennsylvania facilities, are all licensed pharmacies operating under Sections 503A of the FDCA. All products that we sell, produce and dispense are made in the United States of America.</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$76,851 at December 31, 2016.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Below are descriptions of our current commercial programs. We also continue to evaluate and assess intellectual property and other assets we have developed or acquired, including provisional patent applications, in order to support our development and potential commercialization of additional medications focused in the ophthalmology market and in other therapeutic areas.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Ophthalmology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2013, we acquired intellectual property trademarked as SSP Technology</w:t>
      </w:r>
      <w:r>
        <w:rPr>
          <w:rFonts w:ascii="Arial" w:cs="Arial" w:eastAsia="Arial" w:hAnsi="Arial"/>
          <w:sz w:val="26"/>
          <w:szCs w:val="26"/>
          <w:color w:val="auto"/>
          <w:vertAlign w:val="superscript"/>
        </w:rPr>
        <w:t>®</w:t>
      </w:r>
      <w:r>
        <w:rPr>
          <w:rFonts w:ascii="Arial" w:cs="Arial" w:eastAsia="Arial" w:hAnsi="Arial"/>
          <w:sz w:val="16"/>
          <w:szCs w:val="16"/>
          <w:color w:val="auto"/>
        </w:rPr>
        <w:t>, which allows for combination and administration of anti-inflammatory and anti-bacterial agents after the completion of ocular surgery. SSP Technology allows for increased solubility of active pharmaceutical ingredients and the creation of tunable, uniform particle sizes which enable these combined medications to be used as an intraoperative injectable or as a topical eye drop. Since our acquisition of this technology we have continued its development to include additional active pharmaceutical ingredients, such as NSAIDs. These combination medications have begun to impact the growing cataract surgery eye drop and refractive surgery eye drop markets. Based on our success and standing in the ophthalmology market, we plan to expand into additional ocular surgery markets where there is a risk of inflammation and infection and into other markets including glaucoma, wet age-related macular degeneration (wet AMD), diabetic macular edema (DME) and chronic dry eye disease.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proprietary ophthalmic medications provide physicians with the ability to address primary complications associated with ocular surgery including infection risk and post-operative inflammation due to patient non-compliance associated with traditional multiple bottle eye drop regimens. This is achieved by reducing the complexity of and in many cases altogether avoiding the need for post-operative eye drop regimens. We market these ophthalmic formulations as Dropless Therapy and LessDrops combination eye drops. We also package multiple ophthalmic medications, which may include our proprietary Dropless Therapy or LessDrops formulations, and other non-proprietary formulations as kits and dispensed to patients with needs for multiple ocular therapies.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Dropless Therapy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cataract surgery market continues to experience significant growth. According to a 2013 Market Scope report, 3.8 million cataract surgeries are performed annually in the U.S. and nearly 22 million cataract surgeries were performed globally, with expected annual market growth of approximately 3 percent. The National Eye Institute estimates that over 24 million Americans currently have cataracts and that number will grow to 38 million by 2030 and reach more than 50 million by 2050. Transparency Market Research estimates that the ophthalmology drug market will reach an estimated $21.6 billion by 2018.</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Typically, the treatment regimen for the prevention of post-cataract and other intraocular surgery complications is a pre-operative and post-operative self-administered eye drop regimen, which requires strict patient compliance and careful adherence to a prescribed dosing schedule. Physicians have reported, and studies have shown, that eye drop regimens can be confusing to patients, which can cause non-compliance and incorrect dosing. Numerous published studies conducted in the U.S. and Europe have demonstrated that antibiotics administered into the eye at the time of cataract surgery significantly reduced the risk of developing post-surgery inflammation and infection.</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Dropless Therapy medications are single, injectable intraocular doses that are administered during cataract surgery. Ophthalmologists have reported that Dropless Therapy has substantially reduced or eliminated the need for patient-administered eye drops following ocular surgery, thereby largely eliminating patient non-compliance and dosing errors associated with post-operative self-administered eye drop care regimens. Since launching Dropless Therapy in April 2014, multiple investigator initiated studies have been completed and their positive findings published in trade and peer-reviewed publications. A recently published study comparing Dropless Cataract Surgery to post-surgical topical drops found that 92 percent of the patients preferred Dropless Therapy over eye drops, and regarding post-operative visual outcome, 88 percent of patients preferred Dropless over topical drops. In a large peer-reviewed retrospective study of 1,541 patients receiving Dropless Therapy during cataract surgery, researchers reported that nearly 92 percent of the cases required no supplemental medication following surgery. A 2015 economic study with Cataract Surgeons for Improved Eyecare and conducted by Andrew Chang &amp; Co, LLC, demonstrated that, assuming a cost of $100 per dose (dollar amount not expressed in thousands), Dropless Therapy could provide collective savings to Medicare, Medicaid and patients of up to $13 billion, with a most likely savings estimate of $8.7 billion, over a 10-year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LessDrops Combination Eye Drops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3.8 million cataract surgeries performed annually in the U.S., the American Academy of Ophthalmology (AAO) estimates that over one-half of Americans require some form of vision correction and 43 million of these individuals are candidates for refractive surgery. Nearly 96 percent of the refractive surgery procedures performed are LASIK (laser in situ keratomileusis) surgeries, an outpatient surgical procedure used to treat nearsightedness, farsightedness, and astigmatism. According to Statista, an estimated 600,000 LASIK procedures were performed in the U.S. in 2015.</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LessDrops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topical formulations, introduced during first quarter 2015, include combination steroid, antibiotic and non-steroidal anti-inflammatory topical eye drops for patient administration following cataract, refractive and other ocular surgeries. We estimate that our LessDrops combination eye drops may require the administration by patients of up to 50 percent fewer drops post-surgery and cost up to 75 percent less than other currently available post-surgery eye drop regimens. We plan to expand our LessDrops portfolio to provide additional eye drop choices for our ophthalmologist customers. We believe we are capturing an estimated 10 percent of the U.S. post-surgery cataract eye drop market. Over 1,500 ophthalmologist customers have adopted Dropless and LessDrops medications and we have serviced over 600,000 cataract and refractive surgeries since April 2014. A growing number of high-volume cataract surgery practices, hospitals and ambulatory surgery centers throughout the U.S. have become customers.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Glaucoma Eye Drops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During the second quarter of 2017, we intend to launch a series of preservative-free eye drops and combination eye drops for glaucoma patients. According to the Glaucoma Research Foundation, there are over 3 million Americans with glaucoma but only half are aware they have it. Glaucoma is incurable, and if not managed can lead to blindness. Generally, the first line of treatment consists of a prostaglandin-analogue (PGA) eye drop regimen. As the disease progresses, non-PGA products are generally added as a second line treatment. Topical agents, other than PGAs, include beta blockers, alpha agonists, miotics and steroids. Up to 50 percent of glaucoma patients require more than one drug following a few months of initial treatment, however the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FDA has yet to approve a PGA combination product despite combination products including a PGA (Xalacom</w:t>
      </w:r>
      <w:r>
        <w:rPr>
          <w:rFonts w:ascii="Arial" w:cs="Arial" w:eastAsia="Arial" w:hAnsi="Arial"/>
          <w:sz w:val="30"/>
          <w:szCs w:val="30"/>
          <w:color w:val="auto"/>
          <w:vertAlign w:val="superscript"/>
        </w:rPr>
        <w:t>®</w:t>
      </w:r>
      <w:r>
        <w:rPr>
          <w:rFonts w:ascii="Arial" w:cs="Arial" w:eastAsia="Arial" w:hAnsi="Arial"/>
          <w:sz w:val="18"/>
          <w:szCs w:val="18"/>
          <w:color w:val="auto"/>
        </w:rPr>
        <w:t>, DuoTrav</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Ganfort</w:t>
      </w:r>
      <w:r>
        <w:rPr>
          <w:rFonts w:ascii="Arial" w:cs="Arial" w:eastAsia="Arial" w:hAnsi="Arial"/>
          <w:sz w:val="30"/>
          <w:szCs w:val="30"/>
          <w:color w:val="auto"/>
          <w:vertAlign w:val="superscript"/>
        </w:rPr>
        <w:t>®</w:t>
      </w:r>
      <w:r>
        <w:rPr>
          <w:rFonts w:ascii="Arial" w:cs="Arial" w:eastAsia="Arial" w:hAnsi="Arial"/>
          <w:sz w:val="18"/>
          <w:szCs w:val="18"/>
          <w:color w:val="auto"/>
        </w:rPr>
        <w:t>) available outside of the U.S. Our glaucoma topical medications will include combinations of active pharmaceutical ingredients (APIs) that are similar to those formulations marketed and available in countries outside of the U.S. Our combination eye drops may require the administration of fewer drops by patients and cost significantly less than currently available glaucoma drop regimens.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 use of combination products is rising because of two major advantages; improved patient compliance by avoiding separate administration of drops and prevention of washout effect by eliminating the need for consecutive dosing intervals.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MKO Melt™ Conscious Sedation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2016, we launched our patent-pending IV Free MKO Melt™ conscious sedation formulation. Traditionally, sedation medications for ocular surgery are administered intravenously, which require IV medications and supplies, and the need for additional staff to assist in preparation, administration and monitoring related to this process. Our MKO Melt is administered sublingually and is an option to IV anesthetic to sedate patients undergoing ocular surgeries. The MKO Melt may have use in numerous other surgical procedures outside of ophthalmology including MRI procedures, dental procedures, colonoscopies, vasectomies, biopsies and women’s health.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Integrative Medicine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integrative medicine business includes personalized medications used in several integrative areas including oncology, autoimmunity, chronic infectious diseases, and endocrine and metabolic diseases. The portfolio includes ascorbic acid (non-corn source), patent-pending curcumin emulsion, lyophilized artesunate and other medications used for various integrative therapies. We sponsor the Integrative Therapies Institute (ITI) conferences that cover a multitude of integrative topics and feature speakers considered thought leaders in their respective fields.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Urology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offer injectable medications for the treatment of erectile function (ED). According to the American Urological Association (AUA) there are 20 to 30 million men in the U.S. with ED. The AUA indicates that intracavernous vasoactive injections, including Tri-Mix (phentolamine, papaverine and prostaglandin), are considered the most effective non-surgical treatment for ED. We are also developing additional formulations associated with ED, including a sublingual formulation. We currently have one managed care provider that represents the majority of our Tri-Mix sales. We are currently marketing this large healthcare provider additional formulations, including our ophthalmic medications, and hope to grow our existing sales footprint and expand the relationship into other therapeutic areas.</w:t>
      </w:r>
    </w:p>
    <w:p>
      <w:pPr>
        <w:spacing w:after="0" w:line="19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In May 2016, we introduced our patent-pending customizable delayed-release tiopronin medications that may be prescribed by physicians as a lower-cost alternative to FDA-approved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cystinuria patients. Cystinuria is a chronic genetic disease that causes stones made of the amino acid cystine to form in the kidneys, bladder and/or urethra. In addition to the significantly lower cost, our tiopronin medications may allow for a reduction in the number of pills patients are required to consume daily.</w:t>
      </w:r>
    </w:p>
    <w:p>
      <w:pPr>
        <w:spacing w:after="0" w:line="20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We also produce and dispense PPS-DR (pentosan polysulfate sodium) oral medications as a lower-cost option to an off-patent oral drug, Elmiron</w:t>
      </w:r>
      <w:r>
        <w:rPr>
          <w:rFonts w:ascii="Arial" w:cs="Arial" w:eastAsia="Arial" w:hAnsi="Arial"/>
          <w:sz w:val="28"/>
          <w:szCs w:val="28"/>
          <w:color w:val="auto"/>
          <w:vertAlign w:val="superscript"/>
        </w:rPr>
        <w:t>®</w:t>
      </w:r>
      <w:r>
        <w:rPr>
          <w:rFonts w:ascii="Arial" w:cs="Arial" w:eastAsia="Arial" w:hAnsi="Arial"/>
          <w:sz w:val="17"/>
          <w:szCs w:val="17"/>
          <w:color w:val="auto"/>
        </w:rPr>
        <w:t>, for the treatment of symptoms associated with interstitial cystitis (IC). IC, also referred to as painful bladder syndrome and chronic pelvic pain, is a chronic bladder condition. According to the Interstitial Cystitis Association, IC affects an estimated 4 to 12 million men and women in the U.S. There is no known cure for IC and a combination of therapies is recommended for most patients including medication, physical therapy and dietary changes. Our low-cost PPS-DR oral medications feature delayed-released capsules that may allow for reduced daily dosing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Markets and Development Programs</w:t>
      </w:r>
    </w:p>
    <w:p>
      <w:pPr>
        <w:spacing w:after="0" w:line="225" w:lineRule="exact"/>
        <w:rPr>
          <w:sz w:val="20"/>
          <w:szCs w:val="20"/>
          <w:color w:val="auto"/>
        </w:rPr>
      </w:pPr>
    </w:p>
    <w:p>
      <w:pPr>
        <w:jc w:val="both"/>
        <w:ind w:right="20" w:firstLine="648"/>
        <w:spacing w:after="0" w:line="228" w:lineRule="auto"/>
        <w:rPr>
          <w:sz w:val="20"/>
          <w:szCs w:val="20"/>
          <w:color w:val="auto"/>
        </w:rPr>
      </w:pPr>
      <w:r>
        <w:rPr>
          <w:rFonts w:ascii="Arial" w:cs="Arial" w:eastAsia="Arial" w:hAnsi="Arial"/>
          <w:sz w:val="18"/>
          <w:szCs w:val="18"/>
          <w:color w:val="auto"/>
        </w:rPr>
        <w:t>In October 2015, we introduced our compounded pyrimethamine and leucovorin formulations, lower-cost therapeutic alternatives to FDA-approved Daraprim</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toxoplasmosis. Toxoplasmosis can be of major concern for patients with weakened immune systems such as patients with HIV/AIDS, pregnant women and children. Our combination pyrimethamine and leucovorin formulations are now offered by Express Scripts, the largest pharmacy benefit manager in the U.S., and by many other hospitals and healthcare organizations.</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September 2016, we announced the availability of our EDTA calcium disodium injectable formulation, a lower-cost alternative to FDA-approved Calcium Disodium Versenate, commonly used to stabilize and treat patients exposed to lead poisoning.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also offer hormone replacement therapy, weight loss, dermatologic, and other personalized medications, which we believe may provide differentiating and potentially beneficial factors as compared to competing therapies.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developed a patent-pending formulation that may be prescribed by physicians as a therapeutic alternative to an off-patent drug (name withheld for competitive reasons) that is prescribed for various indications mainly related to autoimmune diseases. The incumbent drug is known to present stability challenges, we have stability and potency data on our formulation beyond 120 days. The incumbent drug has no generic competition and annual sales were over $1 billion in the U.S. during 2016. We are currently evaluating potential opportunities for this formulation including working on its development and commercialization with a strategic partner and/or developing our own clinical development program.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produce and dispense our innovative medications to a growing number of patients, physicians, hospitals, ambulatory surgery centers and pharmacy benefits managers (PBMs). In September 2016, we entered into a purchase and supply agreement with AmSurg Holdings, Inc. a leading national provider of multi-specialty outsourced physician services to more than 245 U.S. hospitals, ambulatory surgery centers and other healthcare facilities. Pursuant to the terms of the agreement, we will provide AmSurg with our core ophthalmic medications including our Dropless Therapy and LessDrops combination eye drops.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October 2016, we entered into a purchase and supply agreement with the specialty pharmacy division of a leading PBM with more than 65 million Americans covered. Pursuant to the terms of the agreement, we will supply the network of specialty pharmacies with our complete formulary of medications. We believe the agreement represents a new approach to efficiently deliver medications from the manufacturer directly to the consumer, thereby eliminating several layers of inefficiencies for the millions of patients covered by this renowned PBM. We expect this agreement will help accelerate the adoption of several of our products we currently offer and others we expect to launch in 2017.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586" w:gutter="0" w:footer="0" w:header="0"/>
        </w:sectPr>
      </w:pPr>
    </w:p>
    <w:bookmarkStart w:id="7" w:name="page8"/>
    <w:bookmarkEnd w:id="7"/>
    <w:p>
      <w:pPr>
        <w:jc w:val="both"/>
        <w:ind w:firstLine="648"/>
        <w:spacing w:after="0" w:line="270" w:lineRule="auto"/>
        <w:rPr>
          <w:sz w:val="20"/>
          <w:szCs w:val="20"/>
          <w:color w:val="auto"/>
        </w:rPr>
      </w:pPr>
      <w:r>
        <w:rPr>
          <w:rFonts w:ascii="Arial" w:cs="Arial" w:eastAsia="Arial" w:hAnsi="Arial"/>
          <w:sz w:val="17"/>
          <w:szCs w:val="17"/>
          <w:color w:val="auto"/>
        </w:rPr>
        <w:t>In December 2016, we announced the launch of Correct Compound™ program with FocusScript, LLC (FocusScript), the largest compounding claims management company in the U.S. Through the program, we will jointly offer FocusScript’s proprietary CDF-Logic program of a customizable compound formulary and our portfolio to PBMs, managed care organizations and other healthcare payors. FocusScript will manage and process Correct Compound claims across FocusScript’s preferred network of over 200 compounding pharmacies which are accredited and credentialed through the UCAP program, and administered in an exclusive partnership with the National Association of Boards of Pharmacy (NABP). FocusScript will also provide its custom, proprietary system for pre-processing claims for optimal pricing, broad analytics and real-time oversight of fraud, waste and abuse. We believe this partnership allows us to leverage the value we have built in our brand and maintain our focus and resources on our rapidly-growing ophthalmology business. FocusScript’s pharmacy network, relationships with payors and comprehensive prescription drug adjudication tools should help us increase our reach and lower costs that are typically associated with the billing and adjudication process of prescription medications.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Facilities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produce and dispense our proprietary and non-proprietary medications directly to our customers through our three ImprimisRx facilities located in Ledgewood, New Jersey, Irvine, California and Folcroft, Pennsylvania. Our New Jersey facility is comprised of two separate entities/facilities, with one facility registered with the FDA as an outsourcing facility (“NJOF”) under Section 503B of the Federal Food, Drug &amp; Cosmetic Act (FDCA). The other New Jersey facility (“NJRX”) and our California and Pennsylvania facilities make and sell both sterile and non-sterile medications are all licensed as pharmacies operating under Section 503A of the FDCA.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of our commercial products are compounded by combining different active pharmaceutical ingredients (APIs), all of which are FDA-approved, to create specialized preparations prescribed by a physician to treat an individually identified patient. Physicians prescribe our products because a standard medication approved by the FDA is not appropriate for a particular patient’s needs. In many cases, compounded drugs such as ours have wide market utility and appeal for large patient populations. Examples of compounded formulations include medications with alternative dosage strengths or unique dosage forms, such as topical creams or gels, suspensions, or solutions with more tolerable drug delivery vehicles. A physician may also work together with a pharmacist to repurpose or reformulate FDA-approved drugs via the compounding process to meet a patient’s specific medical needs. Our ImprimisRx compounding pharmacies receive their active pharmaceutical ingredients from three main suppliers, which accounted for 63 percent of drug and chemical purchases in 2016, also see Note 17 to our consolidated financial statements included in this Annual Report for further information.</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currently operate our pharmacy businesses under Sections 503A and 503B of the FDCA. Under the FDA’s current policy, a pharmacy operating under Section 503A of the FDCA is only permitted to compound a drug for an individually identified patient based on a prescription for that patient, and is only permitted to distribute the drug interstate if the pharmacy is licensed to do so in the states where it is compounded and where it is received. Our ImprimisRx compounding pharmacies are collectively licensed to distribute compounded formulations in 50 states. Federal law limits compounding pharmacies from engaging in the practice of anticipatory compounding, which involves, preparing compounded medications before the actual receipt of a prescription or practitioner’s order, unless the compounding pharmacy has a history of filling certain prescriptions for a customer. In such cases, it is legal to engage in anticipatory compounding or the preparation of larger batches so that medications will be ready when they are needed. Anticipatory compounding also reduces the cost of compounded medications, as economies of scale can be realized by producing larger batches. Anticipatory compounding also leads to less wasted chemicals, dilutions, fillers, and other associated products are produced, and greater accuracy and uniformity in finished medications, as larger batches decrease the variation caused by preparing multiple, smaller batches. Based on our history of meeting the needs of our customers, we are able to anticipatorily compound adequately and efficiently prepare batches of our formulations.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Outsourcing Facility Strategy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According to the University of Utah’s Drug Information Service, there were over 140 drugs on the FDA’s drug shortage list during 2015, while the “clinical need” list has not yet been established by FDA. Entities voluntarily registering as outsourcing facilities are subject to additional requirements that do not apply to compounding pharmacies, including current good manufacturing practices (cGMP) and regular FDA inspection. Due to the clinical need of the formulations we offer and the nature of the active pharmaceutical ingredient components, we believe our formulations will be eligible for compounding by and distribution from Section 503B outsourcing facilities.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jc w:val="both"/>
        <w:ind w:firstLine="648"/>
        <w:spacing w:after="0" w:line="302" w:lineRule="auto"/>
        <w:rPr>
          <w:sz w:val="20"/>
          <w:szCs w:val="20"/>
          <w:color w:val="auto"/>
        </w:rPr>
      </w:pPr>
      <w:r>
        <w:rPr>
          <w:rFonts w:ascii="Arial" w:cs="Arial" w:eastAsia="Arial" w:hAnsi="Arial"/>
          <w:sz w:val="16"/>
          <w:szCs w:val="16"/>
          <w:color w:val="auto"/>
        </w:rPr>
        <w:t>In October 2016, we registered NJOF with the FDA as a Section 503B outsourcing facility. We estimate that our capital expenditures to build and equip our NJOF facility were approximately $5,770, of which, we have paid approximately $5,680, as of December 31, 2016. We have also finalized improvements to our California based pharmacy. We have invested approximately $530, to make the improvements and added capacity to the pharmacy, of which we have paid approximately $403, as of December 31, 2016. We completed the improvement efforts at our California pharmacy in January 2017.</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2016, our Texas facility was damaged by a faulty sprinkler head. We immediately commenced restoration efforts, notified our insurance carrier and filed claims for damages under our insurance policies, including claims related to business interruption (see discussion below regarding the Texas insurance claim). In September 2016, after consideration of the totality of circumstances surrounding our collective facility infrastructure, including estimated production capacity and capabilities of NJOF, and the damage to our Texas facility, we decided to cease operations in Texas. In February 2017, we entered into a stock purchase agreement to sell our Texas entity for $10 and transfer the lease agreement to the new owners.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with our current compounding pharmacy facilities and licenses and the successful completion and registration of our planned outsourcing facilities, we will have the infrastructure to scale our business appropriately under the current regulatory landscape and meet the growth in demand we are targeting in the ophthalmology, urology and other therapeutic areas. We plan to invest in one or more of our pharmacies to further their capacity and efficiencies. We may seek to access greater redundancy and markets through acquisitions, partnerships or other strategic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believe that our proprietary drug formulations could have commercial appeal in international markets and we have engaged distributors and entered into out-licensing arrangements for certain of our proprietary formulations in certain non-U.S. markets, including Canada, we expect to continue to focus our sales and marketing efforts on our U.S. commercial opportunities during 2017. Our sales and marketing efforts are currently organized into two teams, the larger of which focuses on our ophthalmology business and the other on our non-ophthalmology business. Our sales and marketing activities consist primarily of efforts to educate doctors, ambulatory surgery centers, healthcare systems, hospitals and other users throughout the U.S. about our formulations. We expect that we may experience growth in the sales of our proprietary compounded formulations in future periods, particularly in light of our current and planned launches of new formulations and commercialization campaigns. We also may choose to pursue commercialization of our proprietary formulations in other selected markets through licensing or collaborative arrangements with strategic partners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Formulation Development and Commercialization Pathway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model for the selection and development of proprietary formulations focuses on assessing new development opportunities using a four-step proprietary process, consisting of the identification, evaluation, validation, and ultimately commercialization of selected opportunities. Our relationships with inventive physicians and pharmacists provide us with access to numerous formulation candidates and technologies to evaluate and validate. These medications are initially made for individual patients and are developed based on the physician’s and pharmacist’s experience formulating a new therapy to address an unmet need. As a result of our review process, we focus our commercialization efforts on a select group of promising formulations that we believe may be patentable and that could have broad appeal to patients and physicians. 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6234430"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3443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innovation model, which serves as our research and development pipeline, relies on our relationships and partnerships with inventors to identify and secure new development assets. We are strategically attentive to the ideas generated by pharmacists, who work directly with doctors and their patients to address specific and often unmet patient needs, in our identification of formulations to develop and commercialize. We believe that our collaborative relationships with a growing group of physicians and pharmacists will bring additional clinically and commercially relevant formulation opportunities to us for potential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we have identified potential formulations and technology for development, we subject them to our proprietary evaluation process. We invest heavily in intellectual property review and analysis at this stage, which includes analyzing the patentability of each formulation and, more generally, trying to understand the surrounding intellectual property landscape. We also evaluate any existing supportive clinical data, identify one or more appropriate commercialization pathways to potentially make the therapy available to patients and, for selected candidates, ultimately seek to acquire, through ownership or licensing of development rights, the formulations we believe are the most promising.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Validate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identification and evaluation process and our acquisition of development rights, we seek to validate our assessment of potential drug formulations through our review of any existing clinical data and documented patient experience and through our sponsorship of investigator-initiated studies, which are typically funded or co-funded by us and conducted by physician groups. Any clinical data we obtain may be used to support physicians’ clinical confidence in prescribing the formulation in compounded form or, if we decide to pursue FDA approval for a particular candidate to support a development program in connection with the pursuit of such approval. The costs associated with our validation approach may be significantly lower than a traditional FDA approval process because, if we consider and select compounding as an appropriate commercialization pathway, we would not need to obtain FDA approval in order to market and sell the formulation.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Following successful results in the first three steps of our assessment, we focus on commercialization. As part of the development of potential formulations, we evaluate and select an appropriate commercialization pathway to make these therapies available to patients. We consider multiple commercialization pathways, including dispensing formulations through compounding pharmacies and outsourcing facilities and pursuing FDA approval to market and sell a drug formulation or technology. We are pursuing, and expect to continue to pursue, a compounding commercialization strategy for our currently available proprietary formulations and the other assets that we currently own or have rights to develop, and we do not presently expect to pursue FDA approval for any of these formulations or other assets. Depending on the selected commercialization pathway, we would build, or contract with a third party to build, appropriately targeted commercialization teams in order to market the therapies to physicians and patients, consistent with our sales and marketing structure discussed under the “Sales and Marketing” section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pharmaceutical and pharmacy industries are highly competitive. We compete against branded drug companies, generic drug companies, outsourcing facilities and other compounding pharmacies. We are significantly smaller than some of our competitors, and we may lack the financial and other resources needed to develop, produce, distribute, market and commercialize any of our proprietary formulations or compete for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some of our compounded formulations in accordance cGMP standards our other formulations are produced according to the standards provided by United States Pharmacopoeia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operating under Section 503A of the FDCA,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Even though we have registered NJOF with the FDA, our business may not be scalable on the scope available to our competitors that produce FDA-approved drugs, which may limit our potential for profitable operations. These facets of our operations may subject our business to limitations our competitors offering FDA-approved drugs may not face.</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to raise additional funds that may or may not be available to continue our operations.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success and ability to compete depends upon our ability to protect our intellectual property. We conduct a fulsome analysis of the intellectual property landscape prior to acquiring rights to formulations and filing patent applications. In addition, as of February 7, 2017, we owned 26 U.S. patent applications, including 21 utility (including continuation, continuation-in-part and divisional) and five provisional patent applications, and we owned five international patent applications filed under the Patent Cooperation Treaty and 19 foreign patent applications. Although our ophthalmology-related patent applications include claims related to non-ophthalmology fields, we have primarily focused our intellectual property development efforts to date on the proprietary compounded formulations in the field of ophthalmology. We presently have 11 U.S. and 9 foreign patent applications pending that relate to our SSP Technology. We expect to file additional patent applications in the U.S. and pursue patent protection for certain of our formulations in other important international jurisdictions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ind w:firstLine="648"/>
        <w:spacing w:after="0" w:line="222" w:lineRule="auto"/>
        <w:rPr>
          <w:sz w:val="20"/>
          <w:szCs w:val="20"/>
          <w:color w:val="auto"/>
        </w:rPr>
      </w:pPr>
      <w:r>
        <w:rPr>
          <w:rFonts w:ascii="Arial" w:cs="Arial" w:eastAsia="Arial" w:hAnsi="Arial"/>
          <w:sz w:val="16"/>
          <w:szCs w:val="16"/>
          <w:color w:val="auto"/>
        </w:rPr>
        <w:t>As of March 15, 2017, we had worldwide 151 issued trademarks, pending trademark and copyright applications, or registered copyright and/or trademarks for Imprimis</w:t>
      </w:r>
      <w:r>
        <w:rPr>
          <w:rFonts w:ascii="Arial" w:cs="Arial" w:eastAsia="Arial" w:hAnsi="Arial"/>
          <w:sz w:val="26"/>
          <w:szCs w:val="26"/>
          <w:color w:val="auto"/>
          <w:vertAlign w:val="superscript"/>
        </w:rPr>
        <w:t>®</w:t>
      </w:r>
      <w:r>
        <w:rPr>
          <w:rFonts w:ascii="Arial" w:cs="Arial" w:eastAsia="Arial" w:hAnsi="Arial"/>
          <w:sz w:val="16"/>
          <w:szCs w:val="16"/>
          <w:color w:val="auto"/>
        </w:rPr>
        <w:t>, ImprimisRx</w:t>
      </w:r>
      <w:r>
        <w:rPr>
          <w:rFonts w:ascii="Arial" w:cs="Arial" w:eastAsia="Arial" w:hAnsi="Arial"/>
          <w:sz w:val="26"/>
          <w:szCs w:val="26"/>
          <w:color w:val="auto"/>
          <w:vertAlign w:val="superscript"/>
        </w:rPr>
        <w:t>®</w:t>
      </w:r>
      <w:r>
        <w:rPr>
          <w:rFonts w:ascii="Arial" w:cs="Arial" w:eastAsia="Arial" w:hAnsi="Arial"/>
          <w:sz w:val="16"/>
          <w:szCs w:val="16"/>
          <w:color w:val="auto"/>
        </w:rPr>
        <w:t>, Imprimis Pharmaceuticals</w:t>
      </w:r>
      <w:r>
        <w:rPr>
          <w:rFonts w:ascii="Arial" w:cs="Arial" w:eastAsia="Arial" w:hAnsi="Arial"/>
          <w:sz w:val="26"/>
          <w:szCs w:val="26"/>
          <w:color w:val="auto"/>
          <w:vertAlign w:val="superscript"/>
        </w:rPr>
        <w:t>®</w:t>
      </w:r>
      <w:r>
        <w:rPr>
          <w:rFonts w:ascii="Arial" w:cs="Arial" w:eastAsia="Arial" w:hAnsi="Arial"/>
          <w:sz w:val="16"/>
          <w:szCs w:val="16"/>
          <w:color w:val="auto"/>
        </w:rPr>
        <w:t>, Imprimis Cares®, Imprimis Cares!</w:t>
      </w:r>
      <w:r>
        <w:rPr>
          <w:rFonts w:ascii="Arial" w:cs="Arial" w:eastAsia="Arial" w:hAnsi="Arial"/>
          <w:sz w:val="26"/>
          <w:szCs w:val="26"/>
          <w:color w:val="auto"/>
          <w:vertAlign w:val="superscript"/>
        </w:rPr>
        <w:t>®</w:t>
      </w:r>
      <w:r>
        <w:rPr>
          <w:rFonts w:ascii="Arial" w:cs="Arial" w:eastAsia="Arial" w:hAnsi="Arial"/>
          <w:sz w:val="16"/>
          <w:szCs w:val="16"/>
          <w:color w:val="auto"/>
        </w:rPr>
        <w:t>, SSP Technology</w:t>
      </w:r>
      <w:r>
        <w:rPr>
          <w:rFonts w:ascii="Arial" w:cs="Arial" w:eastAsia="Arial" w:hAnsi="Arial"/>
          <w:sz w:val="26"/>
          <w:szCs w:val="26"/>
          <w:color w:val="auto"/>
          <w:vertAlign w:val="superscript"/>
        </w:rPr>
        <w:t>®</w:t>
      </w:r>
      <w:r>
        <w:rPr>
          <w:rFonts w:ascii="Arial" w:cs="Arial" w:eastAsia="Arial" w:hAnsi="Arial"/>
          <w:sz w:val="16"/>
          <w:szCs w:val="16"/>
          <w:color w:val="auto"/>
        </w:rPr>
        <w:t>, Dropless</w:t>
      </w:r>
      <w:r>
        <w:rPr>
          <w:rFonts w:ascii="Arial" w:cs="Arial" w:eastAsia="Arial" w:hAnsi="Arial"/>
          <w:sz w:val="26"/>
          <w:szCs w:val="26"/>
          <w:color w:val="auto"/>
          <w:vertAlign w:val="superscript"/>
        </w:rPr>
        <w:t>®</w:t>
      </w:r>
      <w:r>
        <w:rPr>
          <w:rFonts w:ascii="Arial" w:cs="Arial" w:eastAsia="Arial" w:hAnsi="Arial"/>
          <w:sz w:val="16"/>
          <w:szCs w:val="16"/>
          <w:color w:val="auto"/>
        </w:rPr>
        <w:t>, Go Dropless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Go Dropless! </w:t>
      </w:r>
      <w:r>
        <w:rPr>
          <w:rFonts w:ascii="Arial" w:cs="Arial" w:eastAsia="Arial" w:hAnsi="Arial"/>
          <w:sz w:val="26"/>
          <w:szCs w:val="26"/>
          <w:color w:val="auto"/>
          <w:vertAlign w:val="superscript"/>
        </w:rPr>
        <w:t>®</w:t>
      </w:r>
      <w:r>
        <w:rPr>
          <w:rFonts w:ascii="Arial" w:cs="Arial" w:eastAsia="Arial" w:hAnsi="Arial"/>
          <w:sz w:val="16"/>
          <w:szCs w:val="16"/>
          <w:color w:val="auto"/>
        </w:rPr>
        <w:t>, GoDropless</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Dropless Therapy</w:t>
      </w:r>
      <w:r>
        <w:rPr>
          <w:rFonts w:ascii="Arial" w:cs="Arial" w:eastAsia="Arial" w:hAnsi="Arial"/>
          <w:sz w:val="26"/>
          <w:szCs w:val="26"/>
          <w:color w:val="auto"/>
          <w:vertAlign w:val="superscript"/>
        </w:rPr>
        <w:t>®</w:t>
      </w:r>
      <w:r>
        <w:rPr>
          <w:rFonts w:ascii="Arial" w:cs="Arial" w:eastAsia="Arial" w:hAnsi="Arial"/>
          <w:sz w:val="16"/>
          <w:szCs w:val="16"/>
          <w:color w:val="auto"/>
        </w:rPr>
        <w:t>, Tri-Moxi</w:t>
      </w:r>
      <w:r>
        <w:rPr>
          <w:rFonts w:ascii="Arial" w:cs="Arial" w:eastAsia="Arial" w:hAnsi="Arial"/>
          <w:sz w:val="26"/>
          <w:szCs w:val="26"/>
          <w:color w:val="auto"/>
          <w:vertAlign w:val="superscript"/>
        </w:rPr>
        <w:t>®</w:t>
      </w:r>
      <w:r>
        <w:rPr>
          <w:rFonts w:ascii="Arial" w:cs="Arial" w:eastAsia="Arial" w:hAnsi="Arial"/>
          <w:sz w:val="16"/>
          <w:szCs w:val="16"/>
          <w:color w:val="auto"/>
        </w:rPr>
        <w:t>, Pred-Moxi</w:t>
      </w:r>
      <w:r>
        <w:rPr>
          <w:rFonts w:ascii="Arial" w:cs="Arial" w:eastAsia="Arial" w:hAnsi="Arial"/>
          <w:sz w:val="26"/>
          <w:szCs w:val="26"/>
          <w:color w:val="auto"/>
          <w:vertAlign w:val="superscript"/>
        </w:rPr>
        <w:t>®</w:t>
      </w:r>
      <w:r>
        <w:rPr>
          <w:rFonts w:ascii="Arial" w:cs="Arial" w:eastAsia="Arial" w:hAnsi="Arial"/>
          <w:sz w:val="16"/>
          <w:szCs w:val="16"/>
          <w:color w:val="auto"/>
        </w:rPr>
        <w:t>, HLA</w:t>
      </w:r>
      <w:r>
        <w:rPr>
          <w:rFonts w:ascii="Arial" w:cs="Arial" w:eastAsia="Arial" w:hAnsi="Arial"/>
          <w:sz w:val="26"/>
          <w:szCs w:val="26"/>
          <w:color w:val="auto"/>
          <w:vertAlign w:val="superscript"/>
        </w:rPr>
        <w:t>®</w:t>
      </w:r>
      <w:r>
        <w:rPr>
          <w:rFonts w:ascii="Arial" w:cs="Arial" w:eastAsia="Arial" w:hAnsi="Arial"/>
          <w:sz w:val="16"/>
          <w:szCs w:val="16"/>
          <w:color w:val="auto"/>
        </w:rPr>
        <w:t>, Triple Drop</w:t>
      </w:r>
      <w:r>
        <w:rPr>
          <w:rFonts w:ascii="Arial" w:cs="Arial" w:eastAsia="Arial" w:hAnsi="Arial"/>
          <w:sz w:val="26"/>
          <w:szCs w:val="26"/>
          <w:color w:val="auto"/>
          <w:vertAlign w:val="superscript"/>
        </w:rPr>
        <w:t>®</w:t>
      </w:r>
      <w:r>
        <w:rPr>
          <w:rFonts w:ascii="Arial" w:cs="Arial" w:eastAsia="Arial" w:hAnsi="Arial"/>
          <w:sz w:val="16"/>
          <w:szCs w:val="16"/>
          <w:color w:val="auto"/>
        </w:rPr>
        <w:t>, ED Free</w:t>
      </w:r>
      <w:r>
        <w:rPr>
          <w:rFonts w:ascii="Arial" w:cs="Arial" w:eastAsia="Arial" w:hAnsi="Arial"/>
          <w:sz w:val="26"/>
          <w:szCs w:val="26"/>
          <w:color w:val="auto"/>
          <w:vertAlign w:val="superscript"/>
        </w:rPr>
        <w:t>®</w:t>
      </w:r>
      <w:r>
        <w:rPr>
          <w:rFonts w:ascii="Arial" w:cs="Arial" w:eastAsia="Arial" w:hAnsi="Arial"/>
          <w:sz w:val="16"/>
          <w:szCs w:val="16"/>
          <w:color w:val="auto"/>
        </w:rPr>
        <w:t>, Defeat IC</w:t>
      </w:r>
      <w:r>
        <w:rPr>
          <w:rFonts w:ascii="Arial" w:cs="Arial" w:eastAsia="Arial" w:hAnsi="Arial"/>
          <w:sz w:val="26"/>
          <w:szCs w:val="26"/>
          <w:color w:val="auto"/>
          <w:vertAlign w:val="superscript"/>
        </w:rPr>
        <w:t>©</w:t>
      </w:r>
      <w:r>
        <w:rPr>
          <w:rFonts w:ascii="Arial" w:cs="Arial" w:eastAsia="Arial" w:hAnsi="Arial"/>
          <w:sz w:val="16"/>
          <w:szCs w:val="16"/>
          <w:color w:val="auto"/>
        </w:rPr>
        <w:t>, Say Goodbye</w:t>
      </w:r>
      <w:r>
        <w:rPr>
          <w:rFonts w:ascii="Arial" w:cs="Arial" w:eastAsia="Arial" w:hAnsi="Arial"/>
          <w:sz w:val="26"/>
          <w:szCs w:val="26"/>
          <w:color w:val="auto"/>
          <w:vertAlign w:val="superscript"/>
        </w:rPr>
        <w:t>©</w:t>
      </w:r>
      <w:r>
        <w:rPr>
          <w:rFonts w:ascii="Arial" w:cs="Arial" w:eastAsia="Arial" w:hAnsi="Arial"/>
          <w:sz w:val="16"/>
          <w:szCs w:val="16"/>
          <w:color w:val="auto"/>
        </w:rPr>
        <w:t>, PPS-DR</w:t>
      </w:r>
      <w:r>
        <w:rPr>
          <w:rFonts w:ascii="Arial" w:cs="Arial" w:eastAsia="Arial" w:hAnsi="Arial"/>
          <w:sz w:val="26"/>
          <w:szCs w:val="26"/>
          <w:color w:val="auto"/>
          <w:vertAlign w:val="superscript"/>
        </w:rPr>
        <w:t>®</w:t>
      </w:r>
      <w:r>
        <w:rPr>
          <w:rFonts w:ascii="Arial" w:cs="Arial" w:eastAsia="Arial" w:hAnsi="Arial"/>
          <w:sz w:val="16"/>
          <w:szCs w:val="16"/>
          <w:color w:val="auto"/>
        </w:rPr>
        <w:t>, Stericheck™, Pred-Moxi-Ketor™, Pred-Moxi-Brom™, Pred-Ketor</w:t>
      </w:r>
      <w:r>
        <w:rPr>
          <w:rFonts w:ascii="Arial" w:cs="Arial" w:eastAsia="Arial" w:hAnsi="Arial"/>
          <w:sz w:val="26"/>
          <w:szCs w:val="26"/>
          <w:color w:val="auto"/>
          <w:vertAlign w:val="superscript"/>
        </w:rPr>
        <w:t>®</w:t>
      </w:r>
      <w:r>
        <w:rPr>
          <w:rFonts w:ascii="Arial" w:cs="Arial" w:eastAsia="Arial" w:hAnsi="Arial"/>
          <w:sz w:val="16"/>
          <w:szCs w:val="16"/>
          <w:color w:val="auto"/>
        </w:rPr>
        <w:t>, Dex-Moxi</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Combination Drop Therapy™, Compounded Alternative™, Compounded Choice™, Custom Compounding™, Custom Compounding Choice</w:t>
      </w:r>
      <w:r>
        <w:rPr>
          <w:rFonts w:ascii="Arial" w:cs="Arial" w:eastAsia="Arial" w:hAnsi="Arial"/>
          <w:sz w:val="26"/>
          <w:szCs w:val="26"/>
          <w:color w:val="auto"/>
          <w:vertAlign w:val="superscript"/>
        </w:rPr>
        <w:t>TM</w:t>
      </w:r>
      <w:r>
        <w:rPr>
          <w:rFonts w:ascii="Arial" w:cs="Arial" w:eastAsia="Arial" w:hAnsi="Arial"/>
          <w:sz w:val="16"/>
          <w:szCs w:val="16"/>
          <w:color w:val="auto"/>
        </w:rPr>
        <w:t>, Pred-Gati™, Pred-Gati-Nepaf™, Pred-Nepaf™, Correct Compound™, Making Drugs Affordable Again™, Superbundle™, People-Focused™, MKO Melt™, and</w:t>
      </w:r>
    </w:p>
    <w:p>
      <w:pPr>
        <w:jc w:val="both"/>
        <w:spacing w:after="0" w:line="264" w:lineRule="auto"/>
        <w:rPr>
          <w:sz w:val="20"/>
          <w:szCs w:val="20"/>
          <w:color w:val="auto"/>
        </w:rPr>
      </w:pPr>
      <w:r>
        <w:rPr>
          <w:rFonts w:ascii="Arial" w:cs="Arial" w:eastAsia="Arial" w:hAnsi="Arial"/>
          <w:sz w:val="16"/>
          <w:szCs w:val="16"/>
          <w:color w:val="auto"/>
        </w:rPr>
        <w:t>IV Free™, Imprimis Dropless Cataract Therapy</w:t>
      </w:r>
      <w:r>
        <w:rPr>
          <w:rFonts w:ascii="Arial" w:cs="Arial" w:eastAsia="Arial" w:hAnsi="Arial"/>
          <w:sz w:val="26"/>
          <w:szCs w:val="26"/>
          <w:color w:val="auto"/>
          <w:vertAlign w:val="superscript"/>
        </w:rPr>
        <w:t>®</w:t>
      </w:r>
      <w:r>
        <w:rPr>
          <w:rFonts w:ascii="Arial" w:cs="Arial" w:eastAsia="Arial" w:hAnsi="Arial"/>
          <w:sz w:val="16"/>
          <w:szCs w:val="16"/>
          <w:color w:val="auto"/>
        </w:rPr>
        <w:t>,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(logo), Imprimis LessDrops</w:t>
      </w:r>
      <w:r>
        <w:rPr>
          <w:rFonts w:ascii="Arial" w:cs="Arial" w:eastAsia="Arial" w:hAnsi="Arial"/>
          <w:sz w:val="26"/>
          <w:szCs w:val="26"/>
          <w:color w:val="auto"/>
          <w:vertAlign w:val="superscript"/>
        </w:rPr>
        <w:t>®</w:t>
      </w:r>
      <w:r>
        <w:rPr>
          <w:rFonts w:ascii="Arial" w:cs="Arial" w:eastAsia="Arial" w:hAnsi="Arial"/>
          <w:sz w:val="16"/>
          <w:szCs w:val="16"/>
          <w:color w:val="auto"/>
        </w:rPr>
        <w:t>, Imprimis Dropless Cataract Surgery</w:t>
      </w:r>
      <w:r>
        <w:rPr>
          <w:rFonts w:ascii="Arial" w:cs="Arial" w:eastAsia="Arial" w:hAnsi="Arial"/>
          <w:sz w:val="26"/>
          <w:szCs w:val="26"/>
          <w:color w:val="auto"/>
          <w:vertAlign w:val="superscript"/>
        </w:rPr>
        <w:t>®</w:t>
      </w:r>
      <w:r>
        <w:rPr>
          <w:rFonts w:ascii="Arial" w:cs="Arial" w:eastAsia="Arial" w:hAnsi="Arial"/>
          <w:sz w:val="16"/>
          <w:szCs w:val="16"/>
          <w:color w:val="auto"/>
        </w:rPr>
        <w:t>, Pred-Gati™, Pred-Gati-Nepaf™, Pred-Nepaf™, Pred-Gati-Brom™, Pred-Gati-Ketor™, Dex-Moxi-Ketor™, Moxi™, Dex-Gati™, Correct Compound™, Lat™, Lat-Ds™, Tim-Lat™, Tim-Dor-Lat™, Tim-Brim-Dor™, Tim-Brim-Dor-Lat™, Pred-Levo-Ketor™, Pred-Levo-Brom™, Pred-Levo-Nepaf™, Tri-Moxi-Vanc™, Smartdrops™, Smarteyedrops™, Serum Tears™, Plasma Tears™, PRP Tears™, Omegadoxy™, Double Drop™, Quad Drop™, Lower Drops™, Simple Drops™, and Glaucoma Care™. We may choose to pursue trademark protection in other jurisdictions for one or more of these or other marks in the future.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is subject to federal, state and local laws, regulations, and administrative practices, including, among others: federal, state and local licensure and registration requirements concerning the operation of pharmacies and the practice of pharmacy; the Health Insurance Portability and Accountability Act (HIPAA); the Patient Protection and Affordable Care Act and the Health Care and Education Reconciliation Act of 2012 (collectively, the Health Reform Law); statutes and regulations of the FDA, the U.S. Federal Trade Commission, the U.S. Drug Enforcement Administration and the U.S. Consumer Product Safety Commission, as well as regulations promulgated by comparable state agencies concerning the sale, advertisement and promotion of the products we sell. Below are descriptions of some of the various federal and state laws and regulations which may govern or impact our current and planned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Regulation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pharmacy operations are regulated by both individual states and the federal government. Every state has laws and regulations addressing pharmacy operations, including regulations relating specifically to compounding pharmacy operations. These regulations generally include licensing requirements for pharmacists, pharmacy technicians and pharmacies, as well as regulations related to compounding processes, safety protocols, purity, sterility, storage, controlled substances, recordkeeping and regular inspections, among other things. State rules and regulations are updated periodically, generally under the jurisdiction of individual state boards of pharmacy. Failure to comply with the state pharmacy regulations of a particular state could result in a pharmacy being prohibited from operating in that state, financial penalties and/or becoming subject to additional oversight from that state’s board of pharmacy. In addition, many states are considering imposing, or have already begun to impose, more stringent requirements on compounding pharmacies. If our pharmacy operations become subject to additional licensure requirements, are unable to maintain their required licenses or if states place burdensome restrictions or limitations on pharmacies, our ability to operate in some states could be limited.</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Many of the states into which we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interstate compounding. The current draft standard MOU presented by the FDA in February 2015 would limit interstate shipments of compounded drug units to 30% of all compounded and non-compounded units dispensed or distributed by the pharmacy per month. The FDA has stated in guidance issued in February 2015 that it will not enforce interstate restrictions until after it publishes a final standard MOU and has made it available to states for signature for some designated period of time. If the final standard MOU is not signed by a particular state, then interstate shipments of compounded preparations from a pharmacy located in that state would be limited to quantities not greater than 5% of total prescription orders dispensed or distributed by the pharmacy (the 5% rule); however, we are not aware that the FDA currently enforces or has in the past enforced the 5% rule and, under current draft guidance, the FDA has stated that it will not enforce the 5% rule until a standard MOU has been made available to states for signature. The FDA has proposed a 180-day period for states to agree to the standard MOU after the final version is presented, after which it would begin to enforce the 5% rule. Until a final MOU is issued and presented to states to consider, the extent of interstate dispensing restrictions imposed by Section 503A is unknown. However, if the final standard MOU contains a 30% limit on interstate distribution or if the FDA begins to enforce the 5% rule, our pharmacy operations could be materially limited.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ind w:firstLine="648"/>
        <w:spacing w:after="0" w:line="271" w:lineRule="auto"/>
        <w:rPr>
          <w:sz w:val="20"/>
          <w:szCs w:val="20"/>
          <w:color w:val="auto"/>
        </w:rPr>
      </w:pPr>
      <w:r>
        <w:rPr>
          <w:rFonts w:ascii="Arial" w:cs="Arial" w:eastAsia="Arial" w:hAnsi="Arial"/>
          <w:sz w:val="17"/>
          <w:szCs w:val="17"/>
          <w:color w:val="auto"/>
        </w:rPr>
        <w:t>Certain provisions of the FDCA govern the preparation, handling, storage, marketing and distribution of pharmaceutical products. The Drug Quality and Security Act of 2013 (DQSA) clarifies and strengthens the federal regulatory framework governing compounding pharmacies. Title 1 of the DQSA, the Compounding Quality Act, modifies provisions of the Section 503A of the FDCA that were found to be unconstitutional by the U.S. Supreme Court in 2002. In general, Section 503A provides that pharmacies are exempt from the provisions of the FDCA requiring compliance with cGMP, labeling with adequate directions for use and FDA approval prior to marketing if the pharmacy complies with certain other requirements. Among other things, to comply with Section 503A, a compounded drug must be compounded by a licensed pharmacist for an identified individual patient on the basis of a valid prescription. Pharmacies may only compound in limited quantities before receipt of a prescription for an individual patient and are subject to limitations on anticipatory compounding for distribution, which generally permit anticipatory compounding only based on historical prescription volumes.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DQSA also contained new Section 503B of the FDCA, which established an outsourcing facility as a new form of entity that is permitted to compound larger quantities of drug formulations without a prescription, thus permitting the practice of anticipatory compounding, and distribute them out of state without limitation, if the drug formulations appear on the FDA’s drug shortage list or the bulk drug substances contained in the formulations appear on a “clinical need” list to be established by the FDA. Entities voluntarily registering as outsourcing facilities are subject to cGMP requirements and regular FDA inspection, among other requirements. As described above, our current pharmacy operations comply with Section 503A of the FDCA, and our NJ based outsourcing facility complies with Section 503B of the FDCA.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Privacy and HIPAA</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pharmacy operations involve the receipt, use and disclosure of confidential medical, pharmacy and other health-related information. In addition, we use aggregated and blinded (anonymous) data for research and analysis purposes. The federal privacy regulations under HIPAA are designed to protect the medical information of a healthcare patient or health plan enrollee that could be used to identify the individual. Among other things, HIPAA limits certain uses and disclosures of protected health information and requires compliance with federal security regulations regarding the storage, utilization and transmission of and access to electronic protected health information. The requirements imposed by HIPAA are extensive. In addition, most states have enacted privacy and security laws that protect identifiable patient information that is not health-related. Further, several states have enacted more protective and comprehensive pharmacy-related privacy legislation that not only applies to patient records but also prohibits the transfer or use for commercial purposes of pharmacy data that identifies prescribers. These regulations impose substantial requirements on covered entities and their business associates regarding the storage, utilization and transmission of and access to personal health and non-health information. Many of these laws apply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and Medicaid Reimbursement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Medicare is a federally funded program that provides health insurance coverage for qualified persons age 65 or older and for some disabled persons with certain specific conditions. State-funded Medicaid programs provide medical benefits to groups of low-income and disabled individuals, some of whom may have inadequate or no medical insurance. Currently, most of our commercially available formulations are sold in cash transactions and our customers may choose to seek reimbursement opportunities from Medicare, Medicaid and other third parties to the extent that they exist. As part of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the extent we obtain third-party reimbursement for our compounded formulations, we may become subject to Medicare, Medicaid and other publicly financed health benefit plan regulations prohibiting kickbacks, beneficiary inducement and the submission of false claims.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FDA New Drug Application Process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choose, alone or with project partners, to pursue FDA approval to market and sell one or more of our formulations through the FDA’s new drug application (NDA) process. Since the active pharmaceutical ingredients in all of our formulations have already been approved by the FDA, we could choose to pursue FDA approval of one or more of our formulations under Section 505(b)(2) of the FDCA. Section 505(b)(2) permits the submission of an NDA where at least some of the information required for approval comes from studies not conducted by or for the applicant and for which the applicant has not obtained a right of reference. The applicant may rely upon certain published nonclinical or clinical studies conducted for an approved product or the FDA’s conclusions from prior review of such studies.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performed for the new product and included in the NDA.</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a drug. Results of post-marketing programs may limit or expand the further marketing of a product.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fines and potential civil and criminal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we pursue commercialization of our proprietary formulations in countries other than the United States, then we may need to obtain the approvals required by the regulatory authorities of such foreign countries that are comparable to the FDA and state boards of pharmacy, and we would be subject to a variety of other foreign statutes and regulations comparable to those relating to our U.S. operations. Regulatory frameworks and requirements vary by country and could involve significant additional licensing requirements and product testing and review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Other Matters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or may become subject to environmental laws and regulations governing, among other things, any use and disposal by us of hazardous or potentially hazardous substances in connection with our research and preparation of our formulations. In addition, we are subject to work safety and labor laws that govern certain of our operations and our employee relations. In each of these areas, as described above, the FDA and other government agencies have broad regulatory and enforcement powers, including, among other things, the ability to levy fines and civil penalties, suspend or delay issuance of approvals, licenses or permits, seize or recall products, and withdraw approvals, any one or more of which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research and development expenses incurred in 2015 and 2016 primarily include expenses related to the development of intellectual property, researcher and investigator-initiated evaluations, and research and formulation development related primarily to our ophthalmic formulations and certain other assets.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2016, we incurred $739 in research and development expenses, as compared to $332 during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1, 2017, we employed 144 employees, of which 141 are full-time employees and 3 are part-time employees. Our employees are engaged in pharmacy operations, sales, marketing, research, development, and general and administrative functions. We expect to add additional employees in all departmental functions as we carry out our business plan in the next 12 months. We are not party to any collective bargaining agreements with any of our employees. We have never experienced a work stoppage, and we believe our employee relations are good. We hire independent contractor labor and consultants on an as-needed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firstLine="648"/>
        <w:spacing w:after="0" w:line="259"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2014, January 2015 and August 2015, we completed our acquisitions of the capital stock Pharmacy Creations, Park and ImprimisRx TX, respectively. In October 2015, ImprimisRx PA acquired substantially all of the assets of Thousand Oaks Holding Company and its wholly-owned subsidiaries. In February 2017, we sold 100% of our ownership in ImprimisRx TX.</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executive offices are located at 12264 El Camino Real, Suite 350, San Diego, California 92130 and our telephone number at such office is (858) 704-4040. Our website address is imprimispharma.com. Information contained on our website is not deemed part of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Annual Report. Our business, financial condition, results of operations and stock price could be materially adversely affected by any of these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incurred losses in every year of our operations, including net losses of $(19,087) and $(15,899) for the years ended December 31, 2016 and 2015, respectively. As of December 31, 2016, our accumulated deficit was $(76,851). We expect to decrease our operating losses during 2017, however, our projections may not be correct and our plans could change and we could incur increasing operating losses in the foreseeable future for our commercialization activities, research and development and our pharmacy operations. Although we have been generating some revenue from our pharmacy operations, our ability to generate significant revenues and achieve profitability will depend on many factors, including those discussed in this “Risk Factors” section. Our business plan and strategies involve costly activities that are susceptible to failure, and, therefore, we may never be able to generate sufficient revenue to support our business or reach the level of sales and revenues necessary to achieve and sustain profitability.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plan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sell certain of our proprietary formulations primarily through a unified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business strategy includes establishing a unified compounding pharmacy network, whether through acquisitions, establishing new pharmacies or entering into licensing arrangements with third-party pharmacies, to market and sell our proprietary formulations and other non-proprietary products in all 50 states.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acquired our New Jersey, California, and Pennsylvania compounding pharmacies in April 2014, January 2015, and October 2015, respectively. In February 2015, we leased space in New Jersey and began construction of a new outsourcing facility to replace our current facility, which was completed near the end of the third quarter of 2016. We plan to expand our pharmacy operations and personnel and developing our facilities into a unified compounding pharmacy network. We have been developing “ImprimisRx” as a uniform brand for our compounding facilities and are bringing our compounding facilities under this name.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network strategy, including difficulties that arise as a result of our lack of experience, and we may be unsuccessful. For instance,</w:t>
      </w:r>
    </w:p>
    <w:p>
      <w:pPr>
        <w:spacing w:after="0" w:line="167" w:lineRule="exact"/>
        <w:rPr>
          <w:sz w:val="20"/>
          <w:szCs w:val="20"/>
          <w:color w:val="auto"/>
        </w:rPr>
      </w:pPr>
    </w:p>
    <w:p>
      <w:pPr>
        <w:ind w:left="700" w:hanging="3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our outsourcing facility construction efforts;</w:t>
      </w:r>
    </w:p>
    <w:p>
      <w:pPr>
        <w:spacing w:after="0" w:line="225" w:lineRule="exact"/>
        <w:rPr>
          <w:rFonts w:ascii="Arial" w:cs="Arial" w:eastAsia="Arial" w:hAnsi="Arial"/>
          <w:sz w:val="18"/>
          <w:szCs w:val="18"/>
          <w:color w:val="auto"/>
        </w:rPr>
      </w:pPr>
    </w:p>
    <w:p>
      <w:pPr>
        <w:ind w:left="5640" w:right="3460" w:hanging="5281"/>
        <w:spacing w:after="0" w:line="528" w:lineRule="auto"/>
        <w:tabs>
          <w:tab w:leader="none" w:pos="706"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successful in completing future construction plans on a timely basis or within budget;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ind w:left="700" w:hanging="341"/>
        <w:spacing w:after="0" w:line="308"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be successful in our efforts to integrate, manage or otherwise realize the benefits we expect from acquisitions of our ImprimisRx compounding pharmacies or any additional pharmacy businesses or outsourcing facilities we to acquire or build in the future;</w:t>
      </w:r>
    </w:p>
    <w:p>
      <w:pPr>
        <w:spacing w:after="0" w:line="146" w:lineRule="exact"/>
        <w:rPr>
          <w:rFonts w:ascii="Arial" w:cs="Arial" w:eastAsia="Arial" w:hAnsi="Arial"/>
          <w:sz w:val="17"/>
          <w:szCs w:val="17"/>
          <w:color w:val="auto"/>
        </w:rPr>
      </w:pPr>
    </w:p>
    <w:p>
      <w:pPr>
        <w:ind w:left="700" w:hanging="341"/>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700" w:hanging="341"/>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all our efforts to expand pharmacy operations and establish a unified pharmacy network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this unified pharmacy network and, even if we are successful, we may be unable to generate sufficient revenue to recover our costs.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currently distribute our proprietary formulations through compounding pharmacies. Formulations prepared and dispensed by compounding pharmacies contain FDA-approved ingredients, but are not themselves approved by the FDA. Thus, our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As a result, some physicians may be hesitant to prescribe and some patients may be hesitant to purchase and use non-FDA approved compounded formulations, particularly when an FDA-approved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our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ImprimisRx compounding pharmacies are in material compliance with applicable regulatory requirements. If any of our ImprimisRx compounding pharmacies fail to comply with such requirements, they could be forced to permanently or temporarily cease or limit their sterile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 503A,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interstate compounding. The current draft standard MOU presented by the FDA in February 2015 would limit interstate shipments of compounded drug units to 30% of all compounded and non-compounded units dispensed or distributed by the pharmacy per month. The FDA has stated in guidance issued in February 2015 that it will not enforce interstate restrictions until after it publishes a final standard MOU and has made it available to states for signature for some designated period of time. If the final standard MOU is not signed by a particular state, then interstate shipments of compounded preparations from a pharmacy located in that state would be limited to quantities not greater than 5% of total prescription orders dispensed or distributed by the pharmacy (the 5% rule); however, we are not aware that the FDA currently enforces or has in the past enforced the 5% rule and, under current draft guidance, the FDA has stated that it will not enforce the 5% rule until a standard MOU has been made available to states for signature. The FDA has proposed a 180-day period for states to agree to the standard MOU after the final version is presented, after which it would begin to enforce the 5% rule. Until a final MOU is issued and presented to states to consider, the extent of interstate dispensing restrictions imposed by Section 503A is unknown. However, if the final standard MOU contains a 30% limit on interstate distribution or if the FDA begins to enforce the 5% rule, our pharmacy operations could be materially limited.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There are many competitive risks related to marketing and selling our proprietary formulations and operating our compounding pharmacy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product candidate in November 2013, our acquisitions of the ImprimisRx compounding pharmacies and various product development opportunities in 2014 and 2015,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plan to pursue the development of new proprietary compounded formulations in the ophthalmology, urology, otolaryngology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Imprimis Cares initiative.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ImprimisRx compounding pharmacies and current and future relationships with pharmacists, physicians and other inventors to provide us with additional development opportunities, our growth and prospects could be limited.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be unable to successfully develop and commercialize our proprietary formulations or any other assets we may acquire.</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product candidate, we develop a commercialization strategy for it, which may include marketing and selling the formulation in compounded form through compounding pharmacies or outsourcing facilities, or pursuing FDA approval of the product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May 11, 2015, we incurred $10,000 of indebtedness under a loan agreement with IMMY Funding LLC (LSAF), an affiliate of Life Sciences Alternative Funding LLC, and on January 22, 2016, we incurred an additional $3,000 of indebtedness under a convertible note we issued to LSAF. On December 27, 2016, we entered into an exchange and discharge agreement with LSAF to exchange the $3,000 convertible note for a $3,000 term loan. The outstanding principal amounts due to LSAF, collectively, including any interest that has been paid in kind of the principal balance, in aggregate, is $13,332.</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LSAF debt instruments contain various restrictive covenants, including, among others, our obligation to deliver to LSAF certain financial and other information, our obligation to comply with certain notice and insurance requirements, and our inability, without LSAF’s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LSAF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currently receive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$35,000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product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and convertible note with LSAF.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we may be unable to demonstrate the necessary safety and efficacy to obtain such FDA approval.</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current business strategy is focused on developing and commercializing product opportunities as compounded formulations.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product candidate on a timely basis or at all. Before we obtain FDA approval for the sale of any potential product candidates, we will be required to demonstrate through preclinical studies and clinical trials that it is safe and effective for each intended use, which we may not be able to do. A failure to demonstrate safety and efficacy of a product candidate to the FDA’s satisfaction would result in our failure to obtain FDA approval. Moreover, even if the FDA were to grant regulatory approval of a product candidate, the approval may be limited to specific therapeutic areas or limited as to its distribution, which could reduce revenue potential, and we will be subject to extensive and costly post-approval requirements and oversight with respect to commercialization of the product candidate.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product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product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product candidates may be limited or eliminated, which may prevent us from recouping our investment in research and development efforts for the product candidate and would have a material adverse effect on our business, results of operations, financial condition and prospects.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successfully develop any product candidate into an FDA-approved drug, we will be subject to extensive continuing regulatory requirements and review, including review of adverse drug experiences and clinical results from any post-marketing tests or continued actions required as a condition of approval. The manufacturer and manufacturing facilities we use to produce any drug preparations will be subject to periodic review and inspection by the FDA. We will be reliant on third parties to maintain their manufacturing processes in compliance with FDA and all other applicable regulatory requirements. Any changes to a product that has been approval, including the way it is manufactured or promoted, will often require FDA approval again before the product, as modified, may be marketed and sold. In addition, we and the manufacturers of the drug will be subject to ongoing FDA requirements for submission of safety and other post-market information. If we or the manufacturers of the drug failed to comply with these or any other applicable regulatory requirements, a regulatory agency may, among other things, issue warning letters, impose civil or criminal penalties, suspend or withdraw regulatory approval, impose restrictions on our operations, close the facilities of the manufacturers, seize or detain products or require a product recall.</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Regulatory review also covers a company’s activities in the promotion of its FDA-approved drugs, with significant potential penalties and restrictions for promotion of a drug for an unapproved use. Sales and marketing programs are under scrutiny for compliance with various mandated requirements, such as illegal promotions to health care professionals. Failure to comply with these requirements could expose us to negative publicity, fines and penalties that could harm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Currently, we own 26 U.S. patents or patent applications, including 21 utility and five provisional patent applications, and we own five international patent applications filed under the Patent Cooperation Treaty and 19 foreign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dependent on our Chief Executive Officer, Mark L. Baum, for the continued growth and development of our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for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healthcare industry is changing rapidly as consumers, governments, medical professionals and the pharmaceutical industry examine ways to broaden medical coverage while controlling the increase in healthcare costs. Such changes could include changes to make the government’s Medicare and Medicaid reimbursement programs more restrictive, which could limit or curtail the potential for our proprietary formulations to obtain eligibility for reimbursement from such payors, or changes to expand the reach of HIPAA or other health privacy laws, which could make compliance with these laws more costly and burdensome. Further, the Health Reform Law may have a considerable impact on the existing U.S. system for the delivery and financing of health care and conceivably could have a material effect on our business. Any changes to laws and regulations affecting the healthcare industry could impose significant additional costs on our operations in order to maintain compliance or could otherwise negatively affect our business, operations or financial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are able to exert control over us and our significant corporate decisions.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March 20, 2017, approximately 12%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results. If we cannot provide reliable financial results, our financial statements could be misstated, our reputation may be harmed and the trading price of our common stock could decline. As we discussed in Item 9A of our 2016 Annual Report, our management concluded that our internal controls over financial reporting were effective as of December 31, 2016.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LSAF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Offers or availability for sale of a substantial number of shares of our common stock may cause the price of our common stock to decline.</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lease approximately 7,600 square feet of office space in San Diego, California, the current lease term for which expires on October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facility serves as our corporate headquarters.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lease approximately 8,600 square feet of lab, warehouse and office space in Ledgewood, New Jersey, the current lease term for which expires on July 31, 2022 and includes options to extend the lease term through 2032. This facility is serves as an outsourcing facility and pharmacy.</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4,500 square feet of lab and office space in Irvine, California, the current lease term for which expires on December 31, 2020. This facility is our California-based pharmacy.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5,600 square feet of lab and office space in Folcroft, Pennsylvania, the current lease term for which expires on March 31, 2022. This facility is our Pennsylvania-based pharmacy.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additional space will be required in the near-term.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aware of any other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491"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began trading on The NASDAQ Capital Market in February 2013. The following table sets forth the high and low sale prices for our common stock as reported by The NASDAQ Capital Market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Fiscal Year 2015</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216"/>
        </w:trPr>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8.59</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8.78</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r>
      <w:tr>
        <w:trPr>
          <w:trHeight w:val="216"/>
        </w:trPr>
        <w:tc>
          <w:tcPr>
            <w:tcW w:w="7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Fiscal Year 2016</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216"/>
        </w:trPr>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4.16</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3.85</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15, 2017 there were approximately 261 stockholders of record (excluding an indeterminable number of stockholders whose shares are held in street or “nominee” name)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not paid any dividends on our common stock since our inception and do not expect to pay dividends on our common stock in the foreseeable future. Further, our LSAF loan agreement, described in Notes 10 and 13 to our consolidated financial statements included in this Annual Report, restrict our ability to pay cash dividends on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consolidated financial statements and the related notes contained in this annual report on Form 10-K (Annual Report). Our consolidated financial statements have been prepared and, unless otherwise stated, the information derived therefrom as presented in this discussion and analysis is presented, in accordance with accounting principles generally accepted in the United States of America (GAAP). In addition to historical information, the following discussion contains forward-looking statements based upon our current views, expectations and assumptions that are subject to risks and uncertainties. Actual results may differ substantially from those expressed or implied by any forward-looking statements due to a number of factors, including, among others, the risks described in the “Risk Factors” section and elsewhere in this Annual Report.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As used in this discussion and analysis, unless the context indicates otherwise, the terms the “Company”, “Imprimis” “we”, “us” and “our” refer to Imprimis Pharmaceuticals, Inc. and its consolidated subsidiaries, consisting of Pharmacy Creations, LLC (Pharmacy Creations), South Coast Specialty Compounding, Inc. d/b/a Park Compounding (Park), ImprimisRx TX, Inc. (ImprimisRx TX) and ImprimisRx PA, Inc. (ImprimisRx PA). In this discussion and analysis, we refer to our consolidated subsidiaries collectively as our “ImprimisRx compounding pharmacies.”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Except as otherwise noted, all dollar amounts in this discussion and analysis are expressed in thousands.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an ophthalmology-focused pharmaceutical company specializing in the development, production and sale of innovative medications that offer unique competitive advantages and serve unmet needs in the marketplace. We are committed to our mission, vision and values to deliver high-quality novel medications to physicians and patients at affordable prices.</w:t>
      </w:r>
    </w:p>
    <w:p>
      <w:pPr>
        <w:spacing w:after="0" w:line="18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cornerstone of our ophthalmology program consists of our proprietary Dropless 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injectable and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topical formulations that compete in the multi-billion dollar U.S. eye drop market. These formulations have been uniquely designed to address patient compliance issues and provide other compelling medical and economic benefits. We also offer a conscious sedation medication, the IV Free MKO Melt™, a proprietary alternative to intravenous sedation. The MKO Melt is administered sublingually to sedate patients undergoing ocular and other surgeries. We plan to expand our ophthalmology program and introduce additional innovative medications for glaucoma, wet age-related macular degeneration (wet AMD), diabetic macular edema (DME) and chronic dry eye disease (DED). Our integrative medicine business includes medications used in several therapeutic areas including oncology, autoimmunity, chronic infectious diseases, and endocrine and metabolic diseases. Our urology business includes a series of injectable erectile</w:t>
      </w:r>
    </w:p>
    <w:p>
      <w:pPr>
        <w:spacing w:after="0" w:line="3"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dysfunction formulations for patients that are refractory to or are otherwise unable to take phosphodiesterase type 5 inhibitors such as sildenafil (Viagra</w:t>
      </w:r>
      <w:r>
        <w:rPr>
          <w:rFonts w:ascii="Arial" w:cs="Arial" w:eastAsia="Arial" w:hAnsi="Arial"/>
          <w:sz w:val="26"/>
          <w:szCs w:val="26"/>
          <w:color w:val="auto"/>
          <w:vertAlign w:val="superscript"/>
        </w:rPr>
        <w:t>®</w:t>
      </w:r>
      <w:r>
        <w:rPr>
          <w:rFonts w:ascii="Arial" w:cs="Arial" w:eastAsia="Arial" w:hAnsi="Arial"/>
          <w:sz w:val="16"/>
          <w:szCs w:val="16"/>
          <w:color w:val="auto"/>
        </w:rPr>
        <w:t>), tadalafil (Cialis</w:t>
      </w:r>
      <w:r>
        <w:rPr>
          <w:rFonts w:ascii="Arial" w:cs="Arial" w:eastAsia="Arial" w:hAnsi="Arial"/>
          <w:sz w:val="26"/>
          <w:szCs w:val="26"/>
          <w:color w:val="auto"/>
          <w:vertAlign w:val="superscript"/>
        </w:rPr>
        <w:t>®</w:t>
      </w:r>
      <w:r>
        <w:rPr>
          <w:rFonts w:ascii="Arial" w:cs="Arial" w:eastAsia="Arial" w:hAnsi="Arial"/>
          <w:sz w:val="16"/>
          <w:szCs w:val="16"/>
          <w:color w:val="auto"/>
        </w:rPr>
        <w:t>) and vardenafil (Levitra</w:t>
      </w:r>
      <w:r>
        <w:rPr>
          <w:rFonts w:ascii="Arial" w:cs="Arial" w:eastAsia="Arial" w:hAnsi="Arial"/>
          <w:sz w:val="26"/>
          <w:szCs w:val="26"/>
          <w:color w:val="auto"/>
          <w:vertAlign w:val="superscript"/>
        </w:rPr>
        <w:t>®</w:t>
      </w:r>
      <w:r>
        <w:rPr>
          <w:rFonts w:ascii="Arial" w:cs="Arial" w:eastAsia="Arial" w:hAnsi="Arial"/>
          <w:sz w:val="16"/>
          <w:szCs w:val="16"/>
          <w:color w:val="auto"/>
        </w:rPr>
        <w:t>). We also make PPS-DR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(pentosan polysulfate sodium delayed-release) formulations as lower-cost alternatives</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to Elmiron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patients diagnosed with interstitial cystitis. We also make and sell low-cost therapeutic alternatives to Daraprim</w:t>
      </w:r>
      <w:r>
        <w:rPr>
          <w:rFonts w:ascii="Arial" w:cs="Arial" w:eastAsia="Arial" w:hAnsi="Arial"/>
          <w:sz w:val="30"/>
          <w:szCs w:val="30"/>
          <w:color w:val="auto"/>
          <w:vertAlign w:val="superscript"/>
        </w:rPr>
        <w:t>®</w:t>
      </w:r>
      <w:r>
        <w:rPr>
          <w:rFonts w:ascii="Arial" w:cs="Arial" w:eastAsia="Arial" w:hAnsi="Arial"/>
          <w:sz w:val="18"/>
          <w:szCs w:val="18"/>
          <w:color w:val="auto"/>
        </w:rPr>
        <w:t>,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Calcium Disodium Versenate, all FDA-approved drugs that have experienced significant price increases.</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Approximately 90 percent of our revenue is derived from buy-and-bill customers as a cash pay business and as such, the majority of our commercial transactions do not involve distributors, wholesalers, insurance companies, pharmacy benefit managers or other middle parties. We do not operate using and are not dependent on discount cards, rebates, or other methods and programs that typically eliminate transparency to the consumer. By making ourselves generally independent of third party payments, we are not subject to insurance company formulary inclusion and pharmacy benefit manager payment clawbacks. In this regard, our transactions are simple, involving a patient-in-need, a physician’s diagnosis and a fair price and great service for a quality pharmaceutical product. The efficiency of our business model allows us to quickly innovate and safely deliver novel and clinically relevant products to the market with less complications and at lower costs for our customers than traditional pharmaceutical company competitors.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$76,851 at December 31, 2016.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produce and dispense our medications directly to customers through our ImprimisRx facilities located in Ledgewood, New Jersey, Irvine, California and Folcroft, Pennsylvania. Our New Jersey facility is comprised of two separate facilities, with one facility registered with the FDA as an outsourcing facility (“NJOF”) under Section 503B of the Federal Food, Drug &amp; Cosmetic Act (FDCA). The other New Jersey facility (“NJRX”), and our California and Pennsylvania facilities, are all licensed pharmacies operating under Sections 503A of the FDCA. All products that we produce and sell are made in the United States of America.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Below are descriptions of our current programs. We also continue to evaluate and assess intellectual property and other assets we have developed or acquired, including provisional patent applications, in order to support our development and potential commercialization of additional medications focused in the ophthalmology market and in other therapeutic areas.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Ophthalmology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2013, we acquired intellectual property trademarked as SSP Technology</w:t>
      </w:r>
      <w:r>
        <w:rPr>
          <w:rFonts w:ascii="Arial" w:cs="Arial" w:eastAsia="Arial" w:hAnsi="Arial"/>
          <w:sz w:val="26"/>
          <w:szCs w:val="26"/>
          <w:color w:val="auto"/>
          <w:vertAlign w:val="superscript"/>
        </w:rPr>
        <w:t>®</w:t>
      </w:r>
      <w:r>
        <w:rPr>
          <w:rFonts w:ascii="Arial" w:cs="Arial" w:eastAsia="Arial" w:hAnsi="Arial"/>
          <w:sz w:val="16"/>
          <w:szCs w:val="16"/>
          <w:color w:val="auto"/>
        </w:rPr>
        <w:t>, which allows for combination and administration of anti-inflammatory and anti-bacterial agents after the completion of ocular surgery. SSP Technology allows for increased solubility of active pharmaceutical ingredients and the creation of tunable, uniform particle sizes which enable these combined medications to be used as an intraoperative injectable or as a topical eye drop. Since our acquisition of this technology we have continued its development to include additional active pharmaceutical ingredients, such as NSAIDs. These combination medications have begun to impact the growing cataract surgery eye drop and refractive surgery eye drop markets. Based on our success and standing in the ophthalmology market, we plan to expand into additional ocular surgery markets where there is a risk of inflammation and infection and into other markets including glaucoma, wet age-related macular degeneration (wet AMD), diabetic macular edema (DME) and chronic dry eye disease.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proprietary ophthalmic medications provide physicians with the ability to address primary complications associated with ocular surgery including infection risk and post-operative inflammation due to patient non-compliance associated with traditional multiple bottle eye drop regimens. This is achieved by reducing the complexity of and in many cases altogether avoiding the need for post-operative eye drop regimens. We market these ophthalmic formulations as Dropless Therapy and LessDrops combination eye drops. We also package multiple ophthalmic medications, which may include our proprietary Dropless Therapy or LessDrops formulations, and other non-proprietary formulations as kits and dispensed to patients with needs for multiple ocular therapies.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Dropless Therapy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cataract surgery market continues to experience significant growth. According to a 2013 Market Scope report, 3.8 million cataract surgeries are performed annually in the U.S. and nearly 22 million cataract surgeries were performed globally, with expected annual market growth of approximately 3%. The National Eye Institute estimates that over 24 million Americans currently have cataracts and that this number will grow to 38 million by 2030 and reach more than 50 million by 2050. Transparency Market Research estimates that the ophthalmology drug market will reach an estimated $21.6 billion by 2018.</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Typically, the treatment regimen for the prevention of post-cataract and other intraocular surgery complications is a pre-operative and post-operative self-administered eye drop regimen, which requires strict patient compliance and careful adherence to a prescribed dosing schedule. Physicians have reported, and studies have shown, that eye drop regimens can be confusing to patients, which can cause non-compliance and incorrect dosing. Numerous published studies conducted in the U.S. and Europe have demonstrated that antibiotics administered into the eye at the time of cataract surgery significantly reduced the risk of developing post-surgery inflammation and infection.</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Dropless Therapy medications are single, injectable intraocular doses that are administered during cataract surgery. Ophthalmologists have reported that Dropless Therapy has substantially reduced or eliminated the need for patient-administered eye drops following ocular surgery, thereby largely eliminating patient non-compliance and dosing errors associated with post-operative self-administered eye drop care regimens. Since launching Dropless Therapy in April 2014, multiple investigator initiated studies have been completed and their positive findings published in trade and peer-reviewed publications. A recently published study comparing Dropless Cataract Surgery to post-surgical topical drops found that 92 percent of the patients preferred Dropless Therapy over eye drops, and regarding post-operative visual outcome, 88 percent of patients preferred Dropless over topical drops. In a large peer-reviewed retrospective study of 1,541 patients receiving Dropless Therapy during cataract surgery, researchers reported that nearly 92 percent of the cases required no supplemental medication following surgery. A 2015 economic study with Cataract Surgeons for Improved Eyecare and conducted by Andrew Chang &amp; Co, LLC, demonstrated that, assuming a cost of $100 per dose (dollar amount not expressed in thousands), Dropless Therapy could provide collective savings to Medicare, Medicaid and patients of up to $13 billion, with a most likely savings estimate of $8.7 billion, over a 10-year period (dollar amounts not expressed in thousands).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LessDrops Combination Eye Drops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3.8 million cataract surgeries performed annually in the U.S., the American Academy of Ophthalmology (AAO) estimates that over one-half of Americans require some form of vision correction and 43 million of these individuals are candidates for refractive surgery. Nearly 96 percent of the refractive surgery procedures performed are LASIK (laser in situ keratomileusis) surgeries, an outpatient surgical procedure used to treat nearsightedness, farsightedness, and astigmatism. According to Statista, an estimated 600,000 LASIK procedures were performed in the U.S. in 2015.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648"/>
        <w:spacing w:after="0" w:line="238" w:lineRule="auto"/>
        <w:rPr>
          <w:sz w:val="20"/>
          <w:szCs w:val="20"/>
          <w:color w:val="auto"/>
        </w:rPr>
      </w:pPr>
      <w:r>
        <w:rPr>
          <w:rFonts w:ascii="Arial" w:cs="Arial" w:eastAsia="Arial" w:hAnsi="Arial"/>
          <w:sz w:val="18"/>
          <w:szCs w:val="18"/>
          <w:color w:val="auto"/>
        </w:rPr>
        <w:t>Our LessDrops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topical formulations, introduced during first quarter 2015, include combination steroid, antibiotic and non-steroidal anti-inflammatory topical eye drops for patient administration following cataract, refractive and other ocular surgeries. We estimate that our LessDrops combination eye drops may require the administration by patients of up to 50 percent fewer drops post-surgery and cost up to 75 percent less than other currently available post-surgery eye drop regimens. We plan to expand our LessDrops portfolio to provide additional eye drop choices for our ophthalmologist customers. We believe we are capturing an estimated 10 percent of the U.S. post-surgery cataract eye drop market. Over 1,500 ophthalmologist customers have adopted Dropless and LessDrops medications and we have serviced over 600,000 cataract and refractive surgeries since April 2014. A growing number of high-volume cataract surgery practices, hospitals and ambulatory surgery centers throughout the U.S. have become customers.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Glaucoma Eye Drops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During the second quarter of 2017, we intend to launch a series of preservative-free eye drops and combination eye drops for glaucoma patients. According to the Glaucoma Research Foundation, there are over 3 million Americans with glaucoma but only half are aware they have it. Glaucoma is incurable, and if not managed can lead to blindness. Generally, the first line of treatment consists of a prostaglandin-analogue (PGA) eye drop regimen. As the disease progresses, non-PGA products are generally added as a second line treatment. Topical agents, other than PGAs, include beta blockers, alpha agonists, miotics and steroids. Up to 50 percent of glaucoma patients require more than one drug following a few months of initial treatment, however the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FDA has yet to approve a PGA combination product despite combination products including a PGA (Xalacom</w:t>
      </w:r>
      <w:r>
        <w:rPr>
          <w:rFonts w:ascii="Arial" w:cs="Arial" w:eastAsia="Arial" w:hAnsi="Arial"/>
          <w:sz w:val="30"/>
          <w:szCs w:val="30"/>
          <w:color w:val="auto"/>
          <w:vertAlign w:val="superscript"/>
        </w:rPr>
        <w:t>®</w:t>
      </w:r>
      <w:r>
        <w:rPr>
          <w:rFonts w:ascii="Arial" w:cs="Arial" w:eastAsia="Arial" w:hAnsi="Arial"/>
          <w:sz w:val="18"/>
          <w:szCs w:val="18"/>
          <w:color w:val="auto"/>
        </w:rPr>
        <w:t>, DuoTrav</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Ganfort</w:t>
      </w:r>
      <w:r>
        <w:rPr>
          <w:rFonts w:ascii="Arial" w:cs="Arial" w:eastAsia="Arial" w:hAnsi="Arial"/>
          <w:sz w:val="30"/>
          <w:szCs w:val="30"/>
          <w:color w:val="auto"/>
          <w:vertAlign w:val="superscript"/>
        </w:rPr>
        <w:t>®</w:t>
      </w:r>
      <w:r>
        <w:rPr>
          <w:rFonts w:ascii="Arial" w:cs="Arial" w:eastAsia="Arial" w:hAnsi="Arial"/>
          <w:sz w:val="18"/>
          <w:szCs w:val="18"/>
          <w:color w:val="auto"/>
        </w:rPr>
        <w:t>) available outside of the U.S. Our glaucoma topical medications will include combinations of active pharmaceutical ingredients (APIs) that are similar to those formulations marketed and available in countries outside of the U.S. Our combination eye drops may require the administration of fewer drops by patients and cost significantly less than currently available glaucoma drop regimens.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 use of combination products is rising because of two major advantages; improved patient compliance by avoiding separate administration of drops and prevention of washout effect by eliminating the need for consecutive dosing intervals.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MKO Melt™ Conscious Sedation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2016, we launched our patent-pending IV Free MKO Melt™ conscious sedation formulation. Traditionally, sedation medications for ocular surgery are administered intravenously, which require IV medications and supplies, and the need for additional staff to assist in preparation, administration and monitoring related to this process. Our MKO Melt is administered sublingually and is an option to IV anesthetic to sedate patients undergoing ocular surgeries. The MKO Melt may have use in numerous other surgical procedures outside of ophthalmology including MRI procedures, dental procedures, colonoscopies, vasectomies, biopsies and women’s health.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Integrative Medicine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integrative medicine business includes personalized medications used in several integrative areas including oncology, autoimmunity, chronic infectious diseases, and endocrine and metabolic diseases. The portfolio includes ascorbic acid (non-corn source), patent-pending curcumin emulsion, lyophilized artesunate and other medications used for various integrative therapies. We sponsor the Integrative Therapies Institute (ITI) conferences that cover a multitude of integrative topics and feature speakers considered thought leaders in their respective fields.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Urology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offer injectable medications for the treatment of erectile function (ED). According to the American Urological Association (AUA) there are 20 to 30 million men in the U.S. with ED. The AUA indicates that intracavernous vasoactive injections, including Tri-Mix (phentolamine, papaverine and prostaglandin), are considered the most effective non-surgical treatment for ED. We are also developing additional formulations associated with ED, including a sublingual formulation. We currently have one managed care provider that consists of the majority of our Tri-Mix sales. We are currently marketing this large healthcare provider additional formulations, including our ophthalmic medications, and hope to grow our existing sales footprint and expand the relationship into other therapeutic areas.</w:t>
      </w:r>
    </w:p>
    <w:p>
      <w:pPr>
        <w:spacing w:after="0" w:line="19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In May 2016, we introduced our patent-pending customizable delayed-release tiopronin medications that may be prescribed by physicians as a lower-cost alternative to FDA-approved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cystinuria patients. Cystinuria is a chronic genetic disease that causes stones made of the amino acid cystine to form in the kidneys, bladder and/or urethra. In addition to the significantly lower cost, our tiopronin medications may allow for a reduction in the number of pills patients are required to consume daily.</w:t>
      </w:r>
    </w:p>
    <w:p>
      <w:pPr>
        <w:spacing w:after="0" w:line="20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We also produce and dispense PPS-DR (pentosan polysulfate sodium) oral medications as a lower-cost option to an off-patent oral drug, Elmiron</w:t>
      </w:r>
      <w:r>
        <w:rPr>
          <w:rFonts w:ascii="Arial" w:cs="Arial" w:eastAsia="Arial" w:hAnsi="Arial"/>
          <w:sz w:val="28"/>
          <w:szCs w:val="28"/>
          <w:color w:val="auto"/>
          <w:vertAlign w:val="superscript"/>
        </w:rPr>
        <w:t>®</w:t>
      </w:r>
      <w:r>
        <w:rPr>
          <w:rFonts w:ascii="Arial" w:cs="Arial" w:eastAsia="Arial" w:hAnsi="Arial"/>
          <w:sz w:val="17"/>
          <w:szCs w:val="17"/>
          <w:color w:val="auto"/>
        </w:rPr>
        <w:t>, for the treatment of symptoms associated with interstitial cystitis (IC). IC, also referred to as painful bladder syndrome and chronic pelvic pain, is a chronic bladder condition. According the Interstitial Cystitis Association, IC affects an estimated 4 to 12 million men and women in the U.S. There is no known cure for IC and a combination of therapies is recommended for most patients including medication, physical therapy and dietary changes. Our low-cost PPS-DR oral medications feature delayed-released capsules that may allow for reduced daily dosing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Markets and Development Programs</w:t>
      </w:r>
    </w:p>
    <w:p>
      <w:pPr>
        <w:spacing w:after="0" w:line="225" w:lineRule="exact"/>
        <w:rPr>
          <w:sz w:val="20"/>
          <w:szCs w:val="20"/>
          <w:color w:val="auto"/>
        </w:rPr>
      </w:pPr>
    </w:p>
    <w:p>
      <w:pPr>
        <w:jc w:val="both"/>
        <w:ind w:right="20" w:firstLine="648"/>
        <w:spacing w:after="0" w:line="228" w:lineRule="auto"/>
        <w:rPr>
          <w:sz w:val="20"/>
          <w:szCs w:val="20"/>
          <w:color w:val="auto"/>
        </w:rPr>
      </w:pPr>
      <w:r>
        <w:rPr>
          <w:rFonts w:ascii="Arial" w:cs="Arial" w:eastAsia="Arial" w:hAnsi="Arial"/>
          <w:sz w:val="18"/>
          <w:szCs w:val="18"/>
          <w:color w:val="auto"/>
        </w:rPr>
        <w:t>In October 2015, we introduced our compounded pyrimethamine and leucovorin formulations, lower-cost therapeutic alternatives to FDA-approved Daraprim</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toxoplasmosis. Toxoplasmosis can be of major concern for patients with weakened immune systems such as patients with HIV/AIDS, pregnant women and children. Our combination pyrimethamine and leucovorin formulations are now offered by Express Scripts, the largest pharmacy benefit manager in the U.S., and by many other hospitals and healthcare organizations.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9" w:right="239" w:bottom="937" w:gutter="0" w:footer="0" w:header="0"/>
        </w:sectPr>
      </w:pPr>
    </w:p>
    <w:bookmarkStart w:id="28" w:name="page29"/>
    <w:bookmarkEnd w:id="28"/>
    <w:p>
      <w:pPr>
        <w:jc w:val="both"/>
        <w:ind w:firstLine="648"/>
        <w:spacing w:after="0" w:line="277" w:lineRule="auto"/>
        <w:rPr>
          <w:sz w:val="20"/>
          <w:szCs w:val="20"/>
          <w:color w:val="auto"/>
        </w:rPr>
      </w:pPr>
      <w:r>
        <w:rPr>
          <w:rFonts w:ascii="Arial" w:cs="Arial" w:eastAsia="Arial" w:hAnsi="Arial"/>
          <w:sz w:val="18"/>
          <w:szCs w:val="18"/>
          <w:color w:val="auto"/>
        </w:rPr>
        <w:t>In September 2016, we announced the availability of our EDTA calcium disodium injectable formulation, a lower-cost alternative to FDA-approved Calcium Disodium Versenate, commonly used to stabilize and treat patients exposed to lead poisoning.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also offer hormone replacement therapy, weight loss, dermatologic, and other personalized medications, which we believe may provide differentiating and potentially beneficial factors as compared to competing therapies.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developed a patent-pending formulation that may be prescribed by physicians as a therapeutic alternative to an off-patent drug (name withheld for competitive reasons) that is prescribed for various indications mainly related to autoimmune diseases. The incumbent drug is known to present stability challenges, and we have stability and potency data on our formulation beyond 120 days. The incumbent drug has no generic competition and annual sales were over $1 billion in the U.S. during 2016. We are currently evaluating potential opportunities for this formulation including working on its development and commercialization with a strategic partner and/or developing our own clinical development program.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produce and dispense our innovative medications to a growing number of patients, physicians, hospitals, ambulatory surgery centers and pharmacy benefits managers (PBMs). In September 2016, we entered into a purchase and supply agreement with AmSurg Holdings, Inc. a leading national provider of multi-specialty outsourced physician services to more than 245 U.S. hospitals, ambulatory surgery centers and other healthcare facilities. Pursuant to the terms of the agreement, we will provide AmSurg with our core ophthalmic medications including our Dropless Therapy and LessDrops combination eye drops.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October 2016, we entered into a purchase and supply agreement with the specialty pharmacy division of a leading PBM with more than 65 million Americans covered lives. Pursuant to the terms of the agreement, we will supply the network of specialty pharmacies with our complete formulary of medications. We believe the agreement represents a new approach to efficiently deliver medications from the manufacturer directly to the consumer, thereby eliminating several layers of inefficiencies for the millions of patients covered by this renowned PBM. We expect this agreement will help accelerate the adoption of several of our products we currently offer and others we expect to launch in 2017.</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2016, we announced the launch of Correct Compound™ program with FocusScript, LLC (FocusScript), the largest compounding claims management company in the U.S. Through the program, we will jointly offer FocusScript’s proprietary CDF-Logic program of a customizable compound formulary and our portfolio to PBMs, managed care organizations and other healthcare payors. FocusScript will manage and process Correct Compound claims across FocusScript’s preferred network of over 200 compounding pharmacies which are accredited and credentialed through the UCAP program, and administered in an exclusive partnership with the National Association of Boards of Pharmacy (NABP). FocusScript will also provide its custom, proprietary system for pre-processing claims for optimal pricing, broad analytics and real-time oversight of fraud, waste and abuse. We believe this partnership allows us to leverage the value we have built in our brand and maintain our focus and resources on our rapidly-growing ophthalmology business. FocusScript’s pharmacy network, relationships with payors and comprehensive prescription drug adjudication tools should help us increase our reach and lower costs that are typically associated with the billing and adjudication process of prescription medications.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Facilities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One of our key strategies is the use of compounding pharmacies to formulate our proprietary compounded drug formulations and distribute them directly to physicians and patients. Generally, compounding pharmacies combine different APIs, all of which are FDA-approved, to create specialized preparations prescribed by a physician to treat an individually identified patient. Physicians prescribe our products because a standard medication approved by the FDA is not appropriate for a patient’s needs. Examples of compounded formulations include medications with alternative dosage strengths or unique dosage forms, such as topical creams or gels, suspensions, or solutions with more tolerable drug delivery vehicles. A compounding pharmacy is only permitted to compound or prepare a patient-specific formulation upon receipt of a physician prescription for an individual patient. Our three ImprimisRx compounding pharmacies make, dispense and sell our proprietary and non-proprietary compounded formulations and are collectively licensed to distribute to 50 states.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October 2016, we registered NJOF with the FDA as a Section 503B outsourcing facility. An outsourcing facility is an entity permitted to compound large quantities of certain drug formulations without a prescription and distribute them out of state without limitation. An outsourcing facility is required to comply with certain additional requirements that do not apply to compounding pharmacies, including adherence to current good manufacturing practices (cGMP). We estimate that our capital expenditures to build and equip the New Jersey facility were approximately $5,770, of which, we have paid approximately $5,680 as of December 31, 2016. We have also finalized improvements to our California based pharmacy. We have invested approximately $530 to make the improvements and added capacity to the pharmacy, of which we have paid approximately $403 as of December 31, 2016. We completed the improvement efforts at our California pharmacy in January 2017.</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June 2016, our Texas facility was damaged related to a faulty sprinkler head. We immediately commenced restoration efforts, notified our insurance carrier and filed claims for damages under our insurance policies, including claims related to business interruption (see discussion below regarding the Texas insurance claim). In September 2016, after consideration of the totality of circumstances surrounding our collective facility infrastructure, including estimated production capacity and capabilities of NJOF, and the damage to our Texas facility, we decided to cease operations in Texas. In February 2017, we entered into a stock purchase agreement to sell our Texas entity for $10 and transfer the lease agreement to the new owners.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urology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and Development of Formulations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Imprimis Cares initiative. 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 Additionally, we will need to rely on relationships with third parties, including pharmacists, physicians and other inventors, to assist in the identification, research, development and assessment of such formulations, which exposes us to risks. Moreover, we may be unable to identify attractive acquisition opportunities and negotiate agreements with their owners that are acceptable to us, particularly if such assets involve competition among several purchasers, and we have limited resources to invest in or acquire additional potential product development assets and integrate them into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Strategy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currently make, dispense and sell our commercially available proprietary compounded formulations and certain other non-proprietary products through our compounding pharmacies pursuant to a prescription for an individually identified patient. Additionally, in November 2016, we registered part of our New Jersey facility as an outsourcing facility. We are working to further develop our facilities into a unified compounding network. For instance, during 2016 we developed “ImprimisRx” as a uniform brand for our compounding facilities and have renamed all of our compounding facilities under this or a similar name. These efforts may also entail seeking to acquire new pharmacies or outsourcing facilities to add to our existing infrastructure, as opportunities arise. However, we have limited experience acquiring, building or operating compounding pharmacies or other prescription dispensing facilities or commercializing our formulations through ownership of or licensing arrangements with pharmacies. As a result, we may experience difficulties expanding our compounding pharmacy network strategy, including difficulties that arise as a result of our lack of experience, and we may be unsuccessful.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 and Pricing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(dollar amount not expressed in thousands), our Dropless Therapy formulations could provide collective savings to Medicare, Medicaid and patients of up to $13 billion, with a most likely savings estimate of $8.7 billion, over a 10-year period. Based on this research, we believe optimized pricing for our Dropless Therapy formulations could be nearly $100 per dose (dollar amount not expressed in thousands). Any efforts to attain optimized pricing for our Dropless Therapy or any of our other proprietary formulations could fail, which could make our products less attractive or unavailable to some patients or could reduce our margins.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Sales and Marketing Efforts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Although we believe that our proprietary drug formulations could have commercial appeal in international markets and we have engaged distributors and entered into out-licensing arrangements for certain of our proprietary formulations in certain non-U.S. markets, including Canada, we expect to continue to focus our sales and marketing efforts on our U.S. commercial opportunities during 2017. Our sales and marketing efforts are currently organized into two teams, the larger of which focuses on our ophthalmology business and the other on our non-ophthalmology business. Our sales and marketing activities consist primarily of efforts to educate doctors, ambulatory surgery centers, healthcare systems, hospitals and other users throughout the U.S. about our formulations. We expect that we may experience growth in the sales of our proprietary compounded formulations in future periods, particularly in light of our current and planned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 Further, we are dependent upon market acceptance of compounded formulations generally, and some physicians may be hesitant to prescribe, and some patients may be hesitant to purchase and use, these non-FDA approved formulations, particularly when an FDA-approved alternative is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describes certain developments in 2016 and 2017 to date that are important to understand our financial condition and results of operations. See the notes to our consolidated financial statements included in this report for additional information about each of these developments. Dollar amounts are expressed in thousands.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Equity Offering</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December 2016, we entered into a securities purchase agreement (the “SPA”) with certain purchasers identified on the schedule of buyers attached thereto (the “Investors”), which provided for the sale by us of 5,257,828 Units, with each Unit consisting of one share of common stock of the Company, (the “Common Stock”), and one warrant to purchase one share of Common Stock (the “Investor Warrants”), at a price of $1.915 per Unit for aggregate gross proceeds of approximately $10,100 (the “PIPE Offering”). The Investor Warrants have an exercise price of $1.79 per share, are non-exercisable for the first six months and will expire three years from the date of issuance. We closed the PIPE Offering on December 27, 2016 (the “Closing”). At Closing, we paid National Securities Corporation (the “Placement Agent”), in consideration for its services as placement agent for the PIPE Offering, a cash amount equal to 7.5% of the gross proceeds from the sale of the Units. We also issued to the Placement Agent a warrant (the “Agent Warrant”) to purchase up to 210,313 shares of Common Stock equal to 4% of the shares of Common Stock included in the Units (excluding the shares of Common Stock underlying the Investor Warrants) sold in the Offering. The Agent Warrant was issued on the same terms and conditions of the Investor Warrants.</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we entered into a registration rights agreement (the “Registration Rights Agreement”) with the Investors pursuant to which we agreed to register for resale the shares of Common Stock and the shares of Common Stock underlying the Investor Warrants sold in the PIPE Offering. Under the terms of the Registration Statement, we committed to file the registration statement no later than 30 days after the Closing and to cause the registration statement to become effective no later than the earlier of (i) five business days after the SEC informs the Company that no review of the registration statement will be made or that the SEC has no further comments on the registration statement or (ii) 120 days after the Closing. We filed the Registration Statement on January 23, 2017 and it was declared effective on January 30, 2017. The Placement Agent received registration rights with respect to the shares of Common Stock underlying the Agent Warrant on the same terms and conditions as the Investors.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Reorganization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2016, we entered into a third amendment (the “Third Amendment”) to the Loan and Security Agreement dated May 11, 2015, and previously amended on October 20, 2015 and again on January 22, 2016, (the “Loan Agreement”) with IMMY Funding LLC, an affiliate of Life Sciences Alternative Funding LLC (the “Lender”), as lender and collateral agent. Concurrently with entering into and related to the Third Amendment, we and the Lender also entered into an Exchange and Discharge Agreement (the “Exchange Agreement”). The Third Amendment and Exchange Agreement, among other things, primarily allowed for us and the Lender to exchange a $3,000 principal balance convertible note dated January 22, 2016 issued by us to the Lender (the “Convertible Note”), for a $3,000 term loan (the “Term B Loan”). The Term B Loan was issued in exchange for, and not funded separately, cancellation and discharge of all indebtedness related to the Convertible Note. Terms, conditions and security interests of the Term B Loan are substantially equal to those of the Loan Agreement. The Third Amendment also amended certain terms and definitions associated with prepayment, payment schedule, amortization periods and defined the outstanding principal amounts due to the Lender under the Loan Agreement and Term B Loan (collectively, the “Note”), including any interest that has been paid in kind of the principal balance, in aggregate, as $13,332.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ind w:firstLine="648"/>
        <w:spacing w:after="0" w:line="259" w:lineRule="auto"/>
        <w:rPr>
          <w:sz w:val="20"/>
          <w:szCs w:val="20"/>
          <w:color w:val="auto"/>
        </w:rPr>
      </w:pPr>
      <w:r>
        <w:rPr>
          <w:rFonts w:ascii="Arial" w:cs="Arial" w:eastAsia="Arial" w:hAnsi="Arial"/>
          <w:sz w:val="18"/>
          <w:szCs w:val="18"/>
          <w:color w:val="auto"/>
        </w:rPr>
        <w:t>Under the amended terms we are permitted to pay interest only through May 2017, and the Note begins to amortize over twenty subsequent payment periods thereafter. The Note, plus a final fee of 5% of the aggregate principal amounts under the Loan Agreement will be due on the earlier of December 1, 2018 or 20 months after the end of the interest-only period. During 2016, our interest payment obligations relating to the Note and the Convertible Note totaled approximately $1,980.</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agreements governing the LSAF Loan and the Convertible Note include financial and operating covenants that impose restrictions on our certain of activities. The amounts owed under the LSAF Loan and the Convertible Note are secured by substantially all of our personal property, rights and assets, including our intellectual property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Insurance Claim - Texas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June 2016, our Texas based facility was damaged by a malfunction with the property’s sprinkler system. We commenced restoration efforts and filed claims for damages under our insurance policies, including claims related to business interruption. In September 2016, we decided to cease operations at our Texas facility, and began winding down operations at that location. In November 2016, we were paid $861 from our insurance carrier related to the claims we filed for property damage and business interruption. We have transferred equipment and certain improvements in our Texas facility to our other facilities and all operations ceased completely near the end of 2016. As result of shutting the facility down, we incurred a charge of $303 related to the impairment of the intangible assets and goodwill of our Texas facility during the year ended December 31, 2016. In February 2017, we entered into a stock purchase agreement to sell our Texas entity for $10 and transfer the lease agreement to the new owners.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2016, we entered into an equipment sale-leaseback agreement (the “Lease Agreement”) with Essex Capital Corporation (“Essex”). Pursuant to the terms of the Lease Agreement, we sold certain equipment (the “Equipment”) to Essex for a total purchase price of approximately $2,000, which was leased back to us under a thirty-six (36) month term net basis lease with monthly payments of approximately $64. We have the right to purchase the Equipment from Essex upon the expiration of the Lease Agreement for a purchase price equal to the Equipment’s then fair market value, with such fair market value not to exceed fifteen percent (15%) of the original Equipment cost. If the equipment is not purchased, we may automatically extend the lease on a month-to-month basis or return the equipment and terminate the Lease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16, 2016, we closed an underwritten public offering of 3,335,000 shares of our common stock at a per share price to the public of $3.60, and we received net proceeds of $11,088 after deducting the underwriter discount and other offering expenses. We used the net proceeds from the offering for working capital and general corporate purchases.</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On November 27, 2015, we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(“Sales Agreement”) with Cantor Fitzgerald &amp; Co., as agent (“Cantor Fitzgerald”), pursuant to which we may offer and sell, from time to time through Cantor Fitzgerald, shares of our common stock having an aggregate offering price as set forth in the Sales Agreement and a related prospectus supplement we have filed with the Securities and Exchange Commission. We have agreed to pay Cantor Fitzgerald a cash commission of 3.0% of the aggregate gross proceeds from each sale of shares under the Sales Agreement and to reimburse Cantor Fitzgerald for certain fees and expenses in an amount not to exceed $50. We have sold 57,402 shares of common stock and received net proceeds of $212, after deducting sales commission and offering expenses, under the Sales Agreement during the year ended December 31, 2016, leaving an aggregate of $1,871 available for future sales of shares thereunder as March 20,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and Loan Agreement</w:t>
      </w:r>
    </w:p>
    <w:p>
      <w:pPr>
        <w:spacing w:after="0" w:line="225"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 xml:space="preserve">On January 22, 2016, we received gross proceeds of $3,000 upon our issuance of an 8.00% Convertible Senior Secured Note in the principal amount of $3,000 (“Convertible Note”) to the Lender. We were obligated to pay interest on the principal amount of the Convertible Note monthly in cash at a fixed per-annum rate of 8.00%, and we were obligated to repay the full principal amount of the Convertible Note in cash on May 11, 2021. The Convertible Note was convertible into shares of our common stock by the holder at any time at an effective conversion price of approximately $3.60, subject to adjustment upon certain events. The Convertible Note was exchanged in December 2016, as described in more detail above under the subtitle </w:t>
      </w:r>
      <w:r>
        <w:rPr>
          <w:rFonts w:ascii="Arial" w:cs="Arial" w:eastAsia="Arial" w:hAnsi="Arial"/>
          <w:sz w:val="16"/>
          <w:szCs w:val="16"/>
          <w:i w:val="1"/>
          <w:iCs w:val="1"/>
          <w:color w:val="auto"/>
        </w:rPr>
        <w:t>Debt Reorganization</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period-to-period comparisons of our financial results are not necessarily indicative of results for the current period or any future period. As a result of our acquisitions of our ImprimisRx compounding pharmacies, and any additional pharmacy acquisitions or other such transactions we may pursue, we may experience large expenditures specific to the transactions that are not incident to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The following presents our revenues for the years ended December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9"/>
              </w:rPr>
              <w:t>For The Year Ended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Variance</w:t>
            </w:r>
          </w:p>
        </w:tc>
      </w:tr>
      <w:tr>
        <w:trPr>
          <w:trHeight w:val="216"/>
        </w:trPr>
        <w:tc>
          <w:tcPr>
            <w:tcW w:w="4320" w:type="dxa"/>
            <w:vAlign w:val="bottom"/>
            <w:tcBorders>
              <w:top w:val="single" w:sz="8" w:color="CCEEFF"/>
            </w:tcBorders>
            <w:shd w:val="clear" w:color="auto" w:fill="CCEEFF"/>
          </w:tcPr>
          <w:p>
            <w:pPr>
              <w:jc w:val="right"/>
              <w:ind w:right="3510"/>
              <w:spacing w:after="0"/>
              <w:rPr>
                <w:sz w:val="20"/>
                <w:szCs w:val="20"/>
                <w:color w:val="auto"/>
              </w:rPr>
            </w:pPr>
            <w:r>
              <w:rPr>
                <w:rFonts w:ascii="Arial" w:cs="Arial" w:eastAsia="Arial" w:hAnsi="Arial"/>
                <w:sz w:val="18"/>
                <w:szCs w:val="18"/>
                <w:b w:val="1"/>
                <w:bCs w:val="1"/>
                <w:color w:val="auto"/>
                <w:w w:val="83"/>
              </w:rPr>
              <w:t>Sales,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10,273</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jc w:val="right"/>
              <w:ind w:right="2930"/>
              <w:spacing w:after="0"/>
              <w:rPr>
                <w:sz w:val="20"/>
                <w:szCs w:val="20"/>
                <w:color w:val="auto"/>
              </w:rPr>
            </w:pPr>
            <w:r>
              <w:rPr>
                <w:rFonts w:ascii="Arial" w:cs="Arial" w:eastAsia="Arial" w:hAnsi="Arial"/>
                <w:sz w:val="18"/>
                <w:szCs w:val="18"/>
                <w:b w:val="1"/>
                <w:bCs w:val="1"/>
                <w:color w:val="auto"/>
                <w:w w:val="84"/>
              </w:rPr>
              <w:t>License revenues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320" w:type="dxa"/>
            <w:vAlign w:val="bottom"/>
            <w:tcBorders>
              <w:top w:val="single" w:sz="8" w:color="CCEEFF"/>
              <w:bottom w:val="single" w:sz="8" w:color="CCEEFF"/>
            </w:tcBorders>
            <w:shd w:val="clear" w:color="auto" w:fill="CCEEFF"/>
          </w:tcPr>
          <w:p>
            <w:pPr>
              <w:jc w:val="right"/>
              <w:ind w:right="293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increase in revenue between periods was largely attributable to increased sales of our proprietary formulations and introduction of new proprietary formulations throughout calendar 2015 and furtherance of those sales in 2016, including our LessDrops formulations. Our ophthalmology related sales were approximately $10,984 the year ended December 31, 2016, compared to $3,060 during last year,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years ended December 31, 2016 and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Year Ended</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4"/>
        </w:trPr>
        <w:tc>
          <w:tcPr>
            <w:tcW w:w="4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2"/>
                <w:szCs w:val="22"/>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2"/>
                <w:szCs w:val="22"/>
                <w:color w:val="auto"/>
              </w:rPr>
            </w:pPr>
          </w:p>
        </w:tc>
      </w:tr>
      <w:tr>
        <w:trPr>
          <w:trHeight w:val="250"/>
        </w:trPr>
        <w:tc>
          <w:tcPr>
            <w:tcW w:w="43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Variance</w:t>
            </w:r>
          </w:p>
        </w:tc>
      </w:tr>
      <w:tr>
        <w:trPr>
          <w:trHeight w:val="23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4"/>
              </w:rPr>
              <w:t>9,831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our cost of sales between periods was largely attributable to an increase in the volume of unit sales of our formulations and products and our associated costs of such sales. During the third quarter of 2016 due to the property damage at our Texas facility, we hired temporary staff to assist with the order fulfillment that was shifted to our California and New Jersey pharmacies. The costs associated with the temporary staff and limited production efficiencies contributed to the increase in cost of sales during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compounded formulations and other non-proprietary pharmacy products and formulations, which include associated personnel costs, including wages and stock-based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and marketing expenses for the years ended December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Year Ended</w:t>
            </w:r>
          </w:p>
        </w:tc>
        <w:tc>
          <w:tcPr>
            <w:tcW w:w="140" w:type="dxa"/>
            <w:vAlign w:val="bottom"/>
          </w:tcPr>
          <w:p>
            <w:pPr>
              <w:spacing w:after="0"/>
              <w:rPr>
                <w:sz w:val="19"/>
                <w:szCs w:val="19"/>
                <w:color w:val="auto"/>
              </w:rPr>
            </w:pPr>
          </w:p>
        </w:tc>
        <w:tc>
          <w:tcPr>
            <w:tcW w:w="9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4"/>
              </w:rPr>
              <w:t>7,382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selling and marketing expenses during the year ended December 31, 2016, was primarily attributable to the expansion of our sales and marketing efforts (in particular during the earlier part of the year), which included additional commercialization personnel, attendance at trade conferences and implementation of other various marketing activities, all related to our commercialization efforts for our proprietary and certain non-proprietary compounded formulations.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general and administrative expenses for the year ended December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For The Year Ended</w:t>
            </w:r>
          </w:p>
        </w:tc>
        <w:tc>
          <w:tcPr>
            <w:tcW w:w="140" w:type="dxa"/>
            <w:vAlign w:val="bottom"/>
          </w:tcPr>
          <w:p>
            <w:pPr>
              <w:spacing w:after="0"/>
              <w:rPr>
                <w:sz w:val="19"/>
                <w:szCs w:val="19"/>
                <w:color w:val="auto"/>
              </w:rPr>
            </w:pPr>
          </w:p>
        </w:tc>
        <w:tc>
          <w:tcPr>
            <w:tcW w:w="9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Variance</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32</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The increase in general and administrative expenses between periods was largely attributable to additional expenses resulting from the opening and acquisition of additional compounding facilities, as well as the general increase of our operations to support growth in sales, including hiring additional personnel, obtaining and maintaining state pharmacy licenses, incurring increased professional fees and other related activities. We also incurred additional expenses related to the cessation of our Texas entity during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years ended December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204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1"/>
              </w:rPr>
              <w:t>For The Year Ended</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2040" w:type="dxa"/>
            <w:vAlign w:val="bottom"/>
            <w:tcBorders>
              <w:bottom w:val="single" w:sz="8" w:color="auto"/>
            </w:tcBorders>
            <w:gridSpan w:val="4"/>
          </w:tcPr>
          <w:p>
            <w:pPr>
              <w:jc w:val="center"/>
              <w:ind w:left="23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variance in research and development expenses between periods was primarily attributable to change in timing of our sponsorship of investigator-initiated evaluations related to certain of our proprietary compounded formulations. In the fourth quarter of the year ended December 31, 2016, we also began formulation development studies on many of our core formulations.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 and Goodwill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more fully described in Note 2 to the Consolidated Financial Statements, the Company performs an evaluation of long-lived assets and intangible assets for impairment when certain indicators of impairment are present. In September 2016, we decided to cease operations at our Texas facility, and began winding down operations at that location. Based on current projections regarding future cash flows of our Texas facility and subsidiary, the evaluation resulted in an impairment of $303 related to intangible assets and goodwill of our Texas subsidiary, recorded to impairment of long-lived assets on the Consolidated Statement of Operations during the year ended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was $10 for the year ended December 31, 2016, compared to $5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was $2,784 for the year ended December 31, 2016, compared to $1,113 in the prior year. The increase was primarily due to interest expense recognition related to the LSAF Loan and Convertible Note, as well as capital leases and deferred acquisition obligations related to our acquisition of Park.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Extinguishment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extinguishment was $1,966 for the year ended December 31, 2016, which was related to the exchange and discharge of our $3,000 convertible note with IMMY Funding,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benefit was $111 for the year ended December 31, 2016, which was related to the net valuation change in our deferred tax liabilities and assets, specifically those related to the Park acquisition and its identifiable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recorded other income of $1,537 during the year ended December 31, 2016, related to proceeds from our insurance claim in Texas, settlement with Urigen Pharmaceuticals, Inc. In May 2016, we paid the contingent acquisition obligation for Pharmacy Creations, LLC and recorded a gain of $81 during the year ended December 31,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for the year ended December 31, 2016 was $(19,087), or $(1.50) basic and diluted net loss per share, respectively, compared to a net loss for the prior year of $(15,899), or $(1.66), basic and diluted net loss per share,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cash on hand at December 31, 2016 was $8,853, compared to $2,685 at December 31, 2015. The increase in cash on hand between years was primarily attributable to our underwritten public offering in 2016 of 3,335,000 shares of our common stock at a per share price to the public of $3.60, in which we received net proceeds of $11,088 after deducting the underwriter discount and other offering expenses, and our private placement offering in 2016 of 5,257,828 Units, with each Unit consisting of one share of common stock and one warrant to purchase one share of common stock, at a per unit price of $1.915, in which we received net proceeds of $9,217 after deducting placement agent fees and other offering expenses. Since inception through December 31, 2016, we have incurred aggregate losses to common stockholders of $(76,851).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date of this Annual Report, we believe that cash and cash equivalents and restricted investments of approximately $9,053 at December 31, 2016, will be sufficient to sustain our planned level of operations and capital expenditures for at least the next 12 months.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product candidate for which we pursue FDA approval, to pursue additional development programs or to explore other development opportunities.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leverage recent investments made to our New Jersey facility, including new production processes and filling and labeling automation, to offset previously planned production in Texas. We also have made recent company-wide improvements in technology integration, production automation, quality systems and other supply chain efficiencies. These actions are expected to streamline our operations and reduce expected cash based expenses by nearly $3,000 annually without impacting our growth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years ended December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For the</w:t>
            </w:r>
          </w:p>
        </w:tc>
        <w:tc>
          <w:tcPr>
            <w:tcW w:w="180" w:type="dxa"/>
            <w:vAlign w:val="bottom"/>
          </w:tcPr>
          <w:p>
            <w:pPr>
              <w:spacing w:after="0"/>
              <w:rPr>
                <w:sz w:val="18"/>
                <w:szCs w:val="18"/>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For the</w:t>
            </w:r>
          </w:p>
        </w:tc>
      </w:tr>
      <w:tr>
        <w:trPr>
          <w:trHeight w:val="230"/>
        </w:trPr>
        <w:tc>
          <w:tcPr>
            <w:tcW w:w="5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9"/>
                <w:szCs w:val="19"/>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8"/>
              </w:rPr>
              <w:t>Year Ended</w:t>
            </w:r>
          </w:p>
        </w:tc>
      </w:tr>
      <w:tr>
        <w:trPr>
          <w:trHeight w:val="241"/>
        </w:trPr>
        <w:tc>
          <w:tcPr>
            <w:tcW w:w="5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December 31, 2016</w:t>
            </w:r>
          </w:p>
        </w:tc>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3"/>
              </w:rPr>
              <w:t>December 31, 2015</w:t>
            </w: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(7,289)</w:t>
            </w:r>
          </w:p>
        </w:tc>
        <w:tc>
          <w:tcPr>
            <w:tcW w:w="18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(5,130)</w:t>
            </w:r>
          </w:p>
        </w:tc>
      </w:tr>
      <w:tr>
        <w:trPr>
          <w:trHeight w:val="25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24,672</w:t>
            </w: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10,747</w:t>
            </w:r>
          </w:p>
        </w:tc>
        <w:tc>
          <w:tcPr>
            <w:tcW w:w="60" w:type="dxa"/>
            <w:vAlign w:val="bottom"/>
            <w:shd w:val="clear" w:color="auto" w:fill="CCEEFF"/>
          </w:tcPr>
          <w:p>
            <w:pPr>
              <w:spacing w:after="0"/>
              <w:rPr>
                <w:sz w:val="21"/>
                <w:szCs w:val="21"/>
                <w:color w:val="auto"/>
              </w:rPr>
            </w:pPr>
          </w:p>
        </w:tc>
      </w:tr>
      <w:tr>
        <w:trPr>
          <w:trHeight w:val="203"/>
        </w:trPr>
        <w:tc>
          <w:tcPr>
            <w:tcW w:w="51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3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6,168</w:t>
            </w: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(5,526)</w:t>
            </w:r>
          </w:p>
        </w:tc>
        <w:tc>
          <w:tcPr>
            <w:tcW w:w="80" w:type="dxa"/>
            <w:vAlign w:val="bottom"/>
            <w:tcBorders>
              <w:top w:val="single" w:sz="8" w:color="CCEEFF"/>
            </w:tcBorders>
            <w:gridSpan w:val="2"/>
          </w:tcPr>
          <w:p>
            <w:pPr>
              <w:spacing w:after="0"/>
              <w:rPr>
                <w:sz w:val="17"/>
                <w:szCs w:val="17"/>
                <w:color w:val="auto"/>
              </w:rPr>
            </w:pPr>
          </w:p>
        </w:tc>
      </w:tr>
      <w:tr>
        <w:trPr>
          <w:trHeight w:val="25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2,685</w:t>
            </w: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8,211</w:t>
            </w:r>
          </w:p>
        </w:tc>
        <w:tc>
          <w:tcPr>
            <w:tcW w:w="60" w:type="dxa"/>
            <w:vAlign w:val="bottom"/>
            <w:shd w:val="clear" w:color="auto" w:fill="CCEEFF"/>
          </w:tcPr>
          <w:p>
            <w:pPr>
              <w:spacing w:after="0"/>
              <w:rPr>
                <w:sz w:val="21"/>
                <w:szCs w:val="21"/>
                <w:color w:val="auto"/>
              </w:rPr>
            </w:pPr>
          </w:p>
        </w:tc>
      </w:tr>
      <w:tr>
        <w:trPr>
          <w:trHeight w:val="217"/>
        </w:trPr>
        <w:tc>
          <w:tcPr>
            <w:tcW w:w="5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end of the year</w:t>
            </w:r>
          </w:p>
        </w:tc>
        <w:tc>
          <w:tcPr>
            <w:tcW w:w="13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8,853</w:t>
            </w: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cash used in operating activities for the year ended December 31, 2016 was $(11,215), as compared to $(11,143) used in operating activities during the prior year. The net cash used in operating activities was mainly attributed to expanding our operations, including hiring additional personnel, commercialization and marketing activities related to our proprietary formulations, prescription fulfillment activities and other related undertakings.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for the year ended December 31, 2016 and 2015 was $(7,289) and $(5,130), respectively. Cash used in investing activities in 2016 was primarily related to construction efforts and equipment purchases for our New Jersey, California and Texas facilities. Cash used in investing activities in 2015 was primarily related the beginning construction efforts for our New Jersey facility and our acquisitions of Park, CAP and assets of ImprimisRx PA.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for the year ended December 31, 2016 and 2015 was $24,672 and $10,747, respectively. Cash provided by financing activities in 2016 was primarily attributable to proceeds received in January 2016 from the LSAF Convertible Note, proceeds received from the underwritten public offering and sale of shares of common stock in March 2016 and private placement offering in December 2016. The cash provided by financing activities during the year ended December 31, 2015 is primarily attributable to proceeds from the LSAF Loan entered in May 2015, and the proceeds received from cash exercises of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principal sources of cash consist of cash provided by financing activities, including: (a) gross proceeds of $3,000 received in January 2016 from the Convertible Note issuance; (b) net proceeds of $11,088 from our sale of 3,335,000 shares of common stock in our March 2016 public offering; (c) gross proceeds of $2,000 from our sale and leaseback of certain equipment in August 2016; and (d) net proceeds of $9,217 from the private placement offering of 5,257,828 Units in December 2016. We also obtained capital from insurance proceeds related to business interruption and property loss of our Texas facility of $861 in November 2016 and from ongoing product and formulation sales. We do not currently receive sufficient revenues to support our operations.</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need significant additional capital to support our business plan and fund our proposed business operations. We are eligible to receive $1,871 in additional gross proceeds from future sales of our common stock under the Sales Agreement.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LSAF Loan and the LSAF Note.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of how results and trends might change in the future. Although we believe that the estimates we use are reasonable, actual results could differ materially from these estimates.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the use of more significant judgments and estimates in the preparation of our consolidated financial statements. An accounting policy is deemed to be critical if it requires an accounting estimate to be made based on assumptions about matters that are highly uncertain at the time the estimate is made, and any changes in the assumptions used in making the accounting estimates that are reasonably likely to occur could materially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recognize revenues when all of the following criteria have been met: (1) persuasive evidence of an arrangement exists; (2) delivery has occurred; (3) the selling price is fixed and determinable; and (4) collectability is reasonably assured.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We will defer any revenues received for a product that has not been delivered or is subject to refund until such time that we and the customer jointly determine that the product has been delivered and no refund will be required.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Non-refundable fees that are not contingent on any future performance by us and require no consequential continuing involvement on our part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We defer recognition of non-refundable fees if we have continuing performance obligations without which the technology, right, product or service conveyed in conjunction with the non-refundable fee has no utility to the licensee and that are separate and independent of our performance under the other elements of the arrangement. In addition, if our continued involvement is required, through research and development services that are related to our proprietary know-how and expertise of the delivered technology or can only be performed by us, then such non-refundable fees are deferred and recognized over the period of continuing involvement. Guaranteed minimum annual royalties are recognized on a straight-line basis over the applicable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stock-based payments to employees, directors and consultants, including grants of stock options, warrants, restricted stock units and restricted stock, are recognized in the consolidated financial statements based upon their estimated fair values. We use the Black-Scholes-Merton option pricing model and Monte Carlo Simulation to estimate the fair value of stock-based awards.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accounting policy for equity instruments issued to consultants and vendors in exchange for goods and services follows the Financial Accounting Standards Board (FASB) guidance. As such, the value of the applicable stock-based compensation is periodically remeasured and income or expense is recognized during the vesting term of the equity instruments. The measurement date for the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stock-based consulting expenses in our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the process of preparing our consolidated financial statements, we must estimate our actual current tax liabilities and assess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income tax expense in the statement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expense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We began capitalizing certain costs associated with acquiring intellectual property rights during 2015, if costs are not capitalized they are expensed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Long-lived assets, such as furniture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account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we have acquired or may acquire in the future include but are not limited to:</w:t>
      </w:r>
    </w:p>
    <w:p>
      <w:pPr>
        <w:spacing w:after="0" w:line="171" w:lineRule="exact"/>
        <w:rPr>
          <w:sz w:val="20"/>
          <w:szCs w:val="20"/>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estimates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financial position, statements of operations or cash flows in the period of the change in the estimate.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we capitalize third party legal costs and filing fees associated with obtaining and prosecuting claims related to its patents and trademarks. Once the patents have been issued, we amortize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review our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underperformance of the our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decline in the our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Step 1. We compare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we then perform the second step of the impairment test. If the fair value of a reporting unit exceeds its carrying amount, no further analysis is required.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Step 2. If further analysis is required, we compare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and the debt discount are recorded net of note payable in the consolidated balance sheet. Amortization expense of debt issuance costs and the debt discount is calculated using the effective interest method over the term of the debt and is recorded in interest expense in the accompanying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free-standing derivative instruments and hybrid instruments that contain embedded derivative features as either assets or liabilities in the balance sheet and are measured at fair values with gains or losses recognized in earnings. Embedded derivatives that are not clearly and closely related to the host contract are bifurcated and are recognized at fair value with changes in fair value recognized as either a gain or loss in earnings. We determine the fair value of derivative instruments and hybrid instruments based on available market data using appropriate valuation models, giving consideration to all of the rights and obligations of each instrument.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ind w:firstLine="648"/>
        <w:spacing w:after="0" w:line="270" w:lineRule="auto"/>
        <w:rPr>
          <w:sz w:val="20"/>
          <w:szCs w:val="20"/>
          <w:color w:val="auto"/>
        </w:rPr>
      </w:pPr>
      <w:r>
        <w:rPr>
          <w:rFonts w:ascii="Arial" w:cs="Arial" w:eastAsia="Arial" w:hAnsi="Arial"/>
          <w:sz w:val="17"/>
          <w:szCs w:val="17"/>
          <w:color w:val="auto"/>
        </w:rPr>
        <w:t>We estimate the fair value of derivative instruments and hybrid instruments using various techniques (and combinations thereof) that are considered to be consistent with the objective of measuring fair value. In selecting the appropriate technique, we consider, among other factors, the nature of the instrument, the market risks that it embodies and the expected means of settlement. We generally use the Black-Scholes-Merton option pricing model, adjusted for the effect of dilution, because it embodies all of the requisite assumptions (including trading volatility, estimated terms, dilution and risk-free rates) necessary to estimate the fair value these instruments. Estimating the fair value of derivative financial instruments requires the development of significant and subjective estimates that may, and are likely to, change over the duration of the instrument with related changes in internal and external market factors. Increases in the trading price of our common stock and increases in fair value during a given financial quarter result in the application of non-cash derivative expense. Conversely, decreases in the trading price of our common stock and decreases in fair value during a given financial quarter would result in the application of non-cash derivative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2 to our consolidated financial statements included in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included in this Annual Report beginning on page F-1 immediately following the signature page hereto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(CEO), our principal executive officer, and our Chief Financial Officer (CFO), our principal financial and accounting officer, conducted an evaluation of the effectiveness of our disclosure controls and procedures as of December 31, 2016, the end of the period covered by this Annual Report, pursuant to Rules 13a-15(b) and 15d-15(b) under the Securities Exchange Act of 1934, as amended (Exchange Act).</w:t>
      </w:r>
    </w:p>
    <w:p>
      <w:pPr>
        <w:spacing w:after="0" w:line="187"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In connection with that evaluation, our CEO and CFO concluded that, as of December 31, 2016, our disclosure controls and procedures were effective. For the purpose of this review, disclosure controls and procedures means controls and procedures designed to ensure that information required to be disclosed by us in the reports that we file or submit under the Exchange Act is recorded, processed, summarized and reported within the time periods specified in the Securities and Exchange Commission’s rules and forms. These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officer, principal financial officer and principal accounting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under the supervision and with the participation of our CEO and CFO,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(COSO). Based on such evaluation, management concluded that our internal control over financial reporting was effective as of December 31, 2016.</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Management’s report was not subject to attestation requirements by our independent registered public accounting firm pursuant to rules of the Securities and Exchange Commission that permit us to provide only management’s report in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December 31, 2016, that has materially affected, or is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including our CEO and CFO, do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491"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firstLine="441"/>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by reference to information contained in the Proxy Statement or an amendment to this Annual</w:t>
      </w:r>
    </w:p>
    <w:p>
      <w:pPr>
        <w:spacing w:after="0" w:line="46" w:lineRule="exact"/>
        <w:rPr>
          <w:sz w:val="20"/>
          <w:szCs w:val="20"/>
          <w:color w:val="auto"/>
        </w:rPr>
      </w:pPr>
    </w:p>
    <w:p>
      <w:pPr>
        <w:ind w:right="440"/>
        <w:spacing w:after="0" w:line="205" w:lineRule="auto"/>
        <w:rPr>
          <w:sz w:val="20"/>
          <w:szCs w:val="20"/>
          <w:color w:val="auto"/>
        </w:rPr>
      </w:pPr>
      <w:r>
        <w:rPr>
          <w:rFonts w:ascii="Arial" w:cs="Arial" w:eastAsia="Arial" w:hAnsi="Arial"/>
          <w:sz w:val="18"/>
          <w:szCs w:val="18"/>
          <w:color w:val="auto"/>
        </w:rPr>
        <w:t>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List of the following documents filed as part of the report: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See the index to our consolidated financial statements on page F-1 for a list of the financial statements being filed in this Annual Report.</w:t>
      </w:r>
    </w:p>
    <w:p>
      <w:pPr>
        <w:spacing w:after="0" w:line="248" w:lineRule="exact"/>
        <w:rPr>
          <w:rFonts w:ascii="Arial" w:cs="Arial" w:eastAsia="Arial" w:hAnsi="Arial"/>
          <w:sz w:val="16"/>
          <w:szCs w:val="16"/>
          <w:color w:val="auto"/>
        </w:rPr>
      </w:pPr>
    </w:p>
    <w:p>
      <w:pPr>
        <w:ind w:left="1300" w:right="22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or the required information is shown in the consolidated financial statements or the notes thereto.</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See Item 15(b) below for all exhibits being filed or incorporated by reference herein.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Exhibit Index attached to this Annual Report is incorporated by reference herein.</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661" w:right="51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 (Principal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21, 2017</w:t>
      </w:r>
    </w:p>
    <w:p>
      <w:pPr>
        <w:spacing w:after="0" w:line="22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any or all amendments to this Annual Report, and to file the same, with all exhibits thereto, and other documents in connection therewith, with the Securities and Exchange Commission, granting unto said attorneys-in-fact and agents or any of them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substitutes, may lawfully do or cause to be done by virtue thereof.</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18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65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240" w:type="dxa"/>
            <w:vAlign w:val="bottom"/>
          </w:tcPr>
          <w:p>
            <w:pPr>
              <w:spacing w:after="0"/>
              <w:rPr>
                <w:sz w:val="24"/>
                <w:szCs w:val="24"/>
                <w:color w:val="auto"/>
              </w:rPr>
            </w:pPr>
          </w:p>
        </w:tc>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Financial Officer</w:t>
            </w:r>
          </w:p>
        </w:tc>
        <w:tc>
          <w:tcPr>
            <w:tcW w:w="1820" w:type="dxa"/>
            <w:vAlign w:val="bottom"/>
          </w:tcPr>
          <w:p>
            <w:pPr>
              <w:spacing w:after="0"/>
              <w:rPr>
                <w:sz w:val="20"/>
                <w:szCs w:val="20"/>
                <w:color w:val="auto"/>
              </w:rPr>
            </w:pPr>
            <w:r>
              <w:rPr>
                <w:rFonts w:ascii="Arial" w:cs="Arial" w:eastAsia="Arial" w:hAnsi="Arial"/>
                <w:sz w:val="18"/>
                <w:szCs w:val="18"/>
                <w:color w:val="auto"/>
              </w:rPr>
              <w:t>March 21, 2017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Andrew R. Boll</w:t>
            </w:r>
          </w:p>
        </w:tc>
        <w:tc>
          <w:tcPr>
            <w:tcW w:w="240" w:type="dxa"/>
            <w:vAlign w:val="bottom"/>
          </w:tcPr>
          <w:p>
            <w:pPr>
              <w:spacing w:after="0"/>
              <w:rPr>
                <w:sz w:val="20"/>
                <w:szCs w:val="20"/>
                <w:color w:val="auto"/>
              </w:rPr>
            </w:pPr>
          </w:p>
        </w:tc>
        <w:tc>
          <w:tcPr>
            <w:tcW w:w="53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40" w:type="dxa"/>
            <w:vAlign w:val="bottom"/>
          </w:tcPr>
          <w:p>
            <w:pPr>
              <w:spacing w:after="0"/>
              <w:rPr>
                <w:sz w:val="24"/>
                <w:szCs w:val="24"/>
                <w:color w:val="auto"/>
              </w:rPr>
            </w:pPr>
          </w:p>
        </w:tc>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Executive Officer and Director</w:t>
            </w:r>
          </w:p>
        </w:tc>
        <w:tc>
          <w:tcPr>
            <w:tcW w:w="1820" w:type="dxa"/>
            <w:vAlign w:val="bottom"/>
          </w:tcPr>
          <w:p>
            <w:pPr>
              <w:spacing w:after="0"/>
              <w:rPr>
                <w:sz w:val="20"/>
                <w:szCs w:val="20"/>
                <w:color w:val="auto"/>
              </w:rPr>
            </w:pPr>
            <w:r>
              <w:rPr>
                <w:rFonts w:ascii="Arial" w:cs="Arial" w:eastAsia="Arial" w:hAnsi="Arial"/>
                <w:sz w:val="18"/>
                <w:szCs w:val="18"/>
                <w:color w:val="auto"/>
              </w:rPr>
              <w:t>March 21, 2017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Mark L. Baum</w:t>
            </w:r>
          </w:p>
        </w:tc>
        <w:tc>
          <w:tcPr>
            <w:tcW w:w="240" w:type="dxa"/>
            <w:vAlign w:val="bottom"/>
          </w:tcPr>
          <w:p>
            <w:pPr>
              <w:spacing w:after="0"/>
              <w:rPr>
                <w:sz w:val="20"/>
                <w:szCs w:val="20"/>
                <w:color w:val="auto"/>
              </w:rPr>
            </w:pPr>
          </w:p>
        </w:tc>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240" w:type="dxa"/>
            <w:vAlign w:val="bottom"/>
          </w:tcPr>
          <w:p>
            <w:pPr>
              <w:spacing w:after="0"/>
              <w:rPr>
                <w:sz w:val="24"/>
                <w:szCs w:val="24"/>
                <w:color w:val="auto"/>
              </w:rPr>
            </w:pPr>
          </w:p>
        </w:tc>
        <w:tc>
          <w:tcPr>
            <w:tcW w:w="53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1820" w:type="dxa"/>
            <w:vAlign w:val="bottom"/>
          </w:tcPr>
          <w:p>
            <w:pPr>
              <w:spacing w:after="0"/>
              <w:rPr>
                <w:sz w:val="20"/>
                <w:szCs w:val="20"/>
                <w:color w:val="auto"/>
              </w:rPr>
            </w:pPr>
            <w:r>
              <w:rPr>
                <w:rFonts w:ascii="Arial" w:cs="Arial" w:eastAsia="Arial" w:hAnsi="Arial"/>
                <w:sz w:val="18"/>
                <w:szCs w:val="18"/>
                <w:color w:val="auto"/>
              </w:rPr>
              <w:t>March 21, 2017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Robert J. Kammer</w:t>
            </w:r>
          </w:p>
        </w:tc>
        <w:tc>
          <w:tcPr>
            <w:tcW w:w="240" w:type="dxa"/>
            <w:vAlign w:val="bottom"/>
          </w:tcPr>
          <w:p>
            <w:pPr>
              <w:spacing w:after="0"/>
              <w:rPr>
                <w:sz w:val="20"/>
                <w:szCs w:val="20"/>
                <w:color w:val="auto"/>
              </w:rPr>
            </w:pPr>
          </w:p>
        </w:tc>
        <w:tc>
          <w:tcPr>
            <w:tcW w:w="536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G. Austin</w:t>
            </w:r>
          </w:p>
        </w:tc>
        <w:tc>
          <w:tcPr>
            <w:tcW w:w="240" w:type="dxa"/>
            <w:vAlign w:val="bottom"/>
          </w:tcPr>
          <w:p>
            <w:pPr>
              <w:spacing w:after="0"/>
              <w:rPr>
                <w:sz w:val="24"/>
                <w:szCs w:val="24"/>
                <w:color w:val="auto"/>
              </w:rPr>
            </w:pPr>
          </w:p>
        </w:tc>
        <w:tc>
          <w:tcPr>
            <w:tcW w:w="53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21, 2017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Stephen G. Austin</w:t>
            </w:r>
          </w:p>
        </w:tc>
        <w:tc>
          <w:tcPr>
            <w:tcW w:w="240" w:type="dxa"/>
            <w:vAlign w:val="bottom"/>
          </w:tcPr>
          <w:p>
            <w:pPr>
              <w:spacing w:after="0"/>
              <w:rPr>
                <w:sz w:val="20"/>
                <w:szCs w:val="20"/>
                <w:color w:val="auto"/>
              </w:rPr>
            </w:pPr>
          </w:p>
        </w:tc>
        <w:tc>
          <w:tcPr>
            <w:tcW w:w="536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240" w:type="dxa"/>
            <w:vAlign w:val="bottom"/>
          </w:tcPr>
          <w:p>
            <w:pPr>
              <w:spacing w:after="0"/>
              <w:rPr>
                <w:sz w:val="24"/>
                <w:szCs w:val="24"/>
                <w:color w:val="auto"/>
              </w:rPr>
            </w:pPr>
          </w:p>
        </w:tc>
        <w:tc>
          <w:tcPr>
            <w:tcW w:w="53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21, 2017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Richard L. Lindstrom</w:t>
            </w:r>
          </w:p>
        </w:tc>
        <w:tc>
          <w:tcPr>
            <w:tcW w:w="240" w:type="dxa"/>
            <w:vAlign w:val="bottom"/>
          </w:tcPr>
          <w:p>
            <w:pPr>
              <w:spacing w:after="0"/>
              <w:rPr>
                <w:sz w:val="20"/>
                <w:szCs w:val="20"/>
                <w:color w:val="auto"/>
              </w:rPr>
            </w:pPr>
          </w:p>
        </w:tc>
        <w:tc>
          <w:tcPr>
            <w:tcW w:w="536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Anthony J. Principi</w:t>
            </w:r>
          </w:p>
        </w:tc>
        <w:tc>
          <w:tcPr>
            <w:tcW w:w="240" w:type="dxa"/>
            <w:vAlign w:val="bottom"/>
          </w:tcPr>
          <w:p>
            <w:pPr>
              <w:spacing w:after="0"/>
              <w:rPr>
                <w:sz w:val="24"/>
                <w:szCs w:val="24"/>
                <w:color w:val="auto"/>
              </w:rPr>
            </w:pPr>
          </w:p>
        </w:tc>
        <w:tc>
          <w:tcPr>
            <w:tcW w:w="53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5"/>
              </w:rPr>
              <w:t>Director</w:t>
            </w:r>
          </w:p>
        </w:tc>
        <w:tc>
          <w:tcPr>
            <w:tcW w:w="1820" w:type="dxa"/>
            <w:vAlign w:val="bottom"/>
          </w:tcPr>
          <w:p>
            <w:pPr>
              <w:spacing w:after="0"/>
              <w:rPr>
                <w:sz w:val="20"/>
                <w:szCs w:val="20"/>
                <w:color w:val="auto"/>
              </w:rPr>
            </w:pPr>
            <w:r>
              <w:rPr>
                <w:rFonts w:ascii="Arial" w:cs="Arial" w:eastAsia="Arial" w:hAnsi="Arial"/>
                <w:sz w:val="18"/>
                <w:szCs w:val="18"/>
                <w:color w:val="auto"/>
              </w:rPr>
              <w:t>March 21, 2017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Anthony J. Principi</w:t>
            </w:r>
          </w:p>
        </w:tc>
        <w:tc>
          <w:tcPr>
            <w:tcW w:w="240" w:type="dxa"/>
            <w:vAlign w:val="bottom"/>
          </w:tcPr>
          <w:p>
            <w:pPr>
              <w:spacing w:after="0"/>
              <w:rPr>
                <w:sz w:val="20"/>
                <w:szCs w:val="20"/>
                <w:color w:val="auto"/>
              </w:rPr>
            </w:pPr>
          </w:p>
        </w:tc>
        <w:tc>
          <w:tcPr>
            <w:tcW w:w="536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0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2"/>
          </w:tcPr>
          <w:p>
            <w:pPr>
              <w:jc w:val="right"/>
              <w:ind w:right="3470"/>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gridSpan w:val="4"/>
          </w:tcPr>
          <w:p>
            <w:pPr>
              <w:jc w:val="center"/>
              <w:ind w:right="2420"/>
              <w:spacing w:after="0"/>
              <w:rPr>
                <w:sz w:val="20"/>
                <w:szCs w:val="20"/>
                <w:color w:val="auto"/>
              </w:rPr>
            </w:pPr>
            <w:r>
              <w:rPr>
                <w:rFonts w:ascii="Arial" w:cs="Arial" w:eastAsia="Arial" w:hAnsi="Arial"/>
                <w:sz w:val="18"/>
                <w:szCs w:val="18"/>
                <w:b w:val="1"/>
                <w:bCs w:val="1"/>
                <w:color w:val="auto"/>
              </w:rPr>
              <w:t>FINANCIAL STATEMENTS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4"/>
          </w:tcPr>
          <w:p>
            <w:pPr>
              <w:jc w:val="center"/>
              <w:ind w:right="2420"/>
              <w:spacing w:after="0"/>
              <w:rPr>
                <w:sz w:val="20"/>
                <w:szCs w:val="20"/>
                <w:color w:val="auto"/>
              </w:rPr>
            </w:pPr>
            <w:r>
              <w:rPr>
                <w:rFonts w:ascii="Arial" w:cs="Arial" w:eastAsia="Arial" w:hAnsi="Arial"/>
                <w:sz w:val="18"/>
                <w:szCs w:val="18"/>
                <w:b w:val="1"/>
                <w:bCs w:val="1"/>
                <w:color w:val="auto"/>
                <w:w w:val="91"/>
              </w:rPr>
              <w:t>Imprimis Pharmaceuticals, Inc.</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980" w:type="dxa"/>
            <w:vAlign w:val="bottom"/>
            <w:gridSpan w:val="6"/>
          </w:tcPr>
          <w:p>
            <w:pPr>
              <w:jc w:val="center"/>
              <w:ind w:right="140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Report of Independent Registered Public Accounting Firm</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Balance Sheets at December 31, 2016 and 2015</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Operations for the years ended December 31, 2016 and 2015</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Stockholders’ Equity (Deficit) for the years ended December 31, 2016 and 2015</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Cash Flows for the years ended December 31, 2016 and 2015</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7"/>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Notes to the Consolidated Financial Statements</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40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960" w:type="dxa"/>
            <w:vAlign w:val="bottom"/>
            <w:tcBorders>
              <w:top w:val="single" w:sz="8" w:color="CCEEFF"/>
              <w:bottom w:val="single" w:sz="8" w:color="auto"/>
            </w:tcBorders>
            <w:gridSpan w:val="4"/>
          </w:tcPr>
          <w:p>
            <w:pPr>
              <w:jc w:val="center"/>
              <w:ind w:right="2420"/>
              <w:spacing w:after="0"/>
              <w:rPr>
                <w:sz w:val="20"/>
                <w:szCs w:val="20"/>
                <w:color w:val="auto"/>
              </w:rPr>
            </w:pPr>
            <w:r>
              <w:rPr>
                <w:rFonts w:ascii="Arial" w:cs="Arial" w:eastAsia="Arial" w:hAnsi="Arial"/>
                <w:sz w:val="18"/>
                <w:szCs w:val="18"/>
                <w:color w:val="auto"/>
                <w:w w:val="96"/>
              </w:rPr>
              <w:t>F-1</w:t>
            </w:r>
          </w:p>
        </w:tc>
        <w:tc>
          <w:tcPr>
            <w:tcW w:w="20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4" w:name="page45"/>
    <w:bookmarkEnd w:id="44"/>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Imprimis Pharmaceuticals, Inc. and subsidiaries (the “Company”) as of December 31, 2016 and 2015, and the related consolidated statements of operations, stockholders’ equity (deficit) and cash flows for each of the two years in the period ended December 31, 2016.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audits provide a reasonable basis for our opinion.</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Imprimis Pharmaceuticals, Inc. and subsidiaries as of December 31, 2016 and 2015, and the consolidated results of their operations and their cash flows for each of the two years in the period ended December 31, 2016, in conformity with accounting principles generally accepted in the United States of America.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December 31, 2016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December 31, 2015</w:t>
            </w:r>
          </w:p>
        </w:tc>
      </w:tr>
      <w:tr>
        <w:trPr>
          <w:trHeight w:val="216"/>
        </w:trPr>
        <w:tc>
          <w:tcPr>
            <w:tcW w:w="6880" w:type="dxa"/>
            <w:vAlign w:val="bottom"/>
            <w:tcBorders>
              <w:top w:val="single" w:sz="8" w:color="CCEEFF"/>
            </w:tcBorders>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8,853</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Restricted cash and short-term investments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1,841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8"/>
                <w:szCs w:val="18"/>
                <w:color w:val="auto"/>
              </w:rPr>
            </w:pPr>
          </w:p>
        </w:tc>
      </w:tr>
      <w:tr>
        <w:trPr>
          <w:trHeight w:val="25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21"/>
                <w:szCs w:val="21"/>
                <w:color w:val="auto"/>
              </w:rPr>
            </w:pPr>
          </w:p>
        </w:tc>
      </w:tr>
      <w:tr>
        <w:trPr>
          <w:trHeight w:val="203"/>
        </w:trPr>
        <w:tc>
          <w:tcPr>
            <w:tcW w:w="688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14,753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5,873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7,295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2,972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3,135</w:t>
            </w:r>
          </w:p>
        </w:tc>
        <w:tc>
          <w:tcPr>
            <w:tcW w:w="80" w:type="dxa"/>
            <w:vAlign w:val="bottom"/>
          </w:tcPr>
          <w:p>
            <w:pPr>
              <w:spacing w:after="0"/>
              <w:rPr>
                <w:sz w:val="18"/>
                <w:szCs w:val="18"/>
                <w:color w:val="auto"/>
              </w:rPr>
            </w:pPr>
          </w:p>
        </w:tc>
      </w:tr>
      <w:tr>
        <w:trPr>
          <w:trHeight w:val="25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80" w:type="dxa"/>
            <w:vAlign w:val="bottom"/>
            <w:shd w:val="clear" w:color="auto" w:fill="CCEEFF"/>
          </w:tcPr>
          <w:p>
            <w:pPr>
              <w:spacing w:after="0"/>
              <w:rPr>
                <w:sz w:val="21"/>
                <w:szCs w:val="21"/>
                <w:color w:val="auto"/>
              </w:rPr>
            </w:pPr>
          </w:p>
        </w:tc>
      </w:tr>
      <w:tr>
        <w:trPr>
          <w:trHeight w:val="257"/>
        </w:trPr>
        <w:tc>
          <w:tcPr>
            <w:tcW w:w="688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27,247</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14,131</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6880" w:type="dxa"/>
            <w:vAlign w:val="bottom"/>
            <w:shd w:val="clear" w:color="auto" w:fill="CCEEFF"/>
          </w:tcPr>
          <w:p>
            <w:pPr>
              <w:ind w:left="1160"/>
              <w:spacing w:after="0" w:line="196" w:lineRule="exact"/>
              <w:rPr>
                <w:sz w:val="20"/>
                <w:szCs w:val="20"/>
                <w:color w:val="auto"/>
              </w:rPr>
            </w:pPr>
            <w:r>
              <w:rPr>
                <w:rFonts w:ascii="Arial" w:cs="Arial" w:eastAsia="Arial" w:hAnsi="Arial"/>
                <w:sz w:val="18"/>
                <w:szCs w:val="18"/>
                <w:color w:val="auto"/>
              </w:rPr>
              <w:t>LIABILITIES AND STOCKHOLDERS’ EQUITY (DEFICIT)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3,538</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1,638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contingent acquisition obligation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Current portion of note payable, net of unamortized debt discount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3,973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 net of unamortized discount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r>
      <w:tr>
        <w:trPr>
          <w:trHeight w:val="203"/>
        </w:trPr>
        <w:tc>
          <w:tcPr>
            <w:tcW w:w="688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9,905</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5,374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 and unamortized discount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acquisition obligation, net of current portion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r>
      <w:tr>
        <w:trPr>
          <w:trHeight w:val="25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3"/>
              </w:rPr>
              <w:t>Note payable and paid-in-kind interest, net of unamortized debt discount and current portion</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7,937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8,336</w:t>
            </w:r>
          </w:p>
        </w:tc>
        <w:tc>
          <w:tcPr>
            <w:tcW w:w="80" w:type="dxa"/>
            <w:vAlign w:val="bottom"/>
            <w:shd w:val="clear" w:color="auto" w:fill="CCEEFF"/>
          </w:tcPr>
          <w:p>
            <w:pPr>
              <w:spacing w:after="0"/>
              <w:rPr>
                <w:sz w:val="21"/>
                <w:szCs w:val="21"/>
                <w:color w:val="auto"/>
              </w:rPr>
            </w:pPr>
          </w:p>
        </w:tc>
      </w:tr>
      <w:tr>
        <w:trPr>
          <w:trHeight w:val="210"/>
        </w:trPr>
        <w:tc>
          <w:tcPr>
            <w:tcW w:w="68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20,815</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15,516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688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$0.001 par value, 90,000,000 shares authorized, 18,627,915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w w:val="93"/>
              </w:rPr>
              <w:t>9,755,678 shares issued and outstanding at December 31, 2016 and 2015, respectively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83,264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56,369</w:t>
            </w:r>
          </w:p>
        </w:tc>
        <w:tc>
          <w:tcPr>
            <w:tcW w:w="80" w:type="dxa"/>
            <w:vAlign w:val="bottom"/>
            <w:shd w:val="clear" w:color="auto" w:fill="CCEEFF"/>
          </w:tcPr>
          <w:p>
            <w:pPr>
              <w:spacing w:after="0"/>
              <w:rPr>
                <w:sz w:val="18"/>
                <w:szCs w:val="18"/>
                <w:color w:val="auto"/>
              </w:rPr>
            </w:pPr>
          </w:p>
        </w:tc>
      </w:tr>
      <w:tr>
        <w:trPr>
          <w:trHeight w:val="237"/>
        </w:trPr>
        <w:tc>
          <w:tcPr>
            <w:tcW w:w="68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(76,851)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(57,764)</w:t>
            </w:r>
          </w:p>
        </w:tc>
      </w:tr>
      <w:tr>
        <w:trPr>
          <w:trHeight w:val="236"/>
        </w:trPr>
        <w:tc>
          <w:tcPr>
            <w:tcW w:w="68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7"/>
        </w:trPr>
        <w:tc>
          <w:tcPr>
            <w:tcW w:w="688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 (DEFICIT)</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For the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For the</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6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31, 2016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December 31, 2015</w:t>
            </w:r>
          </w:p>
        </w:tc>
        <w:tc>
          <w:tcPr>
            <w:tcW w:w="0" w:type="dxa"/>
            <w:vAlign w:val="bottom"/>
          </w:tcPr>
          <w:p>
            <w:pPr>
              <w:spacing w:after="0"/>
              <w:rPr>
                <w:sz w:val="1"/>
                <w:szCs w:val="1"/>
                <w:color w:val="auto"/>
              </w:rPr>
            </w:pPr>
          </w:p>
        </w:tc>
      </w:tr>
      <w:tr>
        <w:trPr>
          <w:trHeight w:val="216"/>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7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19,927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5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19,942</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9,716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5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10,111</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7,382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long-lived assets</w:t>
            </w: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5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25,993</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580" w:type="dxa"/>
            <w:vAlign w:val="bottom"/>
          </w:tcPr>
          <w:p>
            <w:pPr>
              <w:spacing w:after="0" w:line="203" w:lineRule="exact"/>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Early extinguishment of debt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(1,966)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expense, net</w:t>
            </w:r>
          </w:p>
        </w:tc>
        <w:tc>
          <w:tcPr>
            <w:tcW w:w="5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(3,205</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(19,087</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5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58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7"/>
              </w:rPr>
              <w:t>Weighted average number of shares of common stock outstanding, basic and diluted</w:t>
            </w:r>
          </w:p>
        </w:tc>
        <w:tc>
          <w:tcPr>
            <w:tcW w:w="5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12,743,184</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9,576,142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center"/>
        <w:ind w:left="260" w:right="2560"/>
        <w:spacing w:after="0" w:line="263" w:lineRule="auto"/>
        <w:rPr>
          <w:sz w:val="20"/>
          <w:szCs w:val="20"/>
          <w:color w:val="auto"/>
        </w:rPr>
      </w:pPr>
      <w:r>
        <w:rPr>
          <w:rFonts w:ascii="Arial" w:cs="Arial" w:eastAsia="Arial" w:hAnsi="Arial"/>
          <w:sz w:val="18"/>
          <w:szCs w:val="18"/>
          <w:b w:val="1"/>
          <w:bCs w:val="1"/>
          <w:color w:val="auto"/>
        </w:rPr>
        <w:t>IMPRIMIS PHARMACEUTICALS, INC. CONSOLIDATED STATEMENTS OF STOCKHOLDERS’ EQUITY (DEFICIT) For the years ended December 31, 2016 and 2015 (In thousands, except for 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30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Additional</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Par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Paid-in</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Value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Capital</w:t>
            </w:r>
          </w:p>
        </w:tc>
        <w:tc>
          <w:tcPr>
            <w:tcW w:w="2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Deficit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9,258,231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130,457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RSUs, net of tax withholding</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10,132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Sale of stock, net of offering costs (ATM)</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72,421</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warrants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220,912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The Park Acquisition</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63,525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Relative fair value of warrants to purchase common stock</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issued in connection with note payable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(15,899)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2015</w:t>
            </w: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9,755,678</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56,369</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(57,764)</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(1,385)</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Issuance of common stock in connection with:</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Vesting of RSUs, net of tax withholding</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132,367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Registered public offering sale of stock, net of offering</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March 2016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3,335,000</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Sale of stock, net of costs (ATM)</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57,042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Private placement, issuance of stock and warrants at</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$1.915 per unit, net of costs, in December 2016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5,257,828</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w w:val="98"/>
              </w:rPr>
              <w:t>Stock-based payment for deferred acquisition obligation</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Derivative liabilities in connection with convertible note and</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3"/>
              </w:rPr>
              <w:t>modification of warrants to purchase common stock issued in</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 note payable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3,811</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(19,087)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2016</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18,627,915</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83,264</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(76,851</w:t>
            </w:r>
          </w:p>
        </w:tc>
        <w:tc>
          <w:tcPr>
            <w:tcW w:w="20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31, 2016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2015</w:t>
            </w:r>
          </w:p>
        </w:tc>
        <w:tc>
          <w:tcPr>
            <w:tcW w:w="0" w:type="dxa"/>
            <w:vAlign w:val="bottom"/>
          </w:tcPr>
          <w:p>
            <w:pPr>
              <w:spacing w:after="0"/>
              <w:rPr>
                <w:sz w:val="1"/>
                <w:szCs w:val="1"/>
                <w:color w:val="auto"/>
              </w:rPr>
            </w:pPr>
          </w:p>
        </w:tc>
      </w:tr>
      <w:tr>
        <w:trPr>
          <w:trHeight w:val="216"/>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(19,087)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(15,899)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Depreciation and amortization of furniture and equipment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Amortization of deferred tax liability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Debt extinguishment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1,966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Paid-in-kind interest added to principal of note payable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Non-cash gain on contingent acquisition obligations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derivative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Impairment of long-lived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Issuance of warrant related to litigation settlement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(2,081)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and customer deposits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(11,215</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(11,143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Purchase of Park Compounding, net of cash</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Central Allen Pharmacy, net of cash</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Purchase of assets for ImprimisRx PA, Inc.</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Pharmacy Creations contingent acquisition obligation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Investment in restricted smarketable securities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patent and trademark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7"/>
        </w:trPr>
        <w:tc>
          <w:tcPr>
            <w:tcW w:w="6960" w:type="dxa"/>
            <w:vAlign w:val="bottom"/>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(6,887)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6"/>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96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capital lease obligations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Net proceeds from public equity offering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11,088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private placement equity offering</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Payments on Park deferred acquisition obligation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note payable, net of issuance costs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9,265</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Proceeds from convertible note payable, net of issuance costs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2,772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Essex leaseback, net of issuance costs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Net proceeds from ATM sales of common stock</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5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Net proceeds from exercise of warrants and stock options, net of taxes remitted for RSU’s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24,672</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2,685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30"/>
        </w:trPr>
        <w:tc>
          <w:tcPr>
            <w:tcW w:w="6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interest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1,366</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696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SUPPLEMENTAL DISCLOSURES OF NON-CASH INVESTING AND FINANCING</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ACTIVITIES (in thousands):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960" w:type="dxa"/>
            <w:vAlign w:val="bottom"/>
          </w:tcPr>
          <w:p>
            <w:pPr>
              <w:ind w:left="180"/>
              <w:spacing w:after="0"/>
              <w:rPr>
                <w:sz w:val="20"/>
                <w:szCs w:val="20"/>
                <w:color w:val="auto"/>
              </w:rPr>
            </w:pPr>
            <w:r>
              <w:rPr>
                <w:rFonts w:ascii="Arial" w:cs="Arial" w:eastAsia="Arial" w:hAnsi="Arial"/>
                <w:sz w:val="18"/>
                <w:szCs w:val="18"/>
                <w:color w:val="auto"/>
                <w:w w:val="92"/>
              </w:rPr>
              <w:t>Fair value of embedded conversion feature recorded as debt discount and derivative liability</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6960" w:type="dxa"/>
            <w:vAlign w:val="bottom"/>
            <w:tcBorders>
              <w:top w:val="single" w:sz="8" w:color="CCEEFF"/>
            </w:tcBorders>
            <w:shd w:val="clear" w:color="auto" w:fill="CCEEFF"/>
          </w:tcPr>
          <w:p>
            <w:pPr>
              <w:ind w:left="180"/>
              <w:spacing w:after="0" w:line="156" w:lineRule="exact"/>
              <w:rPr>
                <w:sz w:val="20"/>
                <w:szCs w:val="20"/>
                <w:color w:val="auto"/>
              </w:rPr>
            </w:pPr>
            <w:r>
              <w:rPr>
                <w:rFonts w:ascii="Arial" w:cs="Arial" w:eastAsia="Arial" w:hAnsi="Arial"/>
                <w:sz w:val="18"/>
                <w:szCs w:val="18"/>
                <w:color w:val="auto"/>
                <w:w w:val="95"/>
              </w:rPr>
              <w:t>Reclassification of the fair value of the embedded conversion feature derivative liability to</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 upon closing of the public equity offering</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180"/>
              <w:spacing w:after="0" w:line="195" w:lineRule="exact"/>
              <w:rPr>
                <w:sz w:val="20"/>
                <w:szCs w:val="20"/>
                <w:color w:val="auto"/>
              </w:rPr>
            </w:pPr>
            <w:r>
              <w:rPr>
                <w:rFonts w:ascii="Arial" w:cs="Arial" w:eastAsia="Arial" w:hAnsi="Arial"/>
                <w:sz w:val="18"/>
                <w:szCs w:val="18"/>
                <w:color w:val="auto"/>
                <w:w w:val="99"/>
              </w:rPr>
              <w:t>Reclassification of the fair value of the LSAF warrant from additional paid-in capital to</w:t>
            </w: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6960" w:type="dxa"/>
            <w:vAlign w:val="bottom"/>
          </w:tcPr>
          <w:p>
            <w:pPr>
              <w:ind w:left="180"/>
              <w:spacing w:after="0"/>
              <w:rPr>
                <w:sz w:val="20"/>
                <w:szCs w:val="20"/>
                <w:color w:val="auto"/>
              </w:rPr>
            </w:pPr>
            <w:r>
              <w:rPr>
                <w:rFonts w:ascii="Arial" w:cs="Arial" w:eastAsia="Arial" w:hAnsi="Arial"/>
                <w:sz w:val="18"/>
                <w:szCs w:val="18"/>
                <w:color w:val="auto"/>
              </w:rPr>
              <w:t>derivative liability</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6960" w:type="dxa"/>
            <w:vAlign w:val="bottom"/>
            <w:tcBorders>
              <w:top w:val="single" w:sz="8" w:color="CCEEFF"/>
            </w:tcBorders>
            <w:shd w:val="clear" w:color="auto" w:fill="CCEEFF"/>
          </w:tcPr>
          <w:p>
            <w:pPr>
              <w:ind w:left="180"/>
              <w:spacing w:after="0" w:line="156" w:lineRule="exact"/>
              <w:rPr>
                <w:sz w:val="20"/>
                <w:szCs w:val="20"/>
                <w:color w:val="auto"/>
              </w:rPr>
            </w:pPr>
            <w:r>
              <w:rPr>
                <w:rFonts w:ascii="Arial" w:cs="Arial" w:eastAsia="Arial" w:hAnsi="Arial"/>
                <w:sz w:val="18"/>
                <w:szCs w:val="18"/>
                <w:color w:val="auto"/>
                <w:w w:val="95"/>
              </w:rPr>
              <w:t>Reclassification of the fair value of the LSAF warrant derivative liability to additional paid-</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capital upon closing of the public equity offering</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Reduction in value of warrant in connection with debt extinguishment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6960" w:type="dxa"/>
            <w:vAlign w:val="bottom"/>
            <w:shd w:val="clear" w:color="auto" w:fill="CCEEFF"/>
          </w:tcPr>
          <w:p>
            <w:pPr>
              <w:ind w:left="180"/>
              <w:spacing w:after="0" w:line="156" w:lineRule="exact"/>
              <w:rPr>
                <w:sz w:val="20"/>
                <w:szCs w:val="20"/>
                <w:color w:val="auto"/>
              </w:rPr>
            </w:pPr>
            <w:r>
              <w:rPr>
                <w:rFonts w:ascii="Arial" w:cs="Arial" w:eastAsia="Arial" w:hAnsi="Arial"/>
                <w:sz w:val="18"/>
                <w:szCs w:val="18"/>
                <w:color w:val="auto"/>
                <w:w w:val="95"/>
              </w:rPr>
              <w:t>Issuance of common stock and fair value of deferred acquisition obligations related to the</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Park Compounding</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180"/>
              <w:spacing w:after="0" w:line="195" w:lineRule="exact"/>
              <w:rPr>
                <w:sz w:val="20"/>
                <w:szCs w:val="20"/>
                <w:color w:val="auto"/>
              </w:rPr>
            </w:pPr>
            <w:r>
              <w:rPr>
                <w:rFonts w:ascii="Arial" w:cs="Arial" w:eastAsia="Arial" w:hAnsi="Arial"/>
                <w:sz w:val="18"/>
                <w:szCs w:val="18"/>
                <w:color w:val="auto"/>
                <w:w w:val="98"/>
              </w:rPr>
              <w:t>Issuance of common stock and to settle contingent acquisition obligation related to the</w:t>
            </w: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6960" w:type="dxa"/>
            <w:vAlign w:val="bottom"/>
          </w:tcPr>
          <w:p>
            <w:pPr>
              <w:ind w:left="180"/>
              <w:spacing w:after="0"/>
              <w:rPr>
                <w:sz w:val="20"/>
                <w:szCs w:val="20"/>
                <w:color w:val="auto"/>
              </w:rPr>
            </w:pPr>
            <w:r>
              <w:rPr>
                <w:rFonts w:ascii="Arial" w:cs="Arial" w:eastAsia="Arial" w:hAnsi="Arial"/>
                <w:sz w:val="18"/>
                <w:szCs w:val="18"/>
                <w:color w:val="auto"/>
              </w:rPr>
              <w:t>purchase of PC</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6960" w:type="dxa"/>
            <w:vAlign w:val="bottom"/>
            <w:tcBorders>
              <w:top w:val="single" w:sz="8" w:color="CCEEFF"/>
            </w:tcBorders>
            <w:shd w:val="clear" w:color="auto" w:fill="CCEEFF"/>
          </w:tcPr>
          <w:p>
            <w:pPr>
              <w:ind w:left="180"/>
              <w:spacing w:after="0" w:line="156" w:lineRule="exact"/>
              <w:rPr>
                <w:sz w:val="20"/>
                <w:szCs w:val="20"/>
                <w:color w:val="auto"/>
              </w:rPr>
            </w:pPr>
            <w:r>
              <w:rPr>
                <w:rFonts w:ascii="Arial" w:cs="Arial" w:eastAsia="Arial" w:hAnsi="Arial"/>
                <w:sz w:val="18"/>
                <w:szCs w:val="18"/>
                <w:color w:val="auto"/>
                <w:w w:val="93"/>
              </w:rPr>
              <w:t>Issuance of stock options for consulting services included in accounts payable and accrued</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5"/>
              <w:spacing w:after="0" w:line="156" w:lineRule="exact"/>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23</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661" w:right="23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676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w w:val="93"/>
              </w:rPr>
              <w:t>Final fee on notes payable recorded as debt discount and included in accrued expenses</w:t>
            </w:r>
          </w:p>
        </w:tc>
        <w:tc>
          <w:tcPr>
            <w:tcW w:w="340" w:type="dxa"/>
            <w:vAlign w:val="bottom"/>
            <w:tcBorders>
              <w:top w:val="single" w:sz="8" w:color="CCEEFF"/>
            </w:tcBorders>
            <w:vMerge w:val="restart"/>
          </w:tcPr>
          <w:p>
            <w:pPr>
              <w:spacing w:after="0"/>
              <w:rPr>
                <w:sz w:val="5"/>
                <w:szCs w:val="5"/>
                <w:color w:val="auto"/>
              </w:rPr>
            </w:pPr>
          </w:p>
        </w:tc>
        <w:tc>
          <w:tcPr>
            <w:tcW w:w="940" w:type="dxa"/>
            <w:vAlign w:val="bottom"/>
            <w:tcBorders>
              <w:top w:val="single" w:sz="8" w:color="auto"/>
            </w:tcBorders>
            <w:shd w:val="clear" w:color="auto" w:fill="000000"/>
          </w:tcPr>
          <w:p>
            <w:pPr>
              <w:spacing w:after="0"/>
              <w:rPr>
                <w:sz w:val="5"/>
                <w:szCs w:val="5"/>
                <w:color w:val="auto"/>
              </w:rPr>
            </w:pPr>
          </w:p>
        </w:tc>
        <w:tc>
          <w:tcPr>
            <w:tcW w:w="1020" w:type="dxa"/>
            <w:vAlign w:val="bottom"/>
            <w:tcBorders>
              <w:top w:val="single" w:sz="8" w:color="auto"/>
            </w:tcBorders>
            <w:shd w:val="clear" w:color="auto" w:fill="000000"/>
          </w:tcPr>
          <w:p>
            <w:pPr>
              <w:spacing w:after="0"/>
              <w:rPr>
                <w:sz w:val="5"/>
                <w:szCs w:val="5"/>
                <w:color w:val="auto"/>
              </w:rPr>
            </w:pPr>
          </w:p>
        </w:tc>
        <w:tc>
          <w:tcPr>
            <w:tcW w:w="320" w:type="dxa"/>
            <w:vAlign w:val="bottom"/>
            <w:tcBorders>
              <w:top w:val="single" w:sz="8" w:color="CCEEFF"/>
            </w:tcBorders>
            <w:vMerge w:val="restart"/>
          </w:tcPr>
          <w:p>
            <w:pPr>
              <w:spacing w:after="0"/>
              <w:rPr>
                <w:sz w:val="5"/>
                <w:szCs w:val="5"/>
                <w:color w:val="auto"/>
              </w:rPr>
            </w:pPr>
          </w:p>
        </w:tc>
        <w:tc>
          <w:tcPr>
            <w:tcW w:w="20" w:type="dxa"/>
            <w:vAlign w:val="bottom"/>
            <w:tcBorders>
              <w:top w:val="single" w:sz="8" w:color="CCEEFF"/>
            </w:tcBorders>
            <w:vMerge w:val="restart"/>
          </w:tcPr>
          <w:p>
            <w:pPr>
              <w:spacing w:after="0"/>
              <w:rPr>
                <w:sz w:val="5"/>
                <w:szCs w:val="5"/>
                <w:color w:val="auto"/>
              </w:rPr>
            </w:pPr>
          </w:p>
        </w:tc>
        <w:tc>
          <w:tcPr>
            <w:tcW w:w="780" w:type="dxa"/>
            <w:vAlign w:val="bottom"/>
            <w:tcBorders>
              <w:top w:val="single" w:sz="8" w:color="auto"/>
            </w:tcBorders>
            <w:shd w:val="clear" w:color="auto" w:fill="000000"/>
          </w:tcPr>
          <w:p>
            <w:pPr>
              <w:spacing w:after="0"/>
              <w:rPr>
                <w:sz w:val="5"/>
                <w:szCs w:val="5"/>
                <w:color w:val="auto"/>
              </w:rPr>
            </w:pPr>
          </w:p>
        </w:tc>
        <w:tc>
          <w:tcPr>
            <w:tcW w:w="1140" w:type="dxa"/>
            <w:vAlign w:val="bottom"/>
            <w:tcBorders>
              <w:top w:val="single" w:sz="8" w:color="auto"/>
            </w:tcBorders>
            <w:shd w:val="clear" w:color="auto" w:fill="000000"/>
          </w:tcPr>
          <w:p>
            <w:pPr>
              <w:spacing w:after="0"/>
              <w:rPr>
                <w:sz w:val="5"/>
                <w:szCs w:val="5"/>
                <w:color w:val="auto"/>
              </w:rPr>
            </w:pPr>
          </w:p>
        </w:tc>
        <w:tc>
          <w:tcPr>
            <w:tcW w:w="20" w:type="dxa"/>
            <w:vAlign w:val="bottom"/>
            <w:tcBorders>
              <w:top w:val="single" w:sz="8" w:color="CCEEFF"/>
            </w:tcBorders>
            <w:vMerge w:val="restart"/>
          </w:tcPr>
          <w:p>
            <w:pPr>
              <w:spacing w:after="0"/>
              <w:rPr>
                <w:sz w:val="5"/>
                <w:szCs w:val="5"/>
                <w:color w:val="auto"/>
              </w:rPr>
            </w:pPr>
          </w:p>
        </w:tc>
        <w:tc>
          <w:tcPr>
            <w:tcW w:w="80" w:type="dxa"/>
            <w:vAlign w:val="bottom"/>
            <w:tcBorders>
              <w:top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vMerge w:val="continue"/>
          </w:tcPr>
          <w:p>
            <w:pPr>
              <w:spacing w:after="0"/>
              <w:rPr>
                <w:sz w:val="22"/>
                <w:szCs w:val="22"/>
                <w:color w:val="auto"/>
              </w:rPr>
            </w:pPr>
          </w:p>
        </w:tc>
        <w:tc>
          <w:tcPr>
            <w:tcW w:w="340" w:type="dxa"/>
            <w:vAlign w:val="bottom"/>
            <w:tcBorders>
              <w:bottom w:val="single" w:sz="8" w:color="CCEEFF"/>
            </w:tcBorders>
            <w:vMerge w:val="continue"/>
          </w:tcPr>
          <w:p>
            <w:pPr>
              <w:spacing w:after="0"/>
              <w:rPr>
                <w:sz w:val="22"/>
                <w:szCs w:val="22"/>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Estimated relative fair value of warrants issued in connection with note payable</w:t>
            </w:r>
          </w:p>
        </w:tc>
        <w:tc>
          <w:tcPr>
            <w:tcW w:w="3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180"/>
              <w:spacing w:after="0" w:line="195" w:lineRule="exact"/>
              <w:rPr>
                <w:sz w:val="20"/>
                <w:szCs w:val="20"/>
                <w:color w:val="auto"/>
              </w:rPr>
            </w:pPr>
            <w:r>
              <w:rPr>
                <w:rFonts w:ascii="Arial" w:cs="Arial" w:eastAsia="Arial" w:hAnsi="Arial"/>
                <w:sz w:val="18"/>
                <w:szCs w:val="18"/>
                <w:color w:val="auto"/>
                <w:w w:val="96"/>
              </w:rPr>
              <w:t>Purchase of property, plant and equipment included in accounts payable and accrued</w:t>
            </w: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7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280" w:type="dxa"/>
            <w:vAlign w:val="bottom"/>
            <w:gridSpan w:val="2"/>
          </w:tcPr>
          <w:p>
            <w:pPr>
              <w:jc w:val="right"/>
              <w:ind w:right="7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800" w:type="dxa"/>
            <w:vAlign w:val="bottom"/>
            <w:gridSpan w:val="2"/>
          </w:tcPr>
          <w:p>
            <w:pPr>
              <w:jc w:val="right"/>
              <w:ind w:right="625"/>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1,275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0" w:name="page51"/>
    <w:bookmarkEnd w:id="50"/>
    <w:p>
      <w:pPr>
        <w:jc w:val="center"/>
        <w:ind w:left="260" w:right="2620"/>
        <w:spacing w:after="0" w:line="261" w:lineRule="auto"/>
        <w:rPr>
          <w:sz w:val="20"/>
          <w:szCs w:val="20"/>
          <w:color w:val="auto"/>
        </w:rPr>
      </w:pPr>
      <w:r>
        <w:rPr>
          <w:rFonts w:ascii="Arial" w:cs="Arial" w:eastAsia="Arial" w:hAnsi="Arial"/>
          <w:sz w:val="18"/>
          <w:szCs w:val="18"/>
          <w:b w:val="1"/>
          <w:bCs w:val="1"/>
          <w:color w:val="auto"/>
        </w:rPr>
        <w:t>IMPRIMIS PHARMACEUTICALS, INC. NOTES TO THE CONSOLIDATED FINANCIAL STATEMENTS For the years ended December 31, 2016 and 2015 (all dollar amounts are expressed in thousands, except share and per share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Imprimis Pharmaceuticals, Inc. (together with its subsidiaries, unless the context indicates or otherwise requires, the “Company” or “Imprimis”)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three production and dispensing facilities located in California, New Jersey and Pennsylvania.</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1, 2014, the Company acquired Pharmacy Creations, LLC (“PC”), a New Jersey based compounding pharmacy and on January 1, 2015, the Company acquired South Coast Specialty Compounding, Inc. D/B/A Park Compounding (“Park”), a California based compounding pharmacy. Effective with the acquisition of PC, the Company commenced sales and marketing efforts for Imprimis’ portfolio of proprietary and non-proprietary compounded drug formulations. On August 4, 2015, the Company acquired JT Pharmacy, Inc. d/b/a Central Allen Pharmacy (“CAP”), a Texas based compounding pharmacy whose name has been changed to ImprimisRx TX, Inc. (See Note 18), and on October 15, 2015, the Company, through a wholly-owned subsidiary ImprimisRx PA, Inc. (“ImprimisRx PA”), acquired substantially all of the assets and tradenames of Thousand Oaks Holding Company’s wholly-owned subsidiaries Topical Apothecary Group, LLC (d/b/a TAG Pharmacy), Aerosol Science Laboratories, Inc. (d/b/a ASL Pharmacy), SinuTopic, Inc. (d/b/a Sinus Dynamics Pharmacy) and Mycotoxins, LLC (collectively “TOHC”).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Imprimis has prepared the accompanying consolidated financial statements in accordance with accounting principles generally accepted in the United States of America (“GAAP”). The accompanying consolidated financial statements include the accounts of the Company and its wholly-owned subsidiaries. All intercompany accounts and transactions have been eliminated in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and contractual adjustments, realizability of inventories, valuation of deferred taxes, goodwill and intangible assets, recoverability of long-lived assets and goodwill, valuation of contingent acquisition obligations and deferred acquisition obligations, valuation of notes payable and derivative liabilities, and valuation of stock-based transactions with employees and non-employees.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net losses of $19,087 and $15,899 for the years ended December 31, 2016 and 2015, respectively, and had an accumulated deficit of $76,851 and $57,764 as of December 31, 2016 and 2015, respectively. In addition, the Company used cash in operating activities of $11,215 and $11,143 for the years ended December 31, 2016 and 2015,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there is no assurance, the Company believes its existing cash resources and restricted cash of approximately $9,053 at December 31, 2016,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may seek to increase liquidity and capital resources by one or more measures, to the extent necessary. These measures may include, but are not limited to, the following: obtaining financing through the issuance of equity, debt, or convertible securities; and working to increase revenue growth through pharmacy sales. There is no guarantee that the Company will be able to obtain capital when needed on terms it deems as acceptable, or at 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includes direct and indirect costs to manufacture formulations and other products sold, including active pharmaceutical ingredients, personnel costs, packaging, storage, royalties (see Note 16), shipping and handling costs and the write-off of obsolete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and the debt discount are recorded net of notes payable and capital lease obligations in the consolidated balance sheets. Amortization expense of debt issuance costs and the debt discount is calculated using the effective interest method over the term of the debt and is recorded in interest expense in the accompanying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we have identified an alternative future use for the acquired rights. Patents and trademarks are recorded at cost and capitalized at a time when the future economic benefits of such patents and trademarks become more certain (see Goodwill and Intangible Assets). The Company began capitalizing certain costs associated with acquiring intellectual property rights during 2015, if costs are not capitalized they are expensed as incurred.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process of preparing the Company’s consolidated financial statements, the Company must estimate the actual current tax liabilities and assess temporary differences resulting from differing treatment of items for tax and accounting purposes. These differences result in deferred tax assets and liabilities, which are included within the balance sheet. The Company must assess the likelihood that the deferred tax assets will be recovered from future taxable income and, to the extent the Company believes that recovery is not likely, a valuation allowance must be established. To the extent the Company establishes a valuation allowance or increase or decrease this allowance in a period, the impact will be included in income tax expense in the consolidated statement of operations.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income taxes under the provisions of Financial Accounting Standards Board (the “FASB”) Accounting Standards Codification (“ASC”) 740, “Income Taxes”, or ASC 740. As of December 31, 2016 and 2015, there were no unrecognized tax benefits included in the consolidated balance sheets that would, if recognized, affect the effective tax rate. The Company’s practice is to recognize interest and/or penalties related to income tax matters in income tax expense. The Company had no accrual for interest or penalties in its consolidated balance sheets at December 31, 2016 and 2015, and has not recognized interest and/or penalties in the consolidated statements of operations for the years ended December 31, 2016 and 2015. The Company is subject to taxation in the United States, California, New Jersey, Texas and Pennsylvania. The Company’s tax years since 2000 are subject to examination by the federal and state tax authorities due to the carryforward of unutilized net operating losses.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up to $250 per owner. At December 31, 2016, the Company had approximately $8,800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Accounts receivable are stated net of allowances for doubtful accounts and contractual adjustments. The accounts receivable balance primarily includes amounts due from customers the Company has invoiced or from third-party providers (e.g., insurance companies and governmental agencies), but for which payment has not been received. Charges to bad debt are based on both historical write-offs and specifically identified receivables. Contractual adjustments are determined by the amount expected to be collected from third-party providers. Accounts receivable are presented net of allowances for doubtful accounts and contractual adjustments in the amount of $422 and $180 as of December 31, 2016 and 2015,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Property, plant and equipment is stated at cost less accumulated depreciation and amortization. Depreciation and amortization is calculated using the straight-line method over the estimated useful life of the asset. Leasehold improvements and capital lease equipment are amortized over the estimated useful life or remaining lease term, whichever is shorter. Computer software and hardware and furniture and equipment are depreciated over three to five years.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the Company has acquired or may acquire in the future include but are not limited to:</w:t>
      </w:r>
    </w:p>
    <w:p>
      <w:pPr>
        <w:spacing w:after="0" w:line="171"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estimates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financial position, statements of operations or cash flows in the period of the change in the estimate.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Patents and trademarks are recorded at cost and capitalized at a time when the future economic benefits of such patents and trademarks become more certain. At that time, the Company capitalizes third-party legal costs and filing fees associated with obtaining and prosecuting claims related to its patents and trademarks. Once the patents have been issued, the Company amortizes these costs over the shorter of the legal life of the patent or its estimated economic life, generally 20 years, using the straight-line method. Trademarks are an indefinite life intangible asset and are assessed for impairment based on future projected cash flows as further described below.</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Step 1. The Company compares the fair value of each reporting unit to its carrying amount, including the existing goodwill. The fair value of each reporting unit is determined using a discounted cash flow valuation analysis. The carrying amount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Long-lived assets, such as property, plant and equipment, purchased intangibles subject to amortization and patents and trademarks,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jc w:val="both"/>
        <w:spacing w:after="0" w:line="302" w:lineRule="auto"/>
        <w:rPr>
          <w:sz w:val="20"/>
          <w:szCs w:val="20"/>
          <w:color w:val="auto"/>
        </w:rPr>
      </w:pPr>
      <w:r>
        <w:rPr>
          <w:rFonts w:ascii="Arial" w:cs="Arial" w:eastAsia="Arial" w:hAnsi="Arial"/>
          <w:sz w:val="16"/>
          <w:szCs w:val="16"/>
          <w:color w:val="auto"/>
        </w:rPr>
        <w:t>In September 2016, the Company decided to cease operations at its Texas facility, and began winding down the operations. Based on current projections regarding future cash flows of the Texas facility and the related subsidiary, the evaluation resulted in an impairment of $64 related to intangible assets and $239 related to goodwill, recorded to impairment of long-lived assets on the consolidated statements of operations during the year ended December 31, 2016. During the year ended December 31, 2015, the Company did not recognize any impairment of its long-lived assets (See Note 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Billing and Collection Agreements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its acquisition of Park, the Company entered into a billing and collection agreement with a third party to assist in the billing and collection of workers’ compensation claims. Under the terms of the agreement, the Company is obligated to pay a fixed fee to the third party equal to 55% of the amounts billed and collected under the workers’ compensation claims. The Company accrues for such fees in accounts payable and accrued expenses in the accompanying consolidated balance sheets. Total billing and collection management expense under this agreement for the years ended December 31, 2016 and 2015 was $55 and $142, respectively, and is included in selling and marketing expenses in the accompanying consolidated statements of operations. The amount due under the agreement as of December 31, 2016 and 2015 was $73 and $81,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and interim periods within each fiscal year is recorded as an adjustment to deferred rent (See Note 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2016 and 2015, the Company did not have any financial assets or liabilities that are measured on a recurring basis. The Company’s financial instruments included cash and cash equivalents, restricted short-term investments, accounts receivable, accounts payable and accrued expenses, accrued payroll and related liabilities, deferred revenue and customer deposits, deferred acquisition obligations, notes payable and capital leases. The carrying amount of these financial instruments, except for deferred acquisition obligations, notes payable and capital leases, approximates fair value due to the short-term maturities of these instruments. The Company’s restricted short-term investments are carried at amortized cost, which approximates fair value. Based on borrowing rates currently available to the Company, the carrying values of the deferred acquisition obligations, notes payable and capital leases, approximate their respective fair values.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free-standing derivative instruments and hybrid instruments that contain embedded derivative features as either assets or liabilities in the consolidated balance sheets and are measured at fair value with gains or losses recognized in earnings. Embedded derivatives that are not clearly and closely related to the host contract are bifurcated and are recognized at fair value with changes in fair value recognized as either a gain or loss in earnings. The Company determines the fair value of derivative instruments and hybrid instruments based on available market data using appropriate valuation models, giving consideration to all of the rights and obligations of each instrument.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jc w:val="both"/>
        <w:spacing w:after="0" w:line="270" w:lineRule="auto"/>
        <w:rPr>
          <w:sz w:val="20"/>
          <w:szCs w:val="20"/>
          <w:color w:val="auto"/>
        </w:rPr>
      </w:pPr>
      <w:r>
        <w:rPr>
          <w:rFonts w:ascii="Arial" w:cs="Arial" w:eastAsia="Arial" w:hAnsi="Arial"/>
          <w:sz w:val="17"/>
          <w:szCs w:val="17"/>
          <w:color w:val="auto"/>
        </w:rPr>
        <w:t>The Company estimates the fair value of derivative instruments and hybrid instruments using various techniques (and combinations thereof) that are considered to be consistent with the objective of measuring fair value. In selecting the appropriate technique, the Company considers, among other factors, the nature of the instrument, the market risks that it embodies and the expected means of settlement. The Company generally uses the Black-Scholes-Merton option pricing model, adjusted for the effect of dilution, because it embodies all of the requisite assumptions (including trading volatility, estimated terms, dilution and risk-free rates) necessary to fair value these instruments. Estimating the fair value of derivative financial instruments requires the development of significant and subjective estimates that may, and are likely to, change over the duration of the instrument with related changes in internal and external market factors. Increases in the trading price of the Company’s common stock and increases in fair value during a given financial quarter result in the application of non-cash derivative expense. Conversely, decreases in the trading price of the Company’s common stock and decreases in fair value during a given financial quarter would result in the application of non-cash derivative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stock-based payments to employees, directors and consultants, including grants of stock options, warrants, restricted stock units (“RSUs”) and restricted stock, are recognized in the consolidated financial statements based upon their estimated fair values. The Company uses the Black-Scholes-Merton option pricing model and Monte Carlo Simulation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 vesting terms of the equity instruments. The measurement date for the estimated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estimated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estimated fair value of nonforfeitable equity instruments issued for future consulting services as prepaid stock-based consulting expenses in its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and diluted net loss per share is computed using the weighted average number of shares of common stock outstanding during the period. Common stock equivalents (using the treasury stock and “if converted” method) from deferred acquisition obligations, stock options, unvested RSUs, warrants and convertible notes were 9,162,259 and 3,313,169 at December 31, 2016 and 2015, respectively, and are excluded from the calculation of diluted net loss per share for all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these vested RSUs at December 31, 2016 and 2015 was 80,245 and 55,824,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computation of basic and diluted net loss per share of common stock for the years ended December 31, 2016 and 2015: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For the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Year Ended</w:t>
            </w:r>
          </w:p>
        </w:tc>
        <w:tc>
          <w:tcPr>
            <w:tcW w:w="140" w:type="dxa"/>
            <w:vAlign w:val="bottom"/>
          </w:tcPr>
          <w:p>
            <w:pPr>
              <w:spacing w:after="0"/>
              <w:rPr>
                <w:sz w:val="19"/>
                <w:szCs w:val="19"/>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Year Ended</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December 31, 2016</w:t>
            </w:r>
          </w:p>
        </w:tc>
        <w:tc>
          <w:tcPr>
            <w:tcW w:w="14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December 30, 2015</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(15,899)</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0"/>
              </w:rPr>
              <w:t>Denominator – weighted average number of shares outstanding, basic and</w:t>
            </w: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54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12,743,184</w:t>
            </w: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9,576,142</w:t>
            </w: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F-12</w:t>
            </w:r>
          </w:p>
        </w:tc>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2014, the FASB issued new accounting guidance which defines management’s responsibility to assess an entity’s ability to continue as a going concern, and to provide related footnote disclosures in certain circumstances. This guidance is effective for annual periods ended after December 15, 2016 and interim periods within annual periods beginning after December 15, 2016. Early adoption is permitted for annual or interim reporting periods for which the financial statements have not previously been issued. The Company has applied the guidance and disclosure provisions of the new standard upon adoption in its 2016 annual consolidated financial statements. The adoption of the guidance did not have a material impact on the Company’s consolidated financial statements and its related footnote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2014, the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updated guidance is effective for interim and annual periods beginning after December 15, 2016, and early adoption is not permitted. In July 2015, the FASB decided to delay the effective date of ASU 2014-09 until December 15, 2017. The FASB also agreed to allow entities to choose to adopt the standard as of the original effective date. The Company is currently evaluating which transition method it will adopt and the expected impact of the updated guidance, but does not believe the adoption of the updated guidance will have a significant impact on its consolidated financial statements.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the lease rights and obligations arising from lease contracts, including existing and new arrangements, with terms more than 12 months to be recognized as assets and liabilities on the balance sheet. Recognition, measurement and presentation of expenses will depend on classification as a finance or operating lease. The amendments also require certain quantitative and qualitative disclosures about leasing arrangements. ASU 2016-02 is effective for reporting periods beginning after December 15, 2018 with early adoption permitted. While the Company is still evaluating ASU 2016-02, the Company expects the adoption of ASU 2016-02 to have a material effect on the Company’s consolidated financial condition due to the recognition of the lease rights and obligations as assets and liabilities. The Company does not expect ASU 2016-02 to have a material effect on the Company’s results of operations and cash flows.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Recognition and Measurement of Financial Assets and Financial Liabilities</w:t>
      </w:r>
      <w:r>
        <w:rPr>
          <w:rFonts w:ascii="Arial" w:cs="Arial" w:eastAsia="Arial" w:hAnsi="Arial"/>
          <w:sz w:val="18"/>
          <w:szCs w:val="18"/>
          <w:color w:val="auto"/>
        </w:rPr>
        <w:t>, which addresses certain aspects of recognition, measurement, presentation and disclosure of financial statements. This guidance will be effective in the first quarter of fiscal year 2019 and early adoption is not permitted. The Company is currently evaluating the impact that this guidance will have on its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addresses certain aspects of accounting for share-based payment award transactions. This guidance will be effective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2017 and early adoption is permitted. The Company is currently evaluating the impact that this guidance will have on its consolidated financial statements.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xml:space="preserve"> which requires entities to measure most inventory “at the lower of cost and net realizable value (“NRV”),” thereby simplifying the current guidance under which an entity must measure inventory at the lower of cost or market. Under the new guidance, inventory is “measured at the lower of cost and net realizable value,” which eliminates the need to determine replacement cost and evaluate whether it is above the ceiling (NRV) or below the floor (NRV less a normal profit margin). The guidance defines NRV as the “estimated selling prices in the ordinary course of business, less reasonably predictable costs of completion, disposal, and transportation.” The guidance is effective for annual periods beginning after December 15, 2016, and interim periods therein. Early application is permitted. The Company is evaluating the impact of adoption of this guidance on its financial position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Park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2015, the Company acquired all of the outstanding capital stock of Park (the “Park Acquisition”) from its previous owners (the “Sellers”), such that Park became a wholly owned subsidiary of the Company. The acquisition of Park permits the Company to make and distribute its patent-pending proprietary drug formulations and other novel pharmaceutical solutions through Park and introduces the Company to new geographic and compounded formulation markets.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transaction has been accounted for as a business combination and the financial results of Park have been included in the Company’s consolidated financial statements for the period subsequent to the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acquisition date fair value of consideration transferred, assets acquired and liabilities assumed for Park are presented below and represent the Company’s best estimates.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Fair Value of Consideration Transferred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closing of the Park Acquisition, the Company paid to the Sellers an aggregate cash purchase price of $3,000, net of fees and expenses, and a $100 payment for cash remaining in a Park bank account, and the Company issued to the Sellers 63,525 shares of the Company’s restricted common stock, valued at $500 based on the average closing price of the Company’s common stock for the 10 trading days preceding the closing. In addition, the Company is obligated to make 12 quarterly cash payments to the Sellers collectively of $53 each over the three years following the closing of the Park Acquisition, totaling $638; provided that the Sellers will have the option to receive the last six of such payments, totaling up to an aggregate of $319, in the form of 6,749 shares of the Company’s common stock for each such payment. The convertible features of the deferred consideration provide for a rate of conversion that is at market value, and as a result no value was attributed to the conversion feature. The Company also recorded a deferred tax liability of $1,047 related to the Park acquisition.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applied a discount rate of 15% to the restricted common stock issued at the closing of the Park Acquisition due to a lack of marketability of such shares as a result of certain restrictions on their transfer. The total acquisition date fair value of the consideration transferred and to be transferred is estimated at approximately $5,163.</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$591 liability was recognized for the estimated acquisition date fair value of the deferred consideration and is included in the deferred acquisition obligations in the accompanying consolidated balance sheet at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acquisition date fair value of consideration transferred and to be transferred is estimated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Sellers at closing</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Restricted common stock issuance to Sellers at closing</w:t>
            </w:r>
          </w:p>
        </w:tc>
        <w:tc>
          <w:tcPr>
            <w:tcW w:w="7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425</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7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w:t>
            </w:r>
          </w:p>
        </w:tc>
      </w:tr>
      <w:tr>
        <w:trPr>
          <w:trHeight w:val="237"/>
        </w:trPr>
        <w:tc>
          <w:tcPr>
            <w:tcW w:w="7780" w:type="dxa"/>
            <w:vAlign w:val="bottom"/>
          </w:tcPr>
          <w:p>
            <w:pPr>
              <w:spacing w:after="0"/>
              <w:rPr>
                <w:sz w:val="20"/>
                <w:szCs w:val="20"/>
                <w:color w:val="auto"/>
              </w:rPr>
            </w:pPr>
            <w:r>
              <w:rPr>
                <w:rFonts w:ascii="Arial" w:cs="Arial" w:eastAsia="Arial" w:hAnsi="Arial"/>
                <w:sz w:val="18"/>
                <w:szCs w:val="18"/>
                <w:color w:val="auto"/>
              </w:rPr>
              <w:t>Deferred consideration to Sellers</w:t>
            </w:r>
          </w:p>
        </w:tc>
        <w:tc>
          <w:tcPr>
            <w:tcW w:w="7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591</w:t>
            </w:r>
          </w:p>
        </w:tc>
      </w:tr>
      <w:tr>
        <w:trPr>
          <w:trHeight w:val="230"/>
        </w:trPr>
        <w:tc>
          <w:tcPr>
            <w:tcW w:w="7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acquisition date fair value</w:t>
            </w: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Consideration Transferred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identifiable assets acquired and liabilities assumed were recognized and measured as of the acquisition date based on their estimated fair values as of January 1, 2015, the acquisition date. The excess of the acquisition date fair value of consideration transferred over the estimated fair value of the net tangible assets and intangible assets acquired was recorded as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Accounts receivable</w:t>
            </w:r>
          </w:p>
        </w:tc>
        <w:tc>
          <w:tcPr>
            <w:tcW w:w="7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7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r>
      <w:tr>
        <w:trPr>
          <w:trHeight w:val="25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2,629</w:t>
            </w:r>
          </w:p>
        </w:tc>
        <w:tc>
          <w:tcPr>
            <w:tcW w:w="60" w:type="dxa"/>
            <w:vAlign w:val="bottom"/>
            <w:shd w:val="clear" w:color="auto" w:fill="CCEEFF"/>
          </w:tcPr>
          <w:p>
            <w:pPr>
              <w:spacing w:after="0"/>
              <w:rPr>
                <w:sz w:val="21"/>
                <w:szCs w:val="21"/>
                <w:color w:val="auto"/>
              </w:rPr>
            </w:pPr>
          </w:p>
        </w:tc>
      </w:tr>
      <w:tr>
        <w:trPr>
          <w:trHeight w:val="203"/>
        </w:trPr>
        <w:tc>
          <w:tcPr>
            <w:tcW w:w="77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identifiable assets acquired</w:t>
            </w:r>
          </w:p>
        </w:tc>
        <w:tc>
          <w:tcPr>
            <w:tcW w:w="7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3,607</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CEEFF"/>
          </w:tcPr>
          <w:p>
            <w:pPr>
              <w:spacing w:after="0"/>
              <w:rPr>
                <w:sz w:val="18"/>
                <w:szCs w:val="18"/>
                <w:color w:val="auto"/>
              </w:rPr>
            </w:pPr>
          </w:p>
        </w:tc>
      </w:tr>
      <w:tr>
        <w:trPr>
          <w:trHeight w:val="237"/>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7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36"/>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7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7780" w:type="dxa"/>
            <w:vAlign w:val="bottom"/>
          </w:tcPr>
          <w:p>
            <w:pPr>
              <w:ind w:left="180"/>
              <w:spacing w:after="0" w:line="203" w:lineRule="exact"/>
              <w:rPr>
                <w:sz w:val="20"/>
                <w:szCs w:val="20"/>
                <w:color w:val="auto"/>
              </w:rPr>
            </w:pPr>
            <w:r>
              <w:rPr>
                <w:rFonts w:ascii="Arial" w:cs="Arial" w:eastAsia="Arial" w:hAnsi="Arial"/>
                <w:sz w:val="18"/>
                <w:szCs w:val="18"/>
                <w:color w:val="auto"/>
              </w:rPr>
              <w:t>Total identifiable assets less liabilities assumed</w:t>
            </w:r>
          </w:p>
        </w:tc>
        <w:tc>
          <w:tcPr>
            <w:tcW w:w="76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3,268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1,895</w:t>
            </w:r>
          </w:p>
        </w:tc>
        <w:tc>
          <w:tcPr>
            <w:tcW w:w="60" w:type="dxa"/>
            <w:vAlign w:val="bottom"/>
            <w:shd w:val="clear" w:color="auto" w:fill="CCEEFF"/>
          </w:tcPr>
          <w:p>
            <w:pPr>
              <w:spacing w:after="0"/>
              <w:rPr>
                <w:sz w:val="21"/>
                <w:szCs w:val="21"/>
                <w:color w:val="auto"/>
              </w:rPr>
            </w:pPr>
          </w:p>
        </w:tc>
      </w:tr>
      <w:tr>
        <w:trPr>
          <w:trHeight w:val="217"/>
        </w:trPr>
        <w:tc>
          <w:tcPr>
            <w:tcW w:w="77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Net assets acquired</w:t>
            </w:r>
          </w:p>
        </w:tc>
        <w:tc>
          <w:tcPr>
            <w:tcW w:w="76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5,163</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2015 the discount rate of the common stock issued at the time of the Park Acquisition was adjusted from 25% to 15% which resulted in an increase of $46 and $4 in goodwill and intangible assets, respectively, compared to the initial allocation of the purchase price. The final allocation was based on estimates and appraisals that was based on the Company’s final evaluation of Park’s assets and liabilities, including both tangible and intangible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Results of Operations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amount of revenues and net income of Park included in the Company’s consolidated statement of operations from the acquisition date through the period ended December 31, 2015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76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1,088</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engaged a third-party valuation firm to assist in the determination of the fair value of the acquired intangible assets of Park. In determining the fair value of the intangible assets, the Company considered, among other factors, the best use of the acquired assets, analyses of historical financial performance of Park and estimates of future performance of Park. The fair values of the identified intangible assets related to Park’s customer relationships, trade name, non-competition clause, and state pharmacy licenses. Customer relationships and the non-competition clause were calculated using the income approach. Trade name and state pharmacy licenses were calculated using the cost approach. The following table sets forth the components of identified intangible assets associated with the Park Acquisition and their estimated useful lives.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Fair Value</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ind w:left="400"/>
              <w:spacing w:after="0"/>
              <w:rPr>
                <w:sz w:val="20"/>
                <w:szCs w:val="20"/>
                <w:color w:val="auto"/>
              </w:rPr>
            </w:pPr>
            <w:r>
              <w:rPr>
                <w:rFonts w:ascii="Arial" w:cs="Arial" w:eastAsia="Arial" w:hAnsi="Arial"/>
                <w:sz w:val="18"/>
                <w:szCs w:val="18"/>
                <w:color w:val="auto"/>
              </w:rPr>
              <w:t>Useful Life</w:t>
            </w:r>
          </w:p>
        </w:tc>
      </w:tr>
      <w:tr>
        <w:trPr>
          <w:trHeight w:val="216"/>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20" w:type="dxa"/>
            <w:vAlign w:val="bottom"/>
            <w:tcBorders>
              <w:top w:val="single" w:sz="8" w:color="auto"/>
            </w:tcBorders>
            <w:shd w:val="clear" w:color="auto" w:fill="CCEEFF"/>
          </w:tcPr>
          <w:p>
            <w:pPr>
              <w:jc w:val="right"/>
              <w:ind w:right="10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2,387</w:t>
            </w:r>
          </w:p>
        </w:tc>
        <w:tc>
          <w:tcPr>
            <w:tcW w:w="2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3 - 15 years</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Trade name</w:t>
            </w:r>
          </w:p>
        </w:tc>
        <w:tc>
          <w:tcPr>
            <w:tcW w:w="12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5 years</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 years</w:t>
            </w: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2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25 years</w:t>
            </w:r>
          </w:p>
        </w:tc>
      </w:tr>
      <w:tr>
        <w:trPr>
          <w:trHeight w:val="230"/>
        </w:trPr>
        <w:tc>
          <w:tcPr>
            <w:tcW w:w="60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2,629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determined the useful lives of intangible assets based on the expected future cash flows and contractual life associated with the respective assets. Trade name represents the fair value of the brand and name recognition associated with the marketing of Park’s formulations and services. Customer relationships represent the expected future benefit from contracts and relationships which, at the date of acquisition, were reasonably anticipated to continue given the history and operating practices of Park. The non-competition clause represents the contractual period and expected degree of adverse economic impact that would exist in its absence. Licenses represent twelve state pharmacy licenses Park held at the date of acquisition.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Of the total estimated purchase price for the Park Acquisition, $1,895 was allocated to goodwill and is attributable to expected synergies between the combined companies, including access for the Company to fulfill prescriptions with its patent-pending proprietary drug formulations through Park’s market channels and assembled workforce. Goodwill represents the excess of the purchase price of the acquired business over the fair value of the underlying net tangible and intangible assets acquired. Goodwill resulting from the business will be tested for impairment at least annually and more frequently if certain indicators are present. In the event the Company determines that the value of goodwill has become impaired, it will incur an accounting charge for the amount of the impairment during the fiscal quarter in which the determination is made. None of the goodwill is expected to be deductible for income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2015 Acquisitions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2015, the Company acquired CAP and purchased the assets of TOHC, primarily to expand its compounding pharmacy infrastructure and offerings. These acquisitions were not individually significant. The Company has included the financial results of the CAP acquisition in its consolidated financial statements from its acquisition date and the results from this company were not individually material to the Company’s consolidated financial statements. The purchase price for these acquisitions totaled, collectively, approximately $945, which was paid entirely in cash. The Company recorded $641 of net tangible assets and $65 of identifiable intangible assets, based on their estimated fair values, and $239 of residual goodwill.</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acquisition of CAP was not individually significant and the 2015 results from this company were not individually material to our consolidated financial statements.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incurred approximately $201 in acquisition expenses related to the Park Acquisition, $135 in expenses related to the acquisition of the assets of TOHC and did not incur material acquisition expenses related to the acquisition of CAP.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RESTRICTED CASH AND SHORT-TERM INVESTMENTS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restricted cash and short-term investments at December 31, 2016 and 2015 consist of a money market account and certificates of deposit, which are classified as held-to-maturity. At December 31, 2016 and 2015, the restricted short-term investments were recorded at amortized cost which approximates fair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At December 31, 2016 and 2015, the money market account and the certificates of deposit of $200 and $150, respectively, were classified as a current asset. The certificates of deposit that were required as collateral under the Company’s corporate credit card agreement and as additional security for the Company’s office space lease were redeemed during the year ended December 31, 2016. The money market account is required for additional security for the Company’s New Jersey based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Inventories are comprised of over-the-counter and prescription retail pharmacy products, commercial pharmaceutical products, related laboratory supplies and active pharmaceutical ingredients. The composition of inventories, net of reserve, as of December 31, 2016 and 2015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2016</w:t>
            </w:r>
          </w:p>
        </w:tc>
        <w:tc>
          <w:tcPr>
            <w:tcW w:w="14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2015</w:t>
            </w: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20"/>
                <w:szCs w:val="20"/>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1,172</w:t>
            </w:r>
          </w:p>
        </w:tc>
        <w:tc>
          <w:tcPr>
            <w:tcW w:w="140" w:type="dxa"/>
            <w:vAlign w:val="bottom"/>
          </w:tcPr>
          <w:p>
            <w:pPr>
              <w:spacing w:after="0"/>
              <w:rPr>
                <w:sz w:val="20"/>
                <w:szCs w:val="20"/>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637</w:t>
            </w:r>
          </w:p>
        </w:tc>
      </w:tr>
      <w:tr>
        <w:trPr>
          <w:trHeight w:val="230"/>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December 31, 2016 and 2015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December 31, 2016</w:t>
            </w:r>
          </w:p>
        </w:tc>
        <w:tc>
          <w:tcPr>
            <w:tcW w:w="140" w:type="dxa"/>
            <w:vAlign w:val="bottom"/>
          </w:tcPr>
          <w:p>
            <w:pPr>
              <w:spacing w:after="0"/>
              <w:rPr>
                <w:sz w:val="20"/>
                <w:szCs w:val="20"/>
                <w:color w:val="auto"/>
              </w:rPr>
            </w:pPr>
          </w:p>
        </w:tc>
        <w:tc>
          <w:tcPr>
            <w:tcW w:w="17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December 31, 2015</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prepaid expenses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517</w:t>
            </w:r>
          </w:p>
        </w:tc>
        <w:tc>
          <w:tcPr>
            <w:tcW w:w="1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NOTE 7. PROPERTY, PLANT AND EQUIPMENT</w:t>
            </w: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gridSpan w:val="5"/>
          </w:tcPr>
          <w:p>
            <w:pPr>
              <w:spacing w:after="0"/>
              <w:rPr>
                <w:sz w:val="20"/>
                <w:szCs w:val="20"/>
                <w:color w:val="auto"/>
              </w:rPr>
            </w:pPr>
            <w:r>
              <w:rPr>
                <w:rFonts w:ascii="Arial" w:cs="Arial" w:eastAsia="Arial" w:hAnsi="Arial"/>
                <w:sz w:val="18"/>
                <w:szCs w:val="18"/>
                <w:color w:val="auto"/>
              </w:rPr>
              <w:t>Property, plant and equipment at December 31, 2016 and 2015 consisted of the following:</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December 31, 2016</w:t>
            </w:r>
          </w:p>
        </w:tc>
        <w:tc>
          <w:tcPr>
            <w:tcW w:w="140" w:type="dxa"/>
            <w:vAlign w:val="bottom"/>
          </w:tcPr>
          <w:p>
            <w:pPr>
              <w:spacing w:after="0"/>
              <w:rPr>
                <w:sz w:val="24"/>
                <w:szCs w:val="24"/>
                <w:color w:val="auto"/>
              </w:rPr>
            </w:pPr>
          </w:p>
        </w:tc>
        <w:tc>
          <w:tcPr>
            <w:tcW w:w="17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December 31, 2015</w:t>
            </w: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831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2,559</w:t>
            </w:r>
          </w:p>
        </w:tc>
        <w:tc>
          <w:tcPr>
            <w:tcW w:w="14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4,836</w:t>
            </w:r>
          </w:p>
        </w:tc>
        <w:tc>
          <w:tcPr>
            <w:tcW w:w="1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8,650</w:t>
            </w: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2,957</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7"/>
        </w:trPr>
        <w:tc>
          <w:tcPr>
            <w:tcW w:w="48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7,295</w:t>
            </w: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depreciation and amortization expense of $1,055 and $255 during the years ended December 31, 2016 and 2015,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December 31, 2016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200" w:type="dxa"/>
            <w:vAlign w:val="bottom"/>
          </w:tcPr>
          <w:p>
            <w:pPr>
              <w:spacing w:after="0"/>
              <w:rPr>
                <w:sz w:val="19"/>
                <w:szCs w:val="19"/>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periods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Accumulated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520"/>
              <w:spacing w:after="0"/>
              <w:rPr>
                <w:sz w:val="20"/>
                <w:szCs w:val="20"/>
                <w:color w:val="auto"/>
              </w:rPr>
            </w:pPr>
            <w:r>
              <w:rPr>
                <w:rFonts w:ascii="Arial" w:cs="Arial" w:eastAsia="Arial" w:hAnsi="Arial"/>
                <w:sz w:val="18"/>
                <w:szCs w:val="18"/>
                <w:color w:val="auto"/>
              </w:rPr>
              <w:t>Net</w:t>
            </w:r>
          </w:p>
        </w:tc>
        <w:tc>
          <w:tcPr>
            <w:tcW w:w="1140" w:type="dxa"/>
            <w:vAlign w:val="bottom"/>
          </w:tcPr>
          <w:p>
            <w:pPr>
              <w:spacing w:after="0"/>
              <w:rPr>
                <w:sz w:val="19"/>
                <w:szCs w:val="19"/>
                <w:color w:val="auto"/>
              </w:rPr>
            </w:pPr>
          </w:p>
        </w:tc>
      </w:tr>
      <w:tr>
        <w:trPr>
          <w:trHeight w:val="237"/>
        </w:trPr>
        <w:tc>
          <w:tcPr>
            <w:tcW w:w="32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(in years)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amortization</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Impairment</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Carrying value</w:t>
            </w:r>
          </w:p>
        </w:tc>
        <w:tc>
          <w:tcPr>
            <w:tcW w:w="10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17-19 years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Trademarks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Indefinite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14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3-15 years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w:t>
            </w:r>
          </w:p>
        </w:tc>
        <w:tc>
          <w:tcPr>
            <w:tcW w:w="1140" w:type="dxa"/>
            <w:vAlign w:val="bottom"/>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Trade name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5 years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3-4 years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25 years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0"/>
        </w:trPr>
        <w:tc>
          <w:tcPr>
            <w:tcW w:w="3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F-16</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Company’s intangible assets at December 31, 2015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Amortization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4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periods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540"/>
              <w:spacing w:after="0"/>
              <w:rPr>
                <w:sz w:val="20"/>
                <w:szCs w:val="20"/>
                <w:color w:val="auto"/>
              </w:rPr>
            </w:pPr>
            <w:r>
              <w:rPr>
                <w:rFonts w:ascii="Arial" w:cs="Arial" w:eastAsia="Arial" w:hAnsi="Arial"/>
                <w:sz w:val="18"/>
                <w:szCs w:val="18"/>
                <w:color w:val="auto"/>
              </w:rPr>
              <w:t>Net</w:t>
            </w:r>
          </w:p>
        </w:tc>
      </w:tr>
      <w:tr>
        <w:trPr>
          <w:trHeight w:val="237"/>
        </w:trPr>
        <w:tc>
          <w:tcPr>
            <w:tcW w:w="504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Cost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5"/>
              </w:rPr>
              <w:t>amortization</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Carrying value</w:t>
            </w:r>
          </w:p>
        </w:tc>
        <w:tc>
          <w:tcPr>
            <w:tcW w:w="100" w:type="dxa"/>
            <w:vAlign w:val="bottom"/>
            <w:tcBorders>
              <w:bottom w:val="single" w:sz="8" w:color="CCEEFF"/>
            </w:tcBorders>
          </w:tcPr>
          <w:p>
            <w:pPr>
              <w:spacing w:after="0"/>
              <w:rPr>
                <w:sz w:val="20"/>
                <w:szCs w:val="20"/>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Trademarks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3-15 years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Trade name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 years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3-4 years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25 years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30"/>
        </w:trPr>
        <w:tc>
          <w:tcPr>
            <w:tcW w:w="50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years ended December 31, 2016 and 2015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100" w:type="dxa"/>
            <w:vAlign w:val="bottom"/>
          </w:tcPr>
          <w:p>
            <w:pPr>
              <w:spacing w:after="0"/>
              <w:rPr>
                <w:sz w:val="18"/>
                <w:szCs w:val="18"/>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For the</w:t>
            </w:r>
          </w:p>
        </w:tc>
      </w:tr>
      <w:tr>
        <w:trPr>
          <w:trHeight w:val="230"/>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Year Ended</w:t>
            </w:r>
          </w:p>
        </w:tc>
        <w:tc>
          <w:tcPr>
            <w:tcW w:w="100" w:type="dxa"/>
            <w:vAlign w:val="bottom"/>
          </w:tcPr>
          <w:p>
            <w:pPr>
              <w:spacing w:after="0"/>
              <w:rPr>
                <w:sz w:val="19"/>
                <w:szCs w:val="19"/>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Year Ended</w:t>
            </w:r>
          </w:p>
        </w:tc>
      </w:tr>
      <w:tr>
        <w:trPr>
          <w:trHeight w:val="237"/>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31, 2016</w:t>
            </w:r>
          </w:p>
        </w:tc>
        <w:tc>
          <w:tcPr>
            <w:tcW w:w="100" w:type="dxa"/>
            <w:vAlign w:val="bottom"/>
          </w:tcPr>
          <w:p>
            <w:pPr>
              <w:spacing w:after="0"/>
              <w:rPr>
                <w:sz w:val="20"/>
                <w:szCs w:val="20"/>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December 31, 2015</w:t>
            </w: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Non-competition clause</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r>
      <w:tr>
        <w:trPr>
          <w:trHeight w:val="25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1"/>
                <w:szCs w:val="21"/>
                <w:color w:val="auto"/>
              </w:rPr>
            </w:pPr>
          </w:p>
        </w:tc>
      </w:tr>
      <w:tr>
        <w:trPr>
          <w:trHeight w:val="217"/>
        </w:trPr>
        <w:tc>
          <w:tcPr>
            <w:tcW w:w="4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December 31, 2016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ending December 31,</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r>
      <w:tr>
        <w:trPr>
          <w:trHeight w:val="237"/>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40" w:type="dxa"/>
            <w:vAlign w:val="bottom"/>
            <w:tcBorders>
              <w:bottom w:val="single" w:sz="8" w:color="CCEEFF"/>
            </w:tcBorders>
          </w:tcPr>
          <w:p>
            <w:pPr>
              <w:spacing w:after="0"/>
              <w:rPr>
                <w:sz w:val="20"/>
                <w:szCs w:val="20"/>
                <w:color w:val="auto"/>
              </w:rPr>
            </w:pPr>
          </w:p>
        </w:tc>
      </w:tr>
      <w:tr>
        <w:trPr>
          <w:trHeight w:val="230"/>
        </w:trPr>
        <w:tc>
          <w:tcPr>
            <w:tcW w:w="4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Company’s goodwill during the years ended December 31, 2016 and 2015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288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3440" w:type="dxa"/>
            <w:vAlign w:val="bottom"/>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Acquisition of Park (see Note 3)</w:t>
            </w:r>
          </w:p>
        </w:tc>
        <w:tc>
          <w:tcPr>
            <w:tcW w:w="2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1,895</w:t>
            </w:r>
          </w:p>
        </w:tc>
        <w:tc>
          <w:tcPr>
            <w:tcW w:w="3440" w:type="dxa"/>
            <w:vAlign w:val="bottom"/>
          </w:tcPr>
          <w:p>
            <w:pPr>
              <w:spacing w:after="0"/>
              <w:rPr>
                <w:sz w:val="18"/>
                <w:szCs w:val="18"/>
                <w:color w:val="auto"/>
              </w:rPr>
            </w:pPr>
          </w:p>
        </w:tc>
      </w:tr>
      <w:tr>
        <w:trPr>
          <w:trHeight w:val="25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CAP (see Note 3)</w:t>
            </w:r>
          </w:p>
        </w:tc>
        <w:tc>
          <w:tcPr>
            <w:tcW w:w="2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3440" w:type="dxa"/>
            <w:vAlign w:val="bottom"/>
          </w:tcPr>
          <w:p>
            <w:pPr>
              <w:spacing w:after="0"/>
              <w:rPr>
                <w:sz w:val="21"/>
                <w:szCs w:val="2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2015</w:t>
            </w:r>
          </w:p>
        </w:tc>
        <w:tc>
          <w:tcPr>
            <w:tcW w:w="220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2,466</w:t>
            </w:r>
          </w:p>
        </w:tc>
        <w:tc>
          <w:tcPr>
            <w:tcW w:w="60" w:type="dxa"/>
            <w:vAlign w:val="bottom"/>
            <w:tcBorders>
              <w:top w:val="single" w:sz="8" w:color="CCEEFF"/>
            </w:tcBorders>
          </w:tcPr>
          <w:p>
            <w:pPr>
              <w:spacing w:after="0"/>
              <w:rPr>
                <w:sz w:val="17"/>
                <w:szCs w:val="17"/>
                <w:color w:val="auto"/>
              </w:rPr>
            </w:pPr>
          </w:p>
        </w:tc>
        <w:tc>
          <w:tcPr>
            <w:tcW w:w="3440" w:type="dxa"/>
            <w:vAlign w:val="bottom"/>
          </w:tcPr>
          <w:p>
            <w:pPr>
              <w:spacing w:after="0"/>
              <w:rPr>
                <w:sz w:val="17"/>
                <w:szCs w:val="17"/>
                <w:color w:val="auto"/>
              </w:rPr>
            </w:pPr>
          </w:p>
        </w:tc>
      </w:tr>
      <w:tr>
        <w:trPr>
          <w:trHeight w:val="25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CAP (see Note 2)</w:t>
            </w:r>
          </w:p>
        </w:tc>
        <w:tc>
          <w:tcPr>
            <w:tcW w:w="2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440" w:type="dxa"/>
            <w:vAlign w:val="bottom"/>
          </w:tcPr>
          <w:p>
            <w:pPr>
              <w:spacing w:after="0"/>
              <w:rPr>
                <w:sz w:val="21"/>
                <w:szCs w:val="21"/>
                <w:color w:val="auto"/>
              </w:rPr>
            </w:pPr>
          </w:p>
        </w:tc>
      </w:tr>
      <w:tr>
        <w:trPr>
          <w:trHeight w:val="217"/>
        </w:trPr>
        <w:tc>
          <w:tcPr>
            <w:tcW w:w="4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2016</w:t>
            </w:r>
          </w:p>
        </w:tc>
        <w:tc>
          <w:tcPr>
            <w:tcW w:w="220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6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20"/>
        </w:trPr>
        <w:tc>
          <w:tcPr>
            <w:tcW w:w="40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right"/>
              <w:ind w:right="965"/>
              <w:spacing w:after="0"/>
              <w:rPr>
                <w:sz w:val="20"/>
                <w:szCs w:val="20"/>
                <w:color w:val="auto"/>
              </w:rPr>
            </w:pPr>
            <w:r>
              <w:rPr>
                <w:rFonts w:ascii="Arial" w:cs="Arial" w:eastAsia="Arial" w:hAnsi="Arial"/>
                <w:sz w:val="18"/>
                <w:szCs w:val="18"/>
                <w:color w:val="auto"/>
              </w:rPr>
              <w:t>F-17</w:t>
            </w: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NOTE 9. ACCOUNTS PAYABLE AND ACCRUED EXPENSES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780" w:type="dxa"/>
            <w:vAlign w:val="bottom"/>
            <w:gridSpan w:val="5"/>
          </w:tcPr>
          <w:p>
            <w:pPr>
              <w:spacing w:after="0"/>
              <w:rPr>
                <w:sz w:val="20"/>
                <w:szCs w:val="20"/>
                <w:color w:val="auto"/>
              </w:rPr>
            </w:pPr>
            <w:r>
              <w:rPr>
                <w:rFonts w:ascii="Arial" w:cs="Arial" w:eastAsia="Arial" w:hAnsi="Arial"/>
                <w:sz w:val="18"/>
                <w:szCs w:val="18"/>
                <w:color w:val="auto"/>
                <w:w w:val="96"/>
              </w:rPr>
              <w:t>Accounts payable and accrued expenses at December 31, 2016 and 2015 consisted of the following:</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5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December 31, 2016</w:t>
            </w:r>
          </w:p>
        </w:tc>
        <w:tc>
          <w:tcPr>
            <w:tcW w:w="140" w:type="dxa"/>
            <w:vAlign w:val="bottom"/>
          </w:tcPr>
          <w:p>
            <w:pPr>
              <w:spacing w:after="0"/>
              <w:rPr>
                <w:sz w:val="24"/>
                <w:szCs w:val="24"/>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December 31, 2015</w:t>
            </w: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(see Note 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Accrued exit fee for note payable (see Note 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Building lease liability(1)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Other accrued expenses (2)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(3,538)</w:t>
            </w: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(3,407)</w:t>
            </w:r>
          </w:p>
        </w:tc>
      </w:tr>
      <w:tr>
        <w:trPr>
          <w:trHeight w:val="23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9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September 2014, the Company relocated its primary operations to a 7,565 square foot office facility in San Diego, California. In February 2015, the Company entered into a sublease agreement to sublet 3,874 square feet of its previously occupied offices through the remaining term of the lease at a monthly rent amount of $8. The Company recognized a loss of approximately $117 during the year ended December 31, 2014 related to the estimated remaining lease liability, net of expected sublease income, of the previously occupied offices. In September 2016, the Company decided to cease operations at its Texas location and started steps to wind down operations. The Company recognized a loss of $16 during the year ended December 31, 2016 related to the estimated remaining lease liability. The obligations were discounted based on current prevailing market rates.</w:t>
      </w:r>
    </w:p>
    <w:p>
      <w:pPr>
        <w:spacing w:after="0" w:line="164"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consists of a $23 stock-based compensation accrual at December 31, 2015, for stock options to be granted for services performed. The stock-based compensation expense related to the accruals was $23 during the year ended December 31, 2015. The $23 was recorded to additional paid-in-capital upon issuance of the stock options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 – 2015</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11, 2015, the Company entered into a loan and security agreement (the “Loan Agreement”) with IMMY Funding LLC, an affiliate of Life Sciences Alternative Funding LLC (the “Lender”), as lender and collateral agent. Pursuant to the terms of the Loan Agreement, as amended in January 2016 and December 2016 (see further description of December 2016 amendment below), the Lender made available to the Company a term loan in the aggregate principal amount of up to $10,000, all of which was drawn on May 11, 2015. The term loan bore interest at a fixed per-annum rate of 12.5% and allowed for 2% of the interest to be paid-in-kind until December 2016. The Company was permitted to pay interest only until June 1, 2017. The Company is required to pay interest, plus repayments of the principal amount of the term loan, in 20 equal monthly installments. All amounts owed under the Loan Agreement, including a final fee of 5% of the aggregate principal amount of the term loan and prepayment fees of up to 1% of the principal balance are due on January 1, 2019 . The Company incurred expenses of approximately $1,066 in connection with the Loan Agreement. The final fee and expenses are being amortized as interest expense over the term of the debt using the interest method and the related liability of $667 and $500 for the final fee, as of December 31, 2016 and 2015, respectively, is included in accrued expenses (see Note 9) in the accompanying consolidated balance sheets.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terms of the Loan Agreement, the Company is bound by certain affirmative covenants setting forth actions that the Company must take during the term of the Loan Agreement, including, among others, certain information delivery requirements, obligations to maintain certain insurance and certain notice requirements. Additionally, the Company is bound by certain negative covenants setting forth actions that the Company may not take during the term of the Loan Agreement without the Lender’s consent, including, among others, disposing of certain of the Company’s or its subsidiaries’ business or property, incurring certain additional indebtedness, entering into certain merger, acquisition or change of control transactions, paying certain dividends or distributions on or repurchasing any of the Company’s capital stock, or incurring any lien or other encumbrance on the Company’s or its subsidiaries’ assets, subject to certain permitted exceptions. Upon the occurrence of an event of default under the Loan Agreement (subject to cure periods for certain events of default), all amounts owed by the Company thereunder may be declared immediately due and payable by the Lender. Events of default include, among others, the following: the occurrence of certain bankruptcy events; the failure to make payments under the Loan Agreement when due; the occurrence of a material adverse change in the business, operations or condition of the Company or any of its subsidiaries; the breach by the Company or its subsidiaries of certain of their material agreements with third parties; the initiation of certain regulatory enforcement actions against the Company or its subsidiaries; the rendering of certain types of fines or judgments against the Company or its subsidiaries; any breach by the Company or its subsidiaries of any covenant (subject to cure periods for certain covenants) made in the Loan Agreement; and the failure of any representation or warranty made by the Company or its subsidiaries in connection with the Loan Agreement to be correct in any material respect when made.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jc w:val="both"/>
        <w:spacing w:after="0" w:line="264" w:lineRule="auto"/>
        <w:rPr>
          <w:sz w:val="20"/>
          <w:szCs w:val="20"/>
          <w:color w:val="auto"/>
        </w:rPr>
      </w:pPr>
      <w:r>
        <w:rPr>
          <w:rFonts w:ascii="Arial" w:cs="Arial" w:eastAsia="Arial" w:hAnsi="Arial"/>
          <w:sz w:val="18"/>
          <w:szCs w:val="18"/>
          <w:color w:val="auto"/>
        </w:rPr>
        <w:t>The Company’s obligations under the Loan Agreement are guaranteed on a secured basis by its wholly owned subsidiaries. Each of the Company and its subsidiaries has granted the Lender a security interest in substantially all of its personal property, rights and assets, including intellectual property rights and equity ownership, to secure the payment of all amounts owed under the Loan Agreement.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Loan Agreement, the Company issued to the Lender a warrant to purchase up to 125,000 shares of the Company’s common stock, which is exercisable immediately, has an exercise price of $7.85 per share upon issuance and has a term of 10 years. The relative fair value of the warrants was approximately $840 and was estimated using the Black-Scholes-Merton option pricing model with the following assumptions: fair value of the Company’s common stock at issuance of $7.97 per share; ten-year contractual term; 109% volatility; 0% dividend rate; and a risk-free interest rate of 1.25%. The relative fair value of the warrants was recorded as a debt discount, decreasing notes payable and increasing additional paid-in capital on the accompanying consolidated balance sheet. The debt discount is being amortized to interest expense over the term of the debt using the interest method. As described further, this warrant was amended in January 2016 and December 2016. For the years ended December 31, 2016 and 2015, debt discount amortization related to the Loan Agreement was $470 and $281,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 – 2016</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22, 2016, the Company entered into a note purchase agreement (the “NPA”) with, and issued an 8.00% Convertible Senior Secured Note (“Convertible Note”) in the principal amount of $3,000 to, the Lender. Pursuant to the terms of the NPA, on the date thereof, the Company issued the Convertible Note to the Lender and, as consideration therefor, the Lender paid the Company in cash the full principal amount of the Convertible Note. The Company incurred expenses of approximately $228 in connection with the Convertible Note and these expenses were recorded as a debt discount. The debt discount is being amortized as interest expense over the term of the debt using the effective interest method.</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terms of the Convertible Note, the Company is obligated to pay interest on the principal amount of the Convertible Note monthly in cash at a fixed per-annum rate of 8.00%, and the Company is obligated to repay the full principal amount of the Convertible Note in cash on May 11, 2021. The Company is permitted to redeem the Convertible Note prior to its maturity at any time on or after March 1, 2018 for cash purchase prices equal to 109% - 105% of the outstanding principal amount of the Convertible Note, depending on the date of redemption. The Convertible Note was initially convertible by the holder at any time into shares of the Company’s common stock at an effective conversion price of approximately $5.90 and subject to anti-dilution adjustment upon the Company’s first equity financing while the Convertible Note is outstanding in which it receives gross proceeds of at least $3,000, if such equity financing is completed at a per share price that is less than the conversion rate of the Convertible Note, and also subject to adjustment upon stock combinations or splits, certain recapitalizations, stock or cash dividends or other distributions of property or equity rights. Additionally, in the event of certain change of control events affecting the Company, the Company may be required, at the option of the Lender, to repurchase the Convertible Note in cash for the greater of 105% of the outstanding principal amount of the Convertible Note or the value of the shares of common stock issuable upon conversion of the Convertible Note. The fair value of the conversion feature was $2,322 and was recorded as a debt discount, decreasing notes payable and increasing additional paid-in capital on the accompanying consolidated balance sheet (see also Note 12). The debt discount is being amortized to interest expense over the term of the debt using the effective interest method. For the year ended December 31, 2016, debt discount amortization related to the Convertible Note was $534.</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and concurrently with the execution of the NPA and the issuance of the Convertible Note, the Company and the Lender also entered into an amendment (the “Loan Agreement Amendment”) to the Loan Agreement (see above). The Loan Agreement Amendment modifies the terms of the Loan Agreement in order to eliminate the potential borrowing of a second term loan thereunder and to permit the Company to issue the Convertible Note. Additionally, the Company and the Lender entered into an amendment (the “Warrant Amendment”) to the warrants that were issued to the Lender in connection with the Loan Agreement. The Warrant Amendment modifies the terms of the warrants in order to reduce the exercise price thereof to $5.90 per share, which is consistent with the initial conversion rate of the Convertible Note, and to add an anti-dilution adjustment provision that is consistent with the same such provision in the Convertible Note.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16, 2016, upon the closing of the Offering (see Note 12) and pursuant to the anti-dilution adjustment provisions of the Convertible Note and the Warrant Amendment, the effective conversion price of the Convertible Note was adjusted to approximately $3.60, and the exercise price of the warrants was adjusted to $3.60 per share (see also Note 12 for further accounting discussion of the warrant exercise price and conversion provisions and related derivative liabilities). The warrant was amended again in December 2016, to modify the exercise price to $1.79 per share, in connection with the Exchange Agreement (described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jc w:val="both"/>
        <w:spacing w:after="0" w:line="253" w:lineRule="auto"/>
        <w:rPr>
          <w:sz w:val="20"/>
          <w:szCs w:val="20"/>
          <w:color w:val="auto"/>
        </w:rPr>
      </w:pPr>
      <w:r>
        <w:rPr>
          <w:rFonts w:ascii="Arial" w:cs="Arial" w:eastAsia="Arial" w:hAnsi="Arial"/>
          <w:sz w:val="18"/>
          <w:szCs w:val="18"/>
          <w:color w:val="auto"/>
        </w:rPr>
        <w:t>On December 27, 2016, the Company entered into a third amendment (the “Amendment”) to the Loan Agreement with the Lender. Concurrently with entering into and related to the Amendment, the Company and the Lender also entered into an Exchange and Discharge Agreement (the “Exchange Agreement”). The Amendment and Exchange Agreement, among other things, primarily allowed for the Company and the Lender to exchange the Convertible Note for a $3,000 term loan (the “Term B Loan”). The Term B Loan was issued in exchange for, and not funded separately, cancellation and discharge of all indebtedness related to the Convertible Note. Terms, conditions and security interests of the Term B Loan are substantially equal to those of the Loan Agreement. The Amendment also amended certain terms and definitions associated with prepayment, payment schedule, amortization periods and defined the outstanding principal amounts due to the Lender under the Loan Agreement and Term B Loan, including any interest that has been paid in kind of the principal balance, in aggregate, as $13,332. In connection with the Exchange Agreement, during the year ended December 31, 2016, the Company recorded early extinguishment expense of $1,966 for remaining unamortized debt discounts related to the Convertible Note at the time of the Exchange Agreement.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Notes payable at December 31, 2016 were as follows:</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3"/>
        </w:trPr>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December 31, 2016</w:t>
            </w:r>
          </w:p>
        </w:tc>
      </w:tr>
      <w:tr>
        <w:trPr>
          <w:trHeight w:val="216"/>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2016 Amended Note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Less: Discount on notes</w:t>
            </w:r>
          </w:p>
        </w:tc>
        <w:tc>
          <w:tcPr>
            <w:tcW w:w="1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(1,422)</w:t>
            </w:r>
          </w:p>
        </w:tc>
      </w:tr>
      <w:tr>
        <w:trPr>
          <w:trHeight w:val="236"/>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7"/>
        </w:trPr>
        <w:tc>
          <w:tcPr>
            <w:tcW w:w="5420" w:type="dxa"/>
            <w:vAlign w:val="bottom"/>
          </w:tcPr>
          <w:p>
            <w:pPr>
              <w:spacing w:after="0"/>
              <w:rPr>
                <w:sz w:val="20"/>
                <w:szCs w:val="20"/>
                <w:color w:val="auto"/>
              </w:rPr>
            </w:pPr>
            <w:r>
              <w:rPr>
                <w:rFonts w:ascii="Arial" w:cs="Arial" w:eastAsia="Arial" w:hAnsi="Arial"/>
                <w:sz w:val="18"/>
                <w:szCs w:val="18"/>
                <w:b w:val="1"/>
                <w:bCs w:val="1"/>
                <w:color w:val="auto"/>
              </w:rPr>
              <w:t>Long-term portion</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notes payable outstanding at December 31, 2016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 2016</w:t>
            </w:r>
          </w:p>
        </w:tc>
        <w:tc>
          <w:tcPr>
            <w:tcW w:w="300" w:type="dxa"/>
            <w:vAlign w:val="bottom"/>
          </w:tcPr>
          <w:p>
            <w:pPr>
              <w:spacing w:after="0"/>
              <w:rPr>
                <w:sz w:val="20"/>
                <w:szCs w:val="20"/>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8,905</w:t>
            </w:r>
          </w:p>
        </w:tc>
      </w:tr>
      <w:tr>
        <w:trPr>
          <w:trHeight w:val="216"/>
        </w:trPr>
        <w:tc>
          <w:tcPr>
            <w:tcW w:w="6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15,390</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624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3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(2,058)</w:t>
            </w:r>
          </w:p>
        </w:tc>
      </w:tr>
      <w:tr>
        <w:trPr>
          <w:trHeight w:val="216"/>
        </w:trPr>
        <w:tc>
          <w:tcPr>
            <w:tcW w:w="6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 payable, gross</w:t>
            </w: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13,332</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6240" w:type="dxa"/>
            <w:vAlign w:val="bottom"/>
            <w:gridSpan w:val="2"/>
          </w:tcPr>
          <w:p>
            <w:pPr>
              <w:spacing w:after="0"/>
              <w:rPr>
                <w:sz w:val="20"/>
                <w:szCs w:val="20"/>
                <w:color w:val="auto"/>
              </w:rPr>
            </w:pPr>
            <w:r>
              <w:rPr>
                <w:rFonts w:ascii="Arial" w:cs="Arial" w:eastAsia="Arial" w:hAnsi="Arial"/>
                <w:sz w:val="18"/>
                <w:szCs w:val="18"/>
                <w:color w:val="auto"/>
              </w:rPr>
              <w:t>Less: unamortized discount</w:t>
            </w:r>
          </w:p>
        </w:tc>
        <w:tc>
          <w:tcPr>
            <w:tcW w:w="3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(1,422)</w:t>
            </w:r>
          </w:p>
        </w:tc>
      </w:tr>
      <w:tr>
        <w:trPr>
          <w:trHeight w:val="223"/>
        </w:trPr>
        <w:tc>
          <w:tcPr>
            <w:tcW w:w="6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payable, net of unamortized debt discount</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CAPITAL LEASE OBLIGATION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August 9, 2016, the Company entered into a commercial lease agreement (the “Lease Agreement”) with Essex Capital Corporation (“Essex”). Pursuant to the terms of the Lease Agreement, the Company sold certain equipment (the “Equipment”) to Essex for a total purchase price of approximately $2,000, which was then leased back to the Company under a thirty-six month term net basis lease with monthly payments of approximately $64. The fair value of equipment sold and then leased under the Lease Agreement totaled approximately $2,000. The lease term may be extended for an additional twelve month period in the event the Company achieves certain financial milestones. The Company has the right to purchase the Equipment from Essex upon the expiration of the Lease Agreement for a purchase price equal to the Equipment’s then fair market value, with such fair market value not to exceed fifteen percent of the original Equipment value on August 9, 2016. If the Equipment is not purchased at the end of the term, the Company may automatically extend the lease on a month-to-month basis or return the Equipment and terminate the Lease Agreement. The Company expects to purchase the Equipment at the end of the term of the lease and has accrued the final payment amount of $300. The Company also incurred expenses of approximately $67 in connection with the Lease Agreement. The issuance costs were recorded as a discount. The discount is being amortized as interest expense over the term of the lease using the effective interest method. The Company used an interest rate of 16.8% for calculation of the present value of the future minimum payments under the Lease Agreement. For the year ended December 31, 2016, debt discount amortization related to the Lease Agreement was $90 and is included in interest expense in the accompanying consolidated statement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At December 31, 2016, future payments under the Company’s capital lease were as follows: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9"/>
        </w:trPr>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773</w:t>
            </w:r>
          </w:p>
        </w:tc>
        <w:tc>
          <w:tcPr>
            <w:tcW w:w="60" w:type="dxa"/>
            <w:vAlign w:val="bottom"/>
          </w:tcPr>
          <w:p>
            <w:pPr>
              <w:spacing w:after="0"/>
              <w:rPr>
                <w:sz w:val="18"/>
                <w:szCs w:val="18"/>
                <w:color w:val="auto"/>
              </w:rPr>
            </w:pPr>
          </w:p>
        </w:tc>
      </w:tr>
      <w:tr>
        <w:trPr>
          <w:trHeight w:val="25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60" w:type="dxa"/>
            <w:vAlign w:val="bottom"/>
            <w:shd w:val="clear" w:color="auto" w:fill="CCEEFF"/>
          </w:tcPr>
          <w:p>
            <w:pPr>
              <w:spacing w:after="0"/>
              <w:rPr>
                <w:sz w:val="21"/>
                <w:szCs w:val="21"/>
                <w:color w:val="auto"/>
              </w:rPr>
            </w:pPr>
          </w:p>
        </w:tc>
      </w:tr>
      <w:tr>
        <w:trPr>
          <w:trHeight w:val="203"/>
        </w:trPr>
        <w:tc>
          <w:tcPr>
            <w:tcW w:w="7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2,297</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r>
      <w:tr>
        <w:trPr>
          <w:trHeight w:val="203"/>
        </w:trPr>
        <w:tc>
          <w:tcPr>
            <w:tcW w:w="7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2,053</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r>
      <w:tr>
        <w:trPr>
          <w:trHeight w:val="216"/>
        </w:trPr>
        <w:tc>
          <w:tcPr>
            <w:tcW w:w="7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1,776</w:t>
            </w:r>
          </w:p>
        </w:tc>
        <w:tc>
          <w:tcPr>
            <w:tcW w:w="60" w:type="dxa"/>
            <w:vAlign w:val="bottom"/>
          </w:tcPr>
          <w:p>
            <w:pPr>
              <w:spacing w:after="0"/>
              <w:rPr>
                <w:sz w:val="18"/>
                <w:szCs w:val="18"/>
                <w:color w:val="auto"/>
              </w:rPr>
            </w:pPr>
          </w:p>
        </w:tc>
      </w:tr>
      <w:tr>
        <w:trPr>
          <w:trHeight w:val="25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net of unamortized discount</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r>
      <w:tr>
        <w:trPr>
          <w:trHeight w:val="217"/>
        </w:trPr>
        <w:tc>
          <w:tcPr>
            <w:tcW w:w="7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Capital lease obligation, net of current portion and unamortized discount</w:t>
            </w:r>
          </w:p>
        </w:tc>
        <w:tc>
          <w:tcPr>
            <w:tcW w:w="20" w:type="dxa"/>
            <w:vAlign w:val="bottom"/>
            <w:tcBorders>
              <w:top w:val="single" w:sz="8" w:color="CCEEFF"/>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value of the equipment under capital leases as of December 31, 2016 and 2015 was $2,070 and $60, respectively, with related accumulated depreciation of $293 and $9,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 12. STOCKHOLDERS’ EQUITY (DEFICIT)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and 2015, the Company had 90,000,000 shares of common stock, $0.001 par value,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2015</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2015, the Company issued a total of 130,457 shares of common stock as a result of option exercises. The Company received no cash proceeds for the issuance of the shares of common stock upon the exercise pursuant to cashless exercise provisions of stock options to purchase 255,600 shares of common stock with exercise prices ranging from $3.20 to $4.51 per share.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2015, the Company issued 1,611 shares of common stock to employees related to the vesting of RSUs, net of 1,241 shares of common stock withheld for payroll tax withholdings totaling $10.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the Company issued 8,521 shares of its common stock in connection with RSUs that had been awarded to a non-employee director and had vested, but were not issued and settled until the resignation of the director on January 1, 2015.</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2015, the Company issued a total of 220,912 shares of common stock as a result of warrant exercises. Of these, the Company received cash proceeds of $1,248 for the issuance of 209,980 shares of common stock upon the exercise on a cash basis of warrants to purchase the same number of shares of common stock with an exercise price of $5.925, and the Company received no cash proceeds for the issuance of 10,932 shares of common stock upon the exercise pursuant to cashless exercise provisions of warrants to purchase 30,457 shares of common stock with an exercise price of $5.25 per share.</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November 2015, the Company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and to reimburse Cantor Fitzgerald for certain fees and expenses in an amount not to exceed $50. During the fourth quarter of 2015, 72,421 shares of common stock were sold under the Sales Agreement for gross proceeds of approximately $529 and net proceeds, after deducting $16 in commission fees and $109 in offering expenses payable by the Company, of approximately $404.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In January 2015, the Company issued 63,525 shares of restricted common stock, valued at $425, in connection with the Park Acquisition (see Note 3).</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2015, 28,606 shares of the Company’s common stock underlying RSUs issued to directors vested, but the issuance and delivery of these shares are deferred until the director resigns.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2016</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2016, the Company entered into an underwriting agreement (the “Underwriting Agreement”) with National Securities Corporation and several other underwriters, under which the Company sold in a firm-commitment public offering (the “Offering”), 3,335,000 shares of the Company’s common stock at $3.60 per share. The Offering closed on March 16, 2016. The Company received net proceeds of $11,088, after deducting the underwriting discount and the offering expenses payable by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5" w:name="page66"/>
    <w:bookmarkEnd w:id="65"/>
    <w:p>
      <w:pPr>
        <w:jc w:val="both"/>
        <w:spacing w:after="0" w:line="264" w:lineRule="auto"/>
        <w:rPr>
          <w:sz w:val="20"/>
          <w:szCs w:val="20"/>
          <w:color w:val="auto"/>
        </w:rPr>
      </w:pPr>
      <w:r>
        <w:rPr>
          <w:rFonts w:ascii="Arial" w:cs="Arial" w:eastAsia="Arial" w:hAnsi="Arial"/>
          <w:sz w:val="18"/>
          <w:szCs w:val="18"/>
          <w:color w:val="auto"/>
        </w:rPr>
        <w:t>The Company sold 57,042 shares of common stock and received net proceeds of $212, after deducting $20 for sales commission and offering expenses, under the Sales Agreement during the year ended December 31, 2016, leaving an aggregate of $1,871 available for future sales of shares thereunder as of December 31,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2016, we issued 75,000 shares of the Company’s common stock, with a fair value of $302, as a contingent payment related to the acquisition of PC (see Note 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2016, the Company issued 16,076 shares of its common stock in connection with RSUs that had been awarded to a non-employee director and had vested, but were not issued and settled until the resignation of the director in September 2016.</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2016, the Company issued 116,291 shares of its common stock to its CEO, Mark L. Baum, in connection with 200,000 RSUs that had vested in May 2016. The issuance of common stock was net of 83,709 shares of common stock withheld for payroll tax withholdings totaling $144.</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2016, the Company entered into a securities purchase agreement with certain purchasers, which provided for the sale of 5,257,828 Units, with each Unit consisting of one share of common stock of the Company, and one warrant to purchase one share of common stock (the “Investor Warrants”), at a price of $1.915 per Unit for aggregate net proceeds of approximately $9,217 after deducting $852 in placement agent fees and offering expenses (the “PIPE Offering”). The Investor Warrants have an exercise price of $1.79 per share, are non-exercisable for the first six months and will expire three years from the date of issuance. The Company paid National Securities Corporation (the “Placement Agent”), in consideration for its services as placement agent for the PIPE Offering, a cash amount equal to 7.5% of the gross proceeds from the sale of the Units. The Company also issued to the Placement Agent a warrant (the “Agent Warrant”) to purchase up to 210,313 shares of the Company’s common stock. The Agent Warrant was issued on the same terms and conditions of the Investor Warrants.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2016, the Company issued a total of 15,000 shares of common stock as a result of option exercises. The Company received $55 in cash proceeds for the issuance of the shares of common stock upon the exercise pursuant to exercise provisions of stock options to purchase 15,000 shares of common stock with exercise price of $3.68 per share.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2016, 24,421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2016 and 2015,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December 31, 2016, the Plan provides for the issuance of a maximum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RSUs and restricted stock. The Plan is administered by the Compensation Committee of the Company’s Board of Directors. The Company had 815,159 shares available for future issuances under the Plan at December 31, 2016.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60" w:type="dxa"/>
            <w:vAlign w:val="bottom"/>
            <w:gridSpan w:val="6"/>
          </w:tcPr>
          <w:p>
            <w:pPr>
              <w:spacing w:after="0"/>
              <w:rPr>
                <w:sz w:val="20"/>
                <w:szCs w:val="20"/>
                <w:color w:val="auto"/>
              </w:rPr>
            </w:pPr>
            <w:r>
              <w:rPr>
                <w:rFonts w:ascii="Arial" w:cs="Arial" w:eastAsia="Arial" w:hAnsi="Arial"/>
                <w:sz w:val="18"/>
                <w:szCs w:val="18"/>
                <w:color w:val="auto"/>
                <w:w w:val="96"/>
              </w:rPr>
              <w:t>A summary of the stock option activity under the Plan for the year ended December 31, 2016 is as follows:</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Weighted Avg.</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080" w:type="dxa"/>
            <w:vAlign w:val="bottom"/>
            <w:gridSpan w:val="2"/>
          </w:tcPr>
          <w:p>
            <w:pPr>
              <w:jc w:val="right"/>
              <w:ind w:right="520"/>
              <w:spacing w:after="0"/>
              <w:rPr>
                <w:sz w:val="20"/>
                <w:szCs w:val="20"/>
                <w:color w:val="auto"/>
              </w:rPr>
            </w:pPr>
            <w:r>
              <w:rPr>
                <w:rFonts w:ascii="Arial" w:cs="Arial" w:eastAsia="Arial" w:hAnsi="Arial"/>
                <w:sz w:val="18"/>
                <w:szCs w:val="18"/>
                <w:color w:val="auto"/>
              </w:rPr>
              <w:t>Number of shares</w:t>
            </w:r>
          </w:p>
        </w:tc>
        <w:tc>
          <w:tcPr>
            <w:tcW w:w="14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Contractual Life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2016</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1,544,026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549,350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3.99</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(65,063)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December 31, 2016</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2,013,313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15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w:t>
            </w:r>
          </w:p>
        </w:tc>
        <w:tc>
          <w:tcPr>
            <w:tcW w:w="2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6.18</w:t>
            </w: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5.75</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808,067</w:t>
            </w:r>
          </w:p>
        </w:tc>
        <w:tc>
          <w:tcPr>
            <w:tcW w:w="2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gridSpan w:val="2"/>
            <w:vMerge w:val="continue"/>
          </w:tcPr>
          <w:p>
            <w:pPr>
              <w:spacing w:after="0"/>
              <w:rPr>
                <w:sz w:val="20"/>
                <w:szCs w:val="20"/>
                <w:color w:val="auto"/>
              </w:rPr>
            </w:pPr>
          </w:p>
        </w:tc>
        <w:tc>
          <w:tcPr>
            <w:tcW w:w="1580" w:type="dxa"/>
            <w:vAlign w:val="bottom"/>
            <w:tcBorders>
              <w:bottom w:val="single" w:sz="8" w:color="CCEEFF"/>
            </w:tcBorders>
            <w:gridSpan w:val="2"/>
            <w:vMerge w:val="continue"/>
          </w:tcPr>
          <w:p>
            <w:pPr>
              <w:spacing w:after="0"/>
              <w:rPr>
                <w:sz w:val="20"/>
                <w:szCs w:val="20"/>
                <w:color w:val="auto"/>
              </w:rPr>
            </w:pPr>
          </w:p>
        </w:tc>
        <w:tc>
          <w:tcPr>
            <w:tcW w:w="240" w:type="dxa"/>
            <w:vAlign w:val="bottom"/>
            <w:tcBorders>
              <w:bottom w:val="single" w:sz="8" w:color="CCEEFF"/>
            </w:tcBorders>
            <w:gridSpan w:val="2"/>
            <w:vMerge w:val="continue"/>
          </w:tcPr>
          <w:p>
            <w:pPr>
              <w:spacing w:after="0"/>
              <w:rPr>
                <w:sz w:val="20"/>
                <w:szCs w:val="20"/>
                <w:color w:val="auto"/>
              </w:rPr>
            </w:pPr>
          </w:p>
        </w:tc>
        <w:tc>
          <w:tcPr>
            <w:tcW w:w="14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1,892,790</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right"/>
              <w:ind w:right="220"/>
              <w:spacing w:after="0" w:line="190" w:lineRule="exact"/>
              <w:rPr>
                <w:sz w:val="20"/>
                <w:szCs w:val="20"/>
                <w:color w:val="auto"/>
              </w:rPr>
            </w:pPr>
            <w:r>
              <w:rPr>
                <w:rFonts w:ascii="Arial" w:cs="Arial" w:eastAsia="Arial" w:hAnsi="Arial"/>
                <w:sz w:val="18"/>
                <w:szCs w:val="18"/>
                <w:color w:val="auto"/>
              </w:rPr>
              <w:t>6.20</w:t>
            </w:r>
          </w:p>
        </w:tc>
        <w:tc>
          <w:tcPr>
            <w:tcW w:w="1580" w:type="dxa"/>
            <w:vAlign w:val="bottom"/>
            <w:tcBorders>
              <w:bottom w:val="single" w:sz="8" w:color="CCEEFF"/>
            </w:tcBorders>
            <w:gridSpan w:val="2"/>
            <w:shd w:val="clear" w:color="auto" w:fill="CCEEFF"/>
          </w:tcPr>
          <w:p>
            <w:pPr>
              <w:jc w:val="right"/>
              <w:ind w:right="120"/>
              <w:spacing w:after="0" w:line="190" w:lineRule="exact"/>
              <w:rPr>
                <w:sz w:val="20"/>
                <w:szCs w:val="20"/>
                <w:color w:val="auto"/>
              </w:rPr>
            </w:pPr>
            <w:r>
              <w:rPr>
                <w:rFonts w:ascii="Arial" w:cs="Arial" w:eastAsia="Arial" w:hAnsi="Arial"/>
                <w:sz w:val="18"/>
                <w:szCs w:val="18"/>
                <w:color w:val="auto"/>
              </w:rPr>
              <w:t>6.10</w:t>
            </w:r>
          </w:p>
        </w:tc>
        <w:tc>
          <w:tcPr>
            <w:tcW w:w="240" w:type="dxa"/>
            <w:vAlign w:val="bottom"/>
            <w:tcBorders>
              <w:bottom w:val="single" w:sz="8" w:color="CCEEFF"/>
            </w:tcBorders>
            <w:gridSpan w:val="2"/>
            <w:shd w:val="clear" w:color="auto" w:fill="CCEEFF"/>
          </w:tcPr>
          <w:p>
            <w:pPr>
              <w:jc w:val="right"/>
              <w:ind w:right="60"/>
              <w:spacing w:after="0" w:line="190"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2016, based on the closing price of the Company’s common stock of $2.50 on that date. The aggregate intrinsic value of stock options exercised during the year ended December 31, 2016 was approximately $29.</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2016 and 2015, the Company granted stock options to certain employees, directors and consultants. The stock options were granted with an exercise price equal to the current market price of the Company’s common stock, as reported by the securities exchange on which the common stock was then listed, at the grant date and have contractual terms ranging from five to 10 years. Vesting terms for options granted in 2016 and 2015 to employees, directors and consultants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quarterly vesting over three years;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31, 2015, the Company granted to its Chief Executive Officer, Mark Baum, an option (the “Baum Performance Option”) to purchase 600,000 shares of the Company’s common stock at an exercise price of $7.87 per share under the Plan subject to the satisfaction of certain market-based vesting criteria. The market-based vesting criteria are separated into five tranches and require that the Company achieve and maintain certain average stock price targets ranging from $9 per share to $15 per share during the five year period following the grant date. These market-based vesting conditions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380" w:type="dxa"/>
            <w:vAlign w:val="bottom"/>
          </w:tcPr>
          <w:p>
            <w:pPr>
              <w:spacing w:after="0"/>
              <w:rPr>
                <w:sz w:val="20"/>
                <w:szCs w:val="20"/>
                <w:color w:val="auto"/>
              </w:rPr>
            </w:pPr>
            <w:r>
              <w:rPr>
                <w:rFonts w:ascii="Arial" w:cs="Arial" w:eastAsia="Arial" w:hAnsi="Arial"/>
                <w:sz w:val="18"/>
                <w:szCs w:val="18"/>
                <w:color w:val="auto"/>
              </w:rPr>
              <w:t>Tranche</w:t>
            </w:r>
          </w:p>
        </w:tc>
        <w:tc>
          <w:tcPr>
            <w:tcW w:w="2680" w:type="dxa"/>
            <w:vAlign w:val="bottom"/>
            <w:gridSpan w:val="3"/>
          </w:tcPr>
          <w:p>
            <w:pPr>
              <w:ind w:left="160"/>
              <w:spacing w:after="0"/>
              <w:rPr>
                <w:sz w:val="20"/>
                <w:szCs w:val="20"/>
                <w:color w:val="auto"/>
              </w:rPr>
            </w:pPr>
            <w:r>
              <w:rPr>
                <w:rFonts w:ascii="Arial" w:cs="Arial" w:eastAsia="Arial" w:hAnsi="Arial"/>
                <w:sz w:val="18"/>
                <w:szCs w:val="18"/>
                <w:color w:val="auto"/>
              </w:rPr>
              <w:t>Number of Shares</w:t>
            </w:r>
          </w:p>
        </w:tc>
        <w:tc>
          <w:tcPr>
            <w:tcW w:w="2360" w:type="dxa"/>
            <w:vAlign w:val="bottom"/>
          </w:tcPr>
          <w:p>
            <w:pPr>
              <w:spacing w:after="0"/>
              <w:rPr>
                <w:sz w:val="20"/>
                <w:szCs w:val="20"/>
                <w:color w:val="auto"/>
              </w:rPr>
            </w:pPr>
            <w:r>
              <w:rPr>
                <w:rFonts w:ascii="Arial" w:cs="Arial" w:eastAsia="Arial" w:hAnsi="Arial"/>
                <w:sz w:val="18"/>
                <w:szCs w:val="18"/>
                <w:color w:val="auto"/>
              </w:rPr>
              <w:t>Target Share Price</w:t>
            </w:r>
          </w:p>
        </w:tc>
      </w:tr>
      <w:tr>
        <w:trPr>
          <w:trHeight w:val="210"/>
        </w:trPr>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16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200,000 shares</w:t>
            </w:r>
          </w:p>
        </w:tc>
        <w:tc>
          <w:tcPr>
            <w:tcW w:w="14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$9.00 or greater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Tranche 2</w:t>
            </w:r>
          </w:p>
        </w:tc>
        <w:tc>
          <w:tcPr>
            <w:tcW w:w="2680" w:type="dxa"/>
            <w:vAlign w:val="bottom"/>
            <w:gridSpan w:val="3"/>
          </w:tcPr>
          <w:p>
            <w:pPr>
              <w:ind w:left="160"/>
              <w:spacing w:after="0"/>
              <w:rPr>
                <w:sz w:val="20"/>
                <w:szCs w:val="20"/>
                <w:color w:val="auto"/>
              </w:rPr>
            </w:pPr>
            <w:r>
              <w:rPr>
                <w:rFonts w:ascii="Arial" w:cs="Arial" w:eastAsia="Arial" w:hAnsi="Arial"/>
                <w:sz w:val="18"/>
                <w:szCs w:val="18"/>
                <w:color w:val="auto"/>
              </w:rPr>
              <w:t>100,000 shares</w:t>
            </w:r>
          </w:p>
        </w:tc>
        <w:tc>
          <w:tcPr>
            <w:tcW w:w="2360" w:type="dxa"/>
            <w:vAlign w:val="bottom"/>
          </w:tcPr>
          <w:p>
            <w:pPr>
              <w:spacing w:after="0"/>
              <w:rPr>
                <w:sz w:val="20"/>
                <w:szCs w:val="20"/>
                <w:color w:val="auto"/>
              </w:rPr>
            </w:pPr>
            <w:r>
              <w:rPr>
                <w:rFonts w:ascii="Arial" w:cs="Arial" w:eastAsia="Arial" w:hAnsi="Arial"/>
                <w:sz w:val="18"/>
                <w:szCs w:val="18"/>
                <w:color w:val="auto"/>
              </w:rPr>
              <w:t>$10.00 or greater</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2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100,000 shares</w:t>
            </w: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$12.00 or greater</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Tranche 4</w:t>
            </w:r>
          </w:p>
        </w:tc>
        <w:tc>
          <w:tcPr>
            <w:tcW w:w="2680" w:type="dxa"/>
            <w:vAlign w:val="bottom"/>
            <w:gridSpan w:val="3"/>
          </w:tcPr>
          <w:p>
            <w:pPr>
              <w:ind w:left="160"/>
              <w:spacing w:after="0"/>
              <w:rPr>
                <w:sz w:val="20"/>
                <w:szCs w:val="20"/>
                <w:color w:val="auto"/>
              </w:rPr>
            </w:pPr>
            <w:r>
              <w:rPr>
                <w:rFonts w:ascii="Arial" w:cs="Arial" w:eastAsia="Arial" w:hAnsi="Arial"/>
                <w:sz w:val="18"/>
                <w:szCs w:val="18"/>
                <w:color w:val="auto"/>
              </w:rPr>
              <w:t>100,000 shares</w:t>
            </w:r>
          </w:p>
        </w:tc>
        <w:tc>
          <w:tcPr>
            <w:tcW w:w="2360" w:type="dxa"/>
            <w:vAlign w:val="bottom"/>
          </w:tcPr>
          <w:p>
            <w:pPr>
              <w:spacing w:after="0"/>
              <w:rPr>
                <w:sz w:val="20"/>
                <w:szCs w:val="20"/>
                <w:color w:val="auto"/>
              </w:rPr>
            </w:pPr>
            <w:r>
              <w:rPr>
                <w:rFonts w:ascii="Arial" w:cs="Arial" w:eastAsia="Arial" w:hAnsi="Arial"/>
                <w:sz w:val="18"/>
                <w:szCs w:val="18"/>
                <w:color w:val="auto"/>
              </w:rPr>
              <w:t>$14.00 or greater</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100,000 shares</w:t>
            </w: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$15.00 or greater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Baum Performance Option terminates on the fifth anniversary of the grant date. The fair value of the Baum Performance Option was $2,784 using a Monte Carlo Simulation with a five-year life, 80% volatility and a risk free interest rate of 1.54 %.</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 and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5.81 - 6.11</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5.81 - 6.11</w:t>
            </w:r>
          </w:p>
        </w:tc>
        <w:tc>
          <w:tcPr>
            <w:tcW w:w="228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101 - 112%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101 - 121%</w:t>
            </w:r>
          </w:p>
        </w:tc>
        <w:tc>
          <w:tcPr>
            <w:tcW w:w="2280" w:type="dxa"/>
            <w:vAlign w:val="bottom"/>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1.07 - 1.70%</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1.39 - 1.68%</w:t>
            </w:r>
          </w:p>
        </w:tc>
        <w:tc>
          <w:tcPr>
            <w:tcW w:w="228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439"/>
        </w:trPr>
        <w:tc>
          <w:tcPr>
            <w:tcW w:w="4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F-23</w:t>
            </w: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consultants: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108 - 109%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1.06 - 1.63%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opt0ions outstanding and exercisable at December 31,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6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Options Outstanding</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6"/>
          </w:tcPr>
          <w:p>
            <w:pPr>
              <w:ind w:left="620"/>
              <w:spacing w:after="0"/>
              <w:rPr>
                <w:sz w:val="20"/>
                <w:szCs w:val="20"/>
                <w:color w:val="auto"/>
              </w:rPr>
            </w:pPr>
            <w:r>
              <w:rPr>
                <w:rFonts w:ascii="Arial" w:cs="Arial" w:eastAsia="Arial" w:hAnsi="Arial"/>
                <w:sz w:val="18"/>
                <w:szCs w:val="18"/>
                <w:color w:val="auto"/>
              </w:rPr>
              <w:t>Options Exercisable</w:t>
            </w:r>
          </w:p>
        </w:tc>
      </w:tr>
      <w:tr>
        <w:trPr>
          <w:trHeight w:val="202"/>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240"/>
              <w:spacing w:after="0" w:line="201" w:lineRule="exact"/>
              <w:rPr>
                <w:sz w:val="20"/>
                <w:szCs w:val="20"/>
                <w:color w:val="auto"/>
              </w:rPr>
            </w:pPr>
            <w:r>
              <w:rPr>
                <w:rFonts w:ascii="Arial" w:cs="Arial" w:eastAsia="Arial" w:hAnsi="Arial"/>
                <w:sz w:val="18"/>
                <w:szCs w:val="18"/>
                <w:color w:val="auto"/>
                <w:w w:val="89"/>
              </w:rPr>
              <w:t>Weighted</w:t>
            </w: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Weighted</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r>
      <w:tr>
        <w:trPr>
          <w:trHeight w:val="230"/>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9"/>
                <w:szCs w:val="19"/>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Exercise</w:t>
            </w: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Number</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r>
      <w:tr>
        <w:trPr>
          <w:trHeight w:val="237"/>
        </w:trPr>
        <w:tc>
          <w:tcPr>
            <w:tcW w:w="412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Life in Years</w:t>
            </w:r>
          </w:p>
        </w:tc>
        <w:tc>
          <w:tcPr>
            <w:tcW w:w="18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Price</w:t>
            </w: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Exercisable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Price</w:t>
            </w: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$2.40 - $2.60</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79"/>
              </w:rPr>
              <w:t>5.80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$3.74 - $4.50</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695,623</w:t>
            </w:r>
          </w:p>
        </w:tc>
        <w:tc>
          <w:tcPr>
            <w:tcW w:w="1760" w:type="dxa"/>
            <w:vAlign w:val="bottom"/>
            <w:gridSpan w:val="3"/>
          </w:tcPr>
          <w:p>
            <w:pPr>
              <w:ind w:left="1200"/>
              <w:spacing w:after="0"/>
              <w:rPr>
                <w:sz w:val="20"/>
                <w:szCs w:val="20"/>
                <w:color w:val="auto"/>
              </w:rPr>
            </w:pPr>
            <w:r>
              <w:rPr>
                <w:rFonts w:ascii="Arial" w:cs="Arial" w:eastAsia="Arial" w:hAnsi="Arial"/>
                <w:sz w:val="18"/>
                <w:szCs w:val="18"/>
                <w:color w:val="auto"/>
              </w:rPr>
              <w:t>7.69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225,256</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$5.49 - $7.99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952,103</w:t>
            </w:r>
          </w:p>
        </w:tc>
        <w:tc>
          <w:tcPr>
            <w:tcW w:w="17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249,857</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$8.06 - $8.99</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213,557</w:t>
            </w:r>
          </w:p>
        </w:tc>
        <w:tc>
          <w:tcPr>
            <w:tcW w:w="1760" w:type="dxa"/>
            <w:vAlign w:val="bottom"/>
            <w:gridSpan w:val="3"/>
          </w:tcPr>
          <w:p>
            <w:pPr>
              <w:ind w:left="1200"/>
              <w:spacing w:after="0"/>
              <w:rPr>
                <w:sz w:val="20"/>
                <w:szCs w:val="20"/>
                <w:color w:val="auto"/>
              </w:rPr>
            </w:pPr>
            <w:r>
              <w:rPr>
                <w:rFonts w:ascii="Arial" w:cs="Arial" w:eastAsia="Arial" w:hAnsi="Arial"/>
                <w:sz w:val="18"/>
                <w:szCs w:val="18"/>
                <w:color w:val="auto"/>
              </w:rPr>
              <w:t>6.10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8.92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202,924</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r>
      <w:tr>
        <w:trPr>
          <w:trHeight w:val="25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7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5,030</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r>
      <w:tr>
        <w:trPr>
          <w:trHeight w:val="217"/>
        </w:trPr>
        <w:tc>
          <w:tcPr>
            <w:tcW w:w="4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2,013,313</w:t>
            </w:r>
          </w:p>
        </w:tc>
        <w:tc>
          <w:tcPr>
            <w:tcW w:w="1760" w:type="dxa"/>
            <w:vAlign w:val="bottom"/>
            <w:tcBorders>
              <w:top w:val="single" w:sz="8" w:color="CCEEFF"/>
            </w:tcBorders>
            <w:gridSpan w:val="3"/>
          </w:tcPr>
          <w:p>
            <w:pPr>
              <w:ind w:left="1200"/>
              <w:spacing w:after="0"/>
              <w:rPr>
                <w:sz w:val="20"/>
                <w:szCs w:val="20"/>
                <w:color w:val="auto"/>
              </w:rPr>
            </w:pPr>
            <w:r>
              <w:rPr>
                <w:rFonts w:ascii="Arial" w:cs="Arial" w:eastAsia="Arial" w:hAnsi="Arial"/>
                <w:sz w:val="18"/>
                <w:szCs w:val="18"/>
                <w:color w:val="auto"/>
              </w:rPr>
              <w:t>6.28</w:t>
            </w:r>
          </w:p>
        </w:tc>
        <w:tc>
          <w:tcPr>
            <w:tcW w:w="180" w:type="dxa"/>
            <w:vAlign w:val="bottom"/>
            <w:tcBorders>
              <w:top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808,067</w:t>
            </w:r>
          </w:p>
        </w:tc>
        <w:tc>
          <w:tcPr>
            <w:tcW w:w="20" w:type="dxa"/>
            <w:vAlign w:val="bottom"/>
            <w:tcBorders>
              <w:top w:val="single" w:sz="8" w:color="CCEEFF"/>
              <w:bottom w:val="single" w:sz="8" w:color="auto"/>
            </w:tcBorders>
          </w:tcPr>
          <w:p>
            <w:pPr>
              <w:spacing w:after="0"/>
              <w:rPr>
                <w:sz w:val="18"/>
                <w:szCs w:val="18"/>
                <w:color w:val="auto"/>
              </w:rPr>
            </w:pPr>
          </w:p>
        </w:tc>
        <w:tc>
          <w:tcPr>
            <w:tcW w:w="380" w:type="dxa"/>
            <w:vAlign w:val="bottom"/>
            <w:tcBorders>
              <w:top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6.18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2016, there was approximately $5,116 of total unrecognized compensation expense related to unvested stock options granted under the Plan. That expense is expected to be recognized over the weighted-average remaining vesting period of 3.1 years. The stock-based compensation for all stock options was $2,159 and $1,747 during the years ended December 31,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 based vesting criteria. The grant-date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During the Year Ended December 31, 2015</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February 2015, the Company granted 30,000 RSUs to its Chief Financial Officer, Andrew R. Boll and 30,000 RSUs to its Chief Commercial Officer, John P. Saharek, valued at $442 in the aggregate. The RSUs were granted pursuant to the Plan and will vest on the third anniversary of the RSU grant date, subject to the applicable employee’s continued employment with the Company on such date and accelerated vesting of all unvested shares thereunder upon the occurrence of a change in control (as defined in the Plan).</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February 2015, the Company granted 157,500 RSUs to Mr. Boll, which are subject to the satisfaction of certain market-based and continued service conditions (the “Boll Performance Equity Award”). The market-based vesting criteria are separated into five tranches and require that the Company achieve and maintain certain stock price targets ranging from $10 per share to $30 per share during the three-year period following the grant date. With certain limited exceptions, Mr. Boll must be employed with the Company on the third anniversary of the grant date in order for the Boll Performance Equity Award to vest.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market-based vesting conditions applicable to the Boll Performance Equity Award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Tranche</w:t>
            </w:r>
          </w:p>
        </w:tc>
        <w:tc>
          <w:tcPr>
            <w:tcW w:w="38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Number of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Target Share Price</w:t>
            </w:r>
          </w:p>
        </w:tc>
      </w:tr>
      <w:tr>
        <w:trPr>
          <w:trHeight w:val="216"/>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6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30,000 shares</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 or greater</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Tranche 2</w:t>
            </w:r>
          </w:p>
        </w:tc>
        <w:tc>
          <w:tcPr>
            <w:tcW w:w="38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30,000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$15.00 or greater</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3</w:t>
            </w:r>
          </w:p>
        </w:tc>
        <w:tc>
          <w:tcPr>
            <w:tcW w:w="3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5"/>
              </w:rPr>
              <w:t>30,000 shares</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$20.00 or greater</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Tranche 4</w:t>
            </w:r>
          </w:p>
        </w:tc>
        <w:tc>
          <w:tcPr>
            <w:tcW w:w="38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30,000 shares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$25.00 or greater</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Tranche 5</w:t>
            </w:r>
          </w:p>
        </w:tc>
        <w:tc>
          <w:tcPr>
            <w:tcW w:w="38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5"/>
              </w:rPr>
              <w:t>37,500 shares</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$30.00 or greater</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initial fair value of the Boll Performance Equity Award was $228 using a Monte Carlo Simulation with a three-year life, 60% volatility and a risk free interest rate of 0.77%.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jc w:val="both"/>
        <w:spacing w:after="0" w:line="264" w:lineRule="auto"/>
        <w:rPr>
          <w:sz w:val="20"/>
          <w:szCs w:val="20"/>
          <w:color w:val="auto"/>
        </w:rPr>
      </w:pPr>
      <w:r>
        <w:rPr>
          <w:rFonts w:ascii="Arial" w:cs="Arial" w:eastAsia="Arial" w:hAnsi="Arial"/>
          <w:sz w:val="18"/>
          <w:szCs w:val="18"/>
          <w:color w:val="auto"/>
        </w:rPr>
        <w:t>During the year ended December 31, 2015, the Company granted an aggregate of 34,166 RSUs to its non-employee directors valued at $270. These RSUs vest in equal quarterly installments over a one year period subject to the director’s continued service at the vesting date, but the issuance and delivery of these shares are deferred until the director resigns.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During the Year Ended December 31, 2016</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2016, the Company granted performance-based RSU awards to its CEO, Mark L. Baum, of up to 1,050,000 performance stock units and to its CFO, Andrew R. Boll, of up to 157,500 performance stock units. The performance stock units will vest on the fifth anniversary of the grant date, subject to Mr. Baum’s and Mr. Boll’s continued employment with the Company, respectively, and may vest earlier if the Company achieves and maintains certain stock price targets during the five year period following the grant date or upon a change in control if the performance-based equity award is not assumed, continued or substituted for by the acquiring entity. The market-based accelerated vesting criteria are broken into five equal tranches and require that the Company achieve and maintain certain stock price targets ranging from $9 per share to $15 per share during the five-year period following the grant date. These market-based accelerated vesting conditions and share amounts (in aggregate) are set forth below:</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3120" w:type="dxa"/>
            <w:vAlign w:val="bottom"/>
            <w:gridSpan w:val="2"/>
          </w:tcPr>
          <w:p>
            <w:pPr>
              <w:spacing w:after="0"/>
              <w:rPr>
                <w:sz w:val="20"/>
                <w:szCs w:val="20"/>
                <w:color w:val="auto"/>
              </w:rPr>
            </w:pPr>
            <w:r>
              <w:rPr>
                <w:rFonts w:ascii="Arial" w:cs="Arial" w:eastAsia="Arial" w:hAnsi="Arial"/>
                <w:sz w:val="18"/>
                <w:szCs w:val="18"/>
                <w:color w:val="auto"/>
              </w:rPr>
              <w:t>Tranche</w:t>
            </w:r>
          </w:p>
        </w:tc>
        <w:tc>
          <w:tcPr>
            <w:tcW w:w="3400" w:type="dxa"/>
            <w:vAlign w:val="bottom"/>
            <w:gridSpan w:val="3"/>
          </w:tcPr>
          <w:p>
            <w:pPr>
              <w:ind w:left="200"/>
              <w:spacing w:after="0"/>
              <w:rPr>
                <w:sz w:val="20"/>
                <w:szCs w:val="20"/>
                <w:color w:val="auto"/>
              </w:rPr>
            </w:pPr>
            <w:r>
              <w:rPr>
                <w:rFonts w:ascii="Arial" w:cs="Arial" w:eastAsia="Arial" w:hAnsi="Arial"/>
                <w:sz w:val="18"/>
                <w:szCs w:val="18"/>
                <w:color w:val="auto"/>
              </w:rPr>
              <w:t>Number of shares</w:t>
            </w:r>
          </w:p>
        </w:tc>
        <w:tc>
          <w:tcPr>
            <w:tcW w:w="3180" w:type="dxa"/>
            <w:vAlign w:val="bottom"/>
          </w:tcPr>
          <w:p>
            <w:pPr>
              <w:ind w:left="80"/>
              <w:spacing w:after="0"/>
              <w:rPr>
                <w:sz w:val="20"/>
                <w:szCs w:val="20"/>
                <w:color w:val="auto"/>
              </w:rPr>
            </w:pPr>
            <w:r>
              <w:rPr>
                <w:rFonts w:ascii="Arial" w:cs="Arial" w:eastAsia="Arial" w:hAnsi="Arial"/>
                <w:sz w:val="18"/>
                <w:szCs w:val="18"/>
                <w:color w:val="auto"/>
              </w:rPr>
              <w:t>Target share price</w:t>
            </w:r>
          </w:p>
        </w:tc>
      </w:tr>
      <w:tr>
        <w:trPr>
          <w:trHeight w:val="216"/>
        </w:trPr>
        <w:tc>
          <w:tcPr>
            <w:tcW w:w="20" w:type="dxa"/>
            <w:vAlign w:val="bottom"/>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2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230,000 shares</w:t>
            </w:r>
          </w:p>
        </w:tc>
        <w:tc>
          <w:tcPr>
            <w:tcW w:w="10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$9.00 or greater</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Tranche 2</w:t>
            </w:r>
          </w:p>
        </w:tc>
        <w:tc>
          <w:tcPr>
            <w:tcW w:w="3400" w:type="dxa"/>
            <w:vAlign w:val="bottom"/>
            <w:gridSpan w:val="3"/>
          </w:tcPr>
          <w:p>
            <w:pPr>
              <w:ind w:left="200"/>
              <w:spacing w:after="0"/>
              <w:rPr>
                <w:sz w:val="20"/>
                <w:szCs w:val="20"/>
                <w:color w:val="auto"/>
              </w:rPr>
            </w:pPr>
            <w:r>
              <w:rPr>
                <w:rFonts w:ascii="Arial" w:cs="Arial" w:eastAsia="Arial" w:hAnsi="Arial"/>
                <w:sz w:val="18"/>
                <w:szCs w:val="18"/>
                <w:color w:val="auto"/>
              </w:rPr>
              <w:t>230,000 shares</w:t>
            </w:r>
          </w:p>
        </w:tc>
        <w:tc>
          <w:tcPr>
            <w:tcW w:w="3180" w:type="dxa"/>
            <w:vAlign w:val="bottom"/>
          </w:tcPr>
          <w:p>
            <w:pPr>
              <w:ind w:left="80"/>
              <w:spacing w:after="0"/>
              <w:rPr>
                <w:sz w:val="20"/>
                <w:szCs w:val="20"/>
                <w:color w:val="auto"/>
              </w:rPr>
            </w:pPr>
            <w:r>
              <w:rPr>
                <w:rFonts w:ascii="Arial" w:cs="Arial" w:eastAsia="Arial" w:hAnsi="Arial"/>
                <w:sz w:val="18"/>
                <w:szCs w:val="18"/>
                <w:color w:val="auto"/>
              </w:rPr>
              <w:t>$10.00 or greater</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3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230,000 shares</w:t>
            </w: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$12.00 or greater</w:t>
            </w: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Tranche 4</w:t>
            </w:r>
          </w:p>
        </w:tc>
        <w:tc>
          <w:tcPr>
            <w:tcW w:w="3400" w:type="dxa"/>
            <w:vAlign w:val="bottom"/>
            <w:gridSpan w:val="3"/>
          </w:tcPr>
          <w:p>
            <w:pPr>
              <w:ind w:left="200"/>
              <w:spacing w:after="0"/>
              <w:rPr>
                <w:sz w:val="20"/>
                <w:szCs w:val="20"/>
                <w:color w:val="auto"/>
              </w:rPr>
            </w:pPr>
            <w:r>
              <w:rPr>
                <w:rFonts w:ascii="Arial" w:cs="Arial" w:eastAsia="Arial" w:hAnsi="Arial"/>
                <w:sz w:val="18"/>
                <w:szCs w:val="18"/>
                <w:color w:val="auto"/>
              </w:rPr>
              <w:t>230,000 shares</w:t>
            </w:r>
          </w:p>
        </w:tc>
        <w:tc>
          <w:tcPr>
            <w:tcW w:w="3180" w:type="dxa"/>
            <w:vAlign w:val="bottom"/>
          </w:tcPr>
          <w:p>
            <w:pPr>
              <w:ind w:left="80"/>
              <w:spacing w:after="0"/>
              <w:rPr>
                <w:sz w:val="20"/>
                <w:szCs w:val="20"/>
                <w:color w:val="auto"/>
              </w:rPr>
            </w:pPr>
            <w:r>
              <w:rPr>
                <w:rFonts w:ascii="Arial" w:cs="Arial" w:eastAsia="Arial" w:hAnsi="Arial"/>
                <w:sz w:val="18"/>
                <w:szCs w:val="18"/>
                <w:color w:val="auto"/>
              </w:rPr>
              <w:t>$14.00 or greater</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3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287,500 shares</w:t>
            </w: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$15.00 or greater</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the executive must be in service with the Company through the date of vesting.</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Concurrent with the issuance of the performance-based restricted stock unit awards, Mr. Baum agreed to forfeit 1,050,000 RSUs subject to performance-based vesting granted to him in May 2013 and Mr. Boll agreed to forfeit the Boll Performance Equity Award granted to him in February 2015. As a result, the issuance of the performance-based RSUs awarded in April 2016 have been treated as modifications of the RSUs granted to Mr. Baum in May 2013 and Mr. Boll in February 2015 for accounting purposes. The Company used a lattice binomial model to estimate a derived service period of 33 months related to the performance-based vesting grants and used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Market price</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Contractual terms (in years)</w:t>
            </w:r>
          </w:p>
        </w:tc>
        <w:tc>
          <w:tcPr>
            <w:tcW w:w="4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2016, the Company granted an aggregate of 63,450 RSUs to its non-employee directors valued at $250. These RSUs vest in equal quarterly installments over a one year period subject to the director’s continued service at the vesting date, but the issuance and delivery of these shares are deferred until the director resigns.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year ended December 31, 2016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 Average</w:t>
            </w:r>
          </w:p>
        </w:tc>
        <w:tc>
          <w:tcPr>
            <w:tcW w:w="172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Grant Date Fair</w:t>
            </w:r>
          </w:p>
        </w:tc>
        <w:tc>
          <w:tcPr>
            <w:tcW w:w="1720" w:type="dxa"/>
            <w:vAlign w:val="bottom"/>
          </w:tcPr>
          <w:p>
            <w:pPr>
              <w:spacing w:after="0"/>
              <w:rPr>
                <w:sz w:val="18"/>
                <w:szCs w:val="18"/>
                <w:color w:val="auto"/>
              </w:rPr>
            </w:pPr>
          </w:p>
        </w:tc>
      </w:tr>
      <w:tr>
        <w:trPr>
          <w:trHeight w:val="237"/>
        </w:trPr>
        <w:tc>
          <w:tcPr>
            <w:tcW w:w="4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rPr>
              <w:t>Number of RSUs</w:t>
            </w:r>
          </w:p>
        </w:tc>
        <w:tc>
          <w:tcPr>
            <w:tcW w:w="12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Value</w:t>
            </w:r>
          </w:p>
        </w:tc>
        <w:tc>
          <w:tcPr>
            <w:tcW w:w="1720" w:type="dxa"/>
            <w:vAlign w:val="bottom"/>
          </w:tcPr>
          <w:p>
            <w:pPr>
              <w:spacing w:after="0"/>
              <w:rPr>
                <w:sz w:val="20"/>
                <w:szCs w:val="20"/>
                <w:color w:val="auto"/>
              </w:rPr>
            </w:pPr>
          </w:p>
        </w:tc>
      </w:tr>
      <w:tr>
        <w:trPr>
          <w:trHeight w:val="216"/>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2016</w:t>
            </w:r>
          </w:p>
        </w:tc>
        <w:tc>
          <w:tcPr>
            <w:tcW w:w="19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1,487,961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top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RSUs granted</w:t>
            </w:r>
          </w:p>
        </w:tc>
        <w:tc>
          <w:tcPr>
            <w:tcW w:w="3840" w:type="dxa"/>
            <w:vAlign w:val="bottom"/>
            <w:gridSpan w:val="3"/>
          </w:tcPr>
          <w:p>
            <w:pPr>
              <w:jc w:val="right"/>
              <w:ind w:right="280"/>
              <w:spacing w:after="0"/>
              <w:rPr>
                <w:sz w:val="20"/>
                <w:szCs w:val="20"/>
                <w:color w:val="auto"/>
              </w:rPr>
            </w:pPr>
            <w:r>
              <w:rPr>
                <w:rFonts w:ascii="Arial" w:cs="Arial" w:eastAsia="Arial" w:hAnsi="Arial"/>
                <w:sz w:val="18"/>
                <w:szCs w:val="18"/>
                <w:color w:val="auto"/>
              </w:rPr>
              <w:t>1,270,950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17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3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(249,018)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c>
          <w:tcPr>
            <w:tcW w:w="1720" w:type="dxa"/>
            <w:vAlign w:val="bottom"/>
          </w:tcPr>
          <w:p>
            <w:pPr>
              <w:spacing w:after="0"/>
              <w:rPr>
                <w:sz w:val="18"/>
                <w:szCs w:val="18"/>
                <w:color w:val="auto"/>
              </w:rPr>
            </w:pP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RSUs cancelled/forfeit</w:t>
            </w:r>
          </w:p>
        </w:tc>
        <w:tc>
          <w:tcPr>
            <w:tcW w:w="3840" w:type="dxa"/>
            <w:vAlign w:val="bottom"/>
            <w:gridSpan w:val="3"/>
          </w:tcPr>
          <w:p>
            <w:pPr>
              <w:jc w:val="right"/>
              <w:ind w:right="220"/>
              <w:spacing w:after="0"/>
              <w:rPr>
                <w:sz w:val="20"/>
                <w:szCs w:val="20"/>
                <w:color w:val="auto"/>
              </w:rPr>
            </w:pPr>
            <w:r>
              <w:rPr>
                <w:rFonts w:ascii="Arial" w:cs="Arial" w:eastAsia="Arial" w:hAnsi="Arial"/>
                <w:sz w:val="18"/>
                <w:szCs w:val="18"/>
                <w:color w:val="auto"/>
              </w:rPr>
              <w:t>(1,217,017)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1720" w:type="dxa"/>
            <w:vAlign w:val="bottom"/>
          </w:tcPr>
          <w:p>
            <w:pPr>
              <w:spacing w:after="0"/>
              <w:rPr>
                <w:sz w:val="20"/>
                <w:szCs w:val="20"/>
                <w:color w:val="auto"/>
              </w:rPr>
            </w:pPr>
          </w:p>
        </w:tc>
      </w:tr>
      <w:tr>
        <w:trPr>
          <w:trHeight w:val="230"/>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December 31, 2016</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1,292,876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w:t>
            </w:r>
          </w:p>
        </w:tc>
        <w:tc>
          <w:tcPr>
            <w:tcW w:w="17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0"/>
        </w:trPr>
        <w:tc>
          <w:tcPr>
            <w:tcW w:w="4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3"/>
          </w:tcPr>
          <w:p>
            <w:pPr>
              <w:jc w:val="right"/>
              <w:ind w:right="2100"/>
              <w:spacing w:after="0"/>
              <w:rPr>
                <w:sz w:val="20"/>
                <w:szCs w:val="20"/>
                <w:color w:val="auto"/>
              </w:rPr>
            </w:pPr>
            <w:r>
              <w:rPr>
                <w:rFonts w:ascii="Arial" w:cs="Arial" w:eastAsia="Arial" w:hAnsi="Arial"/>
                <w:sz w:val="18"/>
                <w:szCs w:val="18"/>
                <w:color w:val="auto"/>
              </w:rPr>
              <w:t>F-25</w:t>
            </w: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9" w:name="page70"/>
    <w:bookmarkEnd w:id="69"/>
    <w:p>
      <w:pPr>
        <w:jc w:val="both"/>
        <w:ind w:right="20"/>
        <w:spacing w:after="0" w:line="264" w:lineRule="auto"/>
        <w:rPr>
          <w:sz w:val="20"/>
          <w:szCs w:val="20"/>
          <w:color w:val="auto"/>
        </w:rPr>
      </w:pPr>
      <w:r>
        <w:rPr>
          <w:rFonts w:ascii="Arial" w:cs="Arial" w:eastAsia="Arial" w:hAnsi="Arial"/>
          <w:sz w:val="18"/>
          <w:szCs w:val="18"/>
          <w:color w:val="auto"/>
        </w:rPr>
        <w:t>As of December 31, 2016, the total unrecognized compensation expense related to unvested RSUs was approximately $3,873 which is expected to be recognized over a weighted-average period of 1.8 years, based on estimated vesting schedules. The stock-based compensation for RSUs was $1,539 and $1,671 during the years ended December 31, 2016 and 2015,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issuance of common stock for services and accrual for stock-based compensation) related to equity instruments granted to employees, directors and consultants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100" w:type="dxa"/>
            <w:vAlign w:val="bottom"/>
          </w:tcPr>
          <w:p>
            <w:pPr>
              <w:spacing w:after="0"/>
              <w:rPr>
                <w:sz w:val="18"/>
                <w:szCs w:val="18"/>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For the</w:t>
            </w:r>
          </w:p>
        </w:tc>
      </w:tr>
      <w:tr>
        <w:trPr>
          <w:trHeight w:val="230"/>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Year Ended</w:t>
            </w:r>
          </w:p>
        </w:tc>
        <w:tc>
          <w:tcPr>
            <w:tcW w:w="100" w:type="dxa"/>
            <w:vAlign w:val="bottom"/>
          </w:tcPr>
          <w:p>
            <w:pPr>
              <w:spacing w:after="0"/>
              <w:rPr>
                <w:sz w:val="19"/>
                <w:szCs w:val="19"/>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Year Ended</w:t>
            </w:r>
          </w:p>
        </w:tc>
      </w:tr>
      <w:tr>
        <w:trPr>
          <w:trHeight w:val="237"/>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31, 2016</w:t>
            </w:r>
          </w:p>
        </w:tc>
        <w:tc>
          <w:tcPr>
            <w:tcW w:w="100" w:type="dxa"/>
            <w:vAlign w:val="bottom"/>
          </w:tcPr>
          <w:p>
            <w:pPr>
              <w:spacing w:after="0"/>
              <w:rPr>
                <w:sz w:val="20"/>
                <w:szCs w:val="20"/>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December 30, 2015</w:t>
            </w: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Employees - general and administrative</w:t>
            </w:r>
          </w:p>
        </w:tc>
        <w:tc>
          <w:tcPr>
            <w:tcW w:w="12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2,720</w:t>
            </w:r>
          </w:p>
        </w:tc>
        <w:tc>
          <w:tcPr>
            <w:tcW w:w="4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Directors - general and administrative</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Consultants - selling and marketing</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8"/>
                <w:szCs w:val="18"/>
                <w:color w:val="auto"/>
              </w:rPr>
            </w:pPr>
          </w:p>
        </w:tc>
      </w:tr>
      <w:tr>
        <w:trPr>
          <w:trHeight w:val="25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 general and administrative</w:t>
            </w:r>
          </w:p>
        </w:tc>
        <w:tc>
          <w:tcPr>
            <w:tcW w:w="1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r>
      <w:tr>
        <w:trPr>
          <w:trHeight w:val="217"/>
        </w:trPr>
        <w:tc>
          <w:tcPr>
            <w:tcW w:w="4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3,788</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(see Note 10), underwriters and other non-employees for services rendered or to be rendered in the future.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A summary of warrant activity during the year ended December 31, 2016 is as follows:</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88"/>
              </w:rPr>
              <w:t>Number of Shares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89"/>
              </w:rPr>
              <w:t>Subject to Warrants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Weighted Avg.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9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2016</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240,688</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Granted</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5,508,141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Expired</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December 31, 2016</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5,748,829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spacing w:after="0" w:line="195" w:lineRule="exact"/>
              <w:rPr>
                <w:sz w:val="20"/>
                <w:szCs w:val="20"/>
                <w:color w:val="auto"/>
              </w:rPr>
            </w:pPr>
            <w:r>
              <w:rPr>
                <w:rFonts w:ascii="Arial" w:cs="Arial" w:eastAsia="Arial" w:hAnsi="Arial"/>
                <w:sz w:val="18"/>
                <w:szCs w:val="18"/>
                <w:color w:val="auto"/>
                <w:w w:val="92"/>
              </w:rPr>
              <w:t>Weighted average remaining contractual life of the outstanding warrants in years - December 31,</w:t>
            </w: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718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7200" w:type="dxa"/>
            <w:vAlign w:val="bottom"/>
            <w:gridSpan w:val="2"/>
          </w:tcPr>
          <w:p>
            <w:pPr>
              <w:spacing w:after="0"/>
              <w:rPr>
                <w:sz w:val="20"/>
                <w:szCs w:val="20"/>
                <w:color w:val="auto"/>
              </w:rPr>
            </w:pPr>
            <w:r>
              <w:rPr>
                <w:rFonts w:ascii="Arial" w:cs="Arial" w:eastAsia="Arial" w:hAnsi="Arial"/>
                <w:sz w:val="18"/>
                <w:szCs w:val="18"/>
                <w:color w:val="auto"/>
              </w:rPr>
              <w:t>2016</w:t>
            </w:r>
          </w:p>
        </w:tc>
        <w:tc>
          <w:tcPr>
            <w:tcW w:w="1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warrants granted related to settlement agreements: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warrants granted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0.79%</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warrants outstanding as of December 31, 2016 are included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Warrants Outstanding</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4"/>
          </w:tcPr>
          <w:p>
            <w:pPr>
              <w:ind w:left="580"/>
              <w:spacing w:after="0"/>
              <w:rPr>
                <w:sz w:val="20"/>
                <w:szCs w:val="20"/>
                <w:color w:val="auto"/>
              </w:rPr>
            </w:pPr>
            <w:r>
              <w:rPr>
                <w:rFonts w:ascii="Arial" w:cs="Arial" w:eastAsia="Arial" w:hAnsi="Arial"/>
                <w:sz w:val="18"/>
                <w:szCs w:val="18"/>
                <w:color w:val="auto"/>
              </w:rPr>
              <w:t>Warrants Exercisable</w:t>
            </w:r>
          </w:p>
        </w:tc>
      </w:tr>
      <w:tr>
        <w:trPr>
          <w:trHeight w:val="215"/>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Warrants</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89"/>
              </w:rPr>
              <w:t>Exercise</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Warrants</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r>
      <w:tr>
        <w:trPr>
          <w:trHeight w:val="237"/>
        </w:trPr>
        <w:tc>
          <w:tcPr>
            <w:tcW w:w="412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Issue Date</w:t>
            </w:r>
          </w:p>
        </w:tc>
        <w:tc>
          <w:tcPr>
            <w:tcW w:w="20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Price</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Exercisable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 (see Note 10)</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5/11/2015</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Underwriter warrants</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2/7/2013</w:t>
            </w: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55,688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55,688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2/7/2018</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warrants</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8/16/2016</w:t>
            </w: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8/16/2021</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Warrants issued to investor relations consultant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7/19/2013</w:t>
            </w: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60,000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60,000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7/19/2018</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Placement Agent Warrants</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12/27/2016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210,313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12/27/2019</w:t>
            </w:r>
          </w:p>
        </w:tc>
      </w:tr>
      <w:tr>
        <w:trPr>
          <w:trHeight w:val="237"/>
        </w:trPr>
        <w:tc>
          <w:tcPr>
            <w:tcW w:w="4120" w:type="dxa"/>
            <w:vAlign w:val="bottom"/>
            <w:gridSpan w:val="2"/>
          </w:tcPr>
          <w:p>
            <w:pPr>
              <w:spacing w:after="0"/>
              <w:rPr>
                <w:sz w:val="20"/>
                <w:szCs w:val="20"/>
                <w:color w:val="auto"/>
              </w:rPr>
            </w:pPr>
            <w:r>
              <w:rPr>
                <w:rFonts w:ascii="Arial" w:cs="Arial" w:eastAsia="Arial" w:hAnsi="Arial"/>
                <w:sz w:val="18"/>
                <w:szCs w:val="18"/>
                <w:color w:val="auto"/>
              </w:rPr>
              <w:t>PIPE Investor Warrants</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12/27/2016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5,257,828</w:t>
            </w:r>
          </w:p>
        </w:tc>
        <w:tc>
          <w:tcPr>
            <w:tcW w:w="26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12/27/2019</w:t>
            </w:r>
          </w:p>
        </w:tc>
      </w:tr>
      <w:tr>
        <w:trPr>
          <w:trHeight w:val="230"/>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5,748,829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280,688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8"/>
                <w:szCs w:val="18"/>
                <w:color w:val="auto"/>
              </w:rPr>
              <w:t>F-26</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13. DERIVATIVE INSTRUMENTS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2016, the Company modified certain common stock purchase warrants issued in conjunction with debt which are detachable, or free standing, instruments. The warrants were considered a derivative liability upon modification and the estimated fair value of the warrants was reclassified from equity to liabilities. In addition, the Company recorded a derivative liability and debt discount associated with the estimated fair value of the embedded conversion feature in the Convertible Note (see Note 10). Both instruments contained a provision which allowed for one-time adjustments to their exercise or conversion prices. The one-time adjustment occurred upon the closing of the Company’s underwritten public offering of its common stock (see Note 12), on March 16, 2016, whereby the conversion and exercise prices were adjusted from $5.90 to $3.60 per share. At the time of the one-time adjustment, the Company reclassified the derivative liabilities to equity based on their then estimated fair value at that time. The Company estimated the fair value of the derivative liabilities utilizing Level 3 inputs. The Company used the Black-Scholes-Merton option pricing model as it embodies all of the requisite assumptions (including trading volatility, remaining term to maturity, market price, strike price, and risk-free rates) necessary to value these instruments.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derivative liabilities: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103 - 111%</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1.22 - 1.70%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estimated the expected terms based on the remaining contractual life of the instruments on the date of the fair value measurement. The warrant expires on May 11, 2025 and the convertible note had an original maturity date of May 11,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all liabilities measured at fair value using Level 3 significant unobservable inputs:</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Warrant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79755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2016</w:t>
      </w:r>
    </w:p>
    <w:p>
      <w:pPr>
        <w:spacing w:after="0" w:line="9" w:lineRule="exact"/>
        <w:rPr>
          <w:sz w:val="20"/>
          <w:szCs w:val="20"/>
          <w:color w:val="auto"/>
        </w:rPr>
      </w:pPr>
    </w:p>
    <w:p>
      <w:pPr>
        <w:ind w:right="1460"/>
        <w:spacing w:after="0" w:line="250" w:lineRule="auto"/>
        <w:rPr>
          <w:sz w:val="20"/>
          <w:szCs w:val="20"/>
          <w:color w:val="auto"/>
        </w:rPr>
      </w:pPr>
      <w:r>
        <w:rPr>
          <w:rFonts w:ascii="Arial" w:cs="Arial" w:eastAsia="Arial" w:hAnsi="Arial"/>
          <w:sz w:val="18"/>
          <w:szCs w:val="18"/>
          <w:color w:val="auto"/>
        </w:rPr>
        <w:t>Modification of warrant and reclassification from equity to liabilities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579755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right="700"/>
        <w:spacing w:after="0" w:line="292" w:lineRule="auto"/>
        <w:rPr>
          <w:sz w:val="20"/>
          <w:szCs w:val="20"/>
          <w:color w:val="auto"/>
        </w:rPr>
      </w:pPr>
      <w:r>
        <w:rPr>
          <w:rFonts w:ascii="Arial" w:cs="Arial" w:eastAsia="Arial" w:hAnsi="Arial"/>
          <w:sz w:val="18"/>
          <w:szCs w:val="18"/>
          <w:color w:val="auto"/>
        </w:rPr>
        <w:t>Reclassification from liabilities to equity upon closing of public equity offering Balance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579755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579755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Embedded conversion feature derivative liability: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right="2300"/>
        <w:spacing w:after="0" w:line="250" w:lineRule="auto"/>
        <w:rPr>
          <w:sz w:val="20"/>
          <w:szCs w:val="20"/>
          <w:color w:val="auto"/>
        </w:rPr>
      </w:pPr>
      <w:r>
        <w:rPr>
          <w:rFonts w:ascii="Arial" w:cs="Arial" w:eastAsia="Arial" w:hAnsi="Arial"/>
          <w:sz w:val="18"/>
          <w:szCs w:val="18"/>
          <w:color w:val="auto"/>
        </w:rPr>
        <w:t>Embedded conversion feature in Convertible Note issued 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79755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right="700"/>
        <w:spacing w:after="0" w:line="292" w:lineRule="auto"/>
        <w:rPr>
          <w:sz w:val="20"/>
          <w:szCs w:val="20"/>
          <w:color w:val="auto"/>
        </w:rPr>
      </w:pPr>
      <w:r>
        <w:rPr>
          <w:rFonts w:ascii="Arial" w:cs="Arial" w:eastAsia="Arial" w:hAnsi="Arial"/>
          <w:sz w:val="18"/>
          <w:szCs w:val="18"/>
          <w:color w:val="auto"/>
        </w:rPr>
        <w:t>Reclassification from liabilities to equity upon closing of public equity offering Balance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579755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September 30, 2016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gridSpan w:val="2"/>
          </w:tcPr>
          <w:p>
            <w:pPr>
              <w:jc w:val="right"/>
              <w:ind w:right="65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51"/>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4"/>
        </w:trPr>
        <w:tc>
          <w:tcPr>
            <w:tcW w:w="780" w:type="dxa"/>
            <w:vAlign w:val="bottom"/>
            <w:gridSpan w:val="2"/>
          </w:tcPr>
          <w:p>
            <w:pPr>
              <w:jc w:val="right"/>
              <w:ind w:right="65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(2,646)</w:t>
            </w:r>
          </w:p>
        </w:tc>
      </w:tr>
      <w:tr>
        <w:trPr>
          <w:trHeight w:val="230"/>
        </w:trPr>
        <w:tc>
          <w:tcPr>
            <w:tcW w:w="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420" w:space="720"/>
            <w:col w:w="4280"/>
          </w:cols>
          <w:pgMar w:left="240" w:top="661"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taxation in the United States, California, New Jersey, Texas and Pennsylvania. The provision for income taxes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 are summarized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December 31, 2016</w:t>
            </w:r>
          </w:p>
        </w:tc>
        <w:tc>
          <w:tcPr>
            <w:tcW w:w="100" w:type="dxa"/>
            <w:vAlign w:val="bottom"/>
          </w:tcPr>
          <w:p>
            <w:pPr>
              <w:spacing w:after="0"/>
              <w:rPr>
                <w:sz w:val="20"/>
                <w:szCs w:val="20"/>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w w:val="89"/>
              </w:rPr>
              <w:t>December 31, 2015</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right w:val="single" w:sz="8" w:color="CCEEFF"/>
            </w:tcBorders>
            <w:shd w:val="clear" w:color="auto" w:fill="CCEEFF"/>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right w:val="single" w:sz="8" w:color="CCEEFF"/>
            </w:tcBorders>
            <w:shd w:val="clear" w:color="auto" w:fill="CCEEFF"/>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5,802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4,036</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(25,760)</w:t>
            </w:r>
          </w:p>
        </w:tc>
        <w:tc>
          <w:tcPr>
            <w:tcW w:w="100" w:type="dxa"/>
            <w:vAlign w:val="bottom"/>
            <w:shd w:val="clear" w:color="auto" w:fill="CCEEFF"/>
          </w:tcPr>
          <w:p>
            <w:pPr>
              <w:spacing w:after="0"/>
              <w:rPr>
                <w:sz w:val="21"/>
                <w:szCs w:val="21"/>
                <w:color w:val="auto"/>
              </w:rPr>
            </w:pP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(18,072)</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w:t>
            </w: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w:t>
            </w:r>
          </w:p>
        </w:tc>
        <w:tc>
          <w:tcPr>
            <w:tcW w:w="260" w:type="dxa"/>
            <w:vAlign w:val="bottom"/>
            <w:tcBorders>
              <w:top w:val="single" w:sz="8" w:color="CCEEFF"/>
              <w:bottom w:val="single" w:sz="8" w:color="CCEEFF"/>
            </w:tcBorders>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F-27</w:t>
            </w: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type w:val="continuous"/>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Income taxes for the years ended December 31, 2016 and 2015, are recorded in the general and administrative expenses line item in the accompanying consolidated statements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income taxes computed by applying the statutory U.S. income tax rate to the Company’s loss before income taxes to the income tax provision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December 31, 2016</w:t>
            </w:r>
          </w:p>
        </w:tc>
        <w:tc>
          <w:tcPr>
            <w:tcW w:w="38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December 31, 2015</w:t>
            </w:r>
          </w:p>
        </w:tc>
        <w:tc>
          <w:tcPr>
            <w:tcW w:w="220" w:type="dxa"/>
            <w:vAlign w:val="bottom"/>
            <w:tcBorders>
              <w:bottom w:val="single" w:sz="8" w:color="CCEEFF"/>
            </w:tcBorders>
          </w:tcPr>
          <w:p>
            <w:pPr>
              <w:spacing w:after="0"/>
              <w:rPr>
                <w:sz w:val="20"/>
                <w:szCs w:val="20"/>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2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35.00%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Benefit of lower tax brackets</w:t>
            </w:r>
          </w:p>
        </w:tc>
        <w:tc>
          <w:tcPr>
            <w:tcW w:w="212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State tax benefit, net</w:t>
            </w:r>
          </w:p>
        </w:tc>
        <w:tc>
          <w:tcPr>
            <w:tcW w:w="2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0.08%</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120" w:type="dxa"/>
            <w:vAlign w:val="bottom"/>
            <w:gridSpan w:val="2"/>
          </w:tcPr>
          <w:p>
            <w:pPr>
              <w:jc w:val="right"/>
              <w:ind w:right="130"/>
              <w:spacing w:after="0"/>
              <w:rPr>
                <w:sz w:val="20"/>
                <w:szCs w:val="20"/>
                <w:color w:val="auto"/>
              </w:rPr>
            </w:pPr>
            <w:r>
              <w:rPr>
                <w:rFonts w:ascii="Arial" w:cs="Arial" w:eastAsia="Arial" w:hAnsi="Arial"/>
                <w:sz w:val="18"/>
                <w:szCs w:val="18"/>
                <w:color w:val="auto"/>
              </w:rPr>
              <w:t>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based compensation</w:t>
            </w:r>
          </w:p>
        </w:tc>
        <w:tc>
          <w:tcPr>
            <w:tcW w:w="2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(1.47)%</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Loss on debt conversion</w:t>
            </w:r>
          </w:p>
        </w:tc>
        <w:tc>
          <w:tcPr>
            <w:tcW w:w="2120" w:type="dxa"/>
            <w:vAlign w:val="bottom"/>
            <w:gridSpan w:val="2"/>
          </w:tcPr>
          <w:p>
            <w:pPr>
              <w:jc w:val="right"/>
              <w:ind w:right="130"/>
              <w:spacing w:after="0"/>
              <w:rPr>
                <w:sz w:val="20"/>
                <w:szCs w:val="20"/>
                <w:color w:val="auto"/>
              </w:rPr>
            </w:pPr>
            <w:r>
              <w:rPr>
                <w:rFonts w:ascii="Arial" w:cs="Arial" w:eastAsia="Arial" w:hAnsi="Arial"/>
                <w:sz w:val="18"/>
                <w:szCs w:val="18"/>
                <w:color w:val="auto"/>
              </w:rPr>
              <w:t>0.00%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(0.18)%</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Valuation allowance</w:t>
            </w:r>
          </w:p>
        </w:tc>
        <w:tc>
          <w:tcPr>
            <w:tcW w:w="2120" w:type="dxa"/>
            <w:vAlign w:val="bottom"/>
            <w:gridSpan w:val="2"/>
          </w:tcPr>
          <w:p>
            <w:pPr>
              <w:jc w:val="right"/>
              <w:ind w:right="70"/>
              <w:spacing w:after="0"/>
              <w:rPr>
                <w:sz w:val="20"/>
                <w:szCs w:val="20"/>
                <w:color w:val="auto"/>
              </w:rPr>
            </w:pPr>
            <w:r>
              <w:rPr>
                <w:rFonts w:ascii="Arial" w:cs="Arial" w:eastAsia="Arial" w:hAnsi="Arial"/>
                <w:sz w:val="18"/>
                <w:szCs w:val="18"/>
                <w:color w:val="auto"/>
              </w:rPr>
              <w:t>(31.89)%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(32.62)%</w:t>
            </w:r>
          </w:p>
        </w:tc>
      </w:tr>
      <w:tr>
        <w:trPr>
          <w:trHeight w:val="230"/>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44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31, 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December 31, 2015</w:t>
            </w: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NOL’s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21,555</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15,099</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346</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&amp; development credits</w:t>
            </w: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Deferred stock compensation</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2,997</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Park stock purchase identifiable intangibles</w:t>
            </w: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37"/>
        </w:trPr>
        <w:tc>
          <w:tcPr>
            <w:tcW w:w="4960" w:type="dxa"/>
            <w:vAlign w:val="bottom"/>
          </w:tcPr>
          <w:p>
            <w:pPr>
              <w:ind w:left="180"/>
              <w:spacing w:after="0"/>
              <w:rPr>
                <w:sz w:val="20"/>
                <w:szCs w:val="20"/>
                <w:color w:val="auto"/>
              </w:rPr>
            </w:pPr>
            <w:r>
              <w:rPr>
                <w:rFonts w:ascii="Arial" w:cs="Arial" w:eastAsia="Arial" w:hAnsi="Arial"/>
                <w:sz w:val="18"/>
                <w:szCs w:val="18"/>
                <w:color w:val="auto"/>
              </w:rPr>
              <w:t>Unrealized gain or loss on investments</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assets, net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9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(26,583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(19,119</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$7.4 and $5.2 in 2016 and 2015, respectively.</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2016, the Company had net operating loss carryforwards for federal income tax purposes of approximately $54,275 which expire beginning in the year 2027 and federal research and development tax credits of approximately $354 which expire beginning in the year 2026. As of December 31, 2015, the Company had net operating loss carryforwards for state income tax purposes of approximately $52,334 which expire beginning in the year 2017 and state research and development tax credits of approximately $305 which do not expire.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jc w:val="both"/>
        <w:ind w:right="20"/>
        <w:spacing w:after="0" w:line="264" w:lineRule="auto"/>
        <w:rPr>
          <w:sz w:val="20"/>
          <w:szCs w:val="20"/>
          <w:color w:val="auto"/>
        </w:rPr>
      </w:pPr>
      <w:r>
        <w:rPr>
          <w:rFonts w:ascii="Arial" w:cs="Arial" w:eastAsia="Arial" w:hAnsi="Arial"/>
          <w:sz w:val="18"/>
          <w:szCs w:val="18"/>
          <w:color w:val="auto"/>
        </w:rPr>
        <w:t>The deferred tax asset at December 31, 2015 does not include any excess tax benefits from employee stock option exercises and RSU vests that are a component of the federal and California net operating loss carryover, respectively. The Company’s stockholders’ equity balance will be increased if and when such excess tax benefits are ultimately realized.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Utilization of the net operating losses may be subject to substantial annual limitation due to federal and state ownership change limitations provided by the Internal Revenue Code and similar state provisions. Such annual limitations could result in the expiration of the net operating losses ad credits before their utilization.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have any unrecognized tax benefits as of December 31, 2016 and 2015, all of which is offset by a full valuation allowance. These unrecognized tax benefits, if recognized, would not affect the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SAVINGS PLAN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certain matching contributions to the plan in amounts up to 4% of the participants’ annual cash compensation, subject to annual limits. The Company contributed approximately $248 and $146 to the plan during the years ended December 31, 2016 and 2015,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Acquisition Obligation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1, 2014, the Company acquired all of the outstanding membership interests of Pharmacy Creations, LLC (“PC”). The sellers of PC, are entitled to receive certain payments, including contingent consideration upon certain conditions, if PC earns revenue of between $3,500 and $7,500 during the 12 month period ending March 31, 2016, an aggregate of that number of shares of Imprimis common stock equal to the amount that such revenue exceeds $3,500 divided by 18.5882, rounded down to the lower whole number (not to exceed 215,190 shares). The estimated fair value of the contingent acquisition obligation was $483 and included in the contingent acquisition obligation in the accompanying balance sheet at December 31, 2015. During May 2016, the Company paid the sellers of PC $100 in cash and 75,000 shares of its common stock with a fair value of $302, as payment in full related to the contingent acquisition obligation. Related to the payment of the contingent acquisition obligation the Company recorded a gain of $81 during the year ended December 31, 2016, which is included in other income, net in the accompanying consolidated statement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2014, the Company entered into a lease agreement for 7,565 square feet of office space that commenced on September 1, 2014 and continues until October 31, 2018. Monthly rent began on September 1, 2014 in the amount of $20,426, with a 3% increase in the base rent amount on an annual basis. The lease agreement allows for the monthly rent amount to be abated for two months at various times during the lease agreement.</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January 2015, the Company entered into a commercial lease agreement, for the lease to Park of approximately 4,500 square feet of laboratory and office space. The monthly rent amount is $10 and includes annual increases of approximately 3%. The current lease term expires on December 31, 2020.</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2015, the Company entered into a lease agreement for approximately 8,602 square feet of laboratory, warehouse and office space in Roxbury, New Jersey. The current lease term expires on July 31, 2022. The monthly rent amount is $10 and includes annual increases of approximately 3.75%, and the lease allows for the first five months of rent amounts to be abated.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August 2015, the Company entered into a lease agreement for approximately 1,100 square feet of laboratory, warehouse and office space in Allen, Texas. The lease term expires on October 31, 2019. The monthly rent amount is $3 and includes annual increases of approximately 2%. Subsequent to December 31, 2016, the Company transferred its obligations under the Allen, Texas lease as a part of the Company’s sale of ImprimisRx TX, Inc. (See also Note 18).</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Rent expense for the years ended December 31, 2016 and 2015 was $668 and $641, respectively. The following represents future annual minimum lease payments, net of expected sublease income, as of December 31,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2018</w:t>
            </w: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496</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2020</w:t>
            </w: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r>
      <w:tr>
        <w:trPr>
          <w:trHeight w:val="237"/>
        </w:trPr>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7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bottom w:val="single" w:sz="8" w:color="CCEEFF"/>
            </w:tcBorders>
          </w:tcPr>
          <w:p>
            <w:pPr>
              <w:spacing w:after="0"/>
              <w:rPr>
                <w:sz w:val="20"/>
                <w:szCs w:val="20"/>
                <w:color w:val="auto"/>
              </w:rPr>
            </w:pPr>
          </w:p>
        </w:tc>
      </w:tr>
      <w:tr>
        <w:trPr>
          <w:trHeight w:val="230"/>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1,727</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2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Urigen, et. al, Litigation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2014, the Company entered into a license agreement (the “Urigen License”) with Urigen Pharmaceuticals, Inc. (“Urigen”) for a license of certain U.S. patents and patent applications to develop and sell in the U.S. Urigen’s URG101 product, a heparin and alkalinized lidocaine compounded formulation for the prevention or treatment of disorders of the lower urinary tract. The Company, as the plaintiff, filed a civil action in the San Diego Superior Court against Urigen in December 2015, wherein the Company outlined serious concerns regarding material failures and inaccuracies of the representation and warranties provided by Urigen in the Urigen License, which have affected the Company’s ability to realize the expected benefit of the Urigen License. Urigen filed a cross-complaint in April 2016 for breach of contract asserting unpaid royalties totaling $698 and requesting a decree to cancel the Urigen Agreement. The Company filed another complaint in May 2016 with the U.S. District Court for the Southern District of California for declaratory judgment of the invalidity of the core patent filing related to Urigen’s URG 101. In June 2016, the Company received notice from Urigen of their election to terminate the Urigen License. In November 2016, the Company and Urigen entered into a settlement and mutual release agreement whereby all parties agreed to settle all disputes related to the Urigen License and associated litigation matters, the Company agreed to make a one-time payment to Urigen related to past sales of Urigen’s URG101 product and to cease selling the URG101 product over a certain period of time. The Company recorded a gain related to the settlement with Urigen totaling $551 which is included in other income, net in the accompanying consolidated statement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Corwin, Kammer, et. al. Litigation</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February 2014, Robert Kammer (“Kammer”), the Company’s Chairman of the Board, filed a lawsuit in the San Diego Superior Court against Merlyn Corwin (“Corwin”) to enforce his contract rights related to a settlement agreement the parties had previously entered into involving shares of the Company’s common stock. Corwin filed an answer to the complaint in March 2014 and in June 2014 filed the first amended cross complaint adding the Company as a cross-defendant. In August 2014, Corwin filed a seconded amended cross complaint (the “SACC”) which added Mark Baum (“Baum”), the Company’s Chief Executive Officer, and an individual who previously provided consulting services to the Company as additional cross-defendants. The SACC alleged numerous causes of action including securities fraud, concealment, misrepresentations, inducement of misrepresentations, rescission – undue influence, intentional infliction of emotional distress and declaratory relief of invalidity of the settlement agreement. In September 2014, the Company and Baum filed an anti-strategic lawsuit against public participation motion (“Anti-SLAPP”), arguing all allegations in the SACC were based on protected activity under the litigation privilege. Kammer also filed an Anti-SLAPP motion in October 2014. In November 2014, the Company, Baum and Kammer were granted both Anti-SLAPP motions, with the ruling judge deciding that the parties successfully demonstrated that the allegations arose from activity protected by the litigation privilege. The judge further found that the evidence Corwin relied upon in her arguments failed to demonstrate a probability that she could prevail on any of the claims. The court then ordered Corwin to pay the Company’s and Baum’s attorney fees and the case was dismissed. In May 2015, Corwin filed an appeal and in November 2015, the appellate court reversed the Anti-SLAPP decision of the trial court. In April 2016, the Company and Baum filed a demurrer to the SACC. The court ordered a ruling on the demurrer in June 2016, dismissing most of the causes of action against Baum and the Company, but leaving the claim for fraud by concealment and intentional infliction of emotional distress. In August 2016, all parties related to this litigation entered into a settlement and mutual release agreement, whereby all parties agreed to settle all disputes and release one another of any legal claims. The Company issued 40,000 at-the-money warrants (see Note 12) as part of the settlement consideration. The estimated fair value of the warrant (see Note 12) and associated legal expenses were recorded in general and administrative expenses during the year ended December 31, 2016 in the accompanying consolidated statement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consolidated balance sheets.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Insurance Claims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2016, the Company’s Texas based facility was damaged related to a malfunction with the property’s sprinkler system. The Company commenced restoration efforts and filed claims for damages under its insurance policies, including claims related to business interruption. During the year ended December 31, 2016, the Company recorded the insurance claim of $861 in other income, net in the accompanying consolidated statement of operations which reflected amounts paid by its insurance carrier related to the claims filed for property damage and business interruption.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Commission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21, 2015, the Company entered into a Commission Agreement (the “PCCA Commission Agreement) with Professional Compounding Centers of America, Inc. (“PCCA”). The PCCA Commission Agreement replaces a Strategic Alliance Agreement (the “PCCA Strategic Alliance Agreement”) entered into on February 18, 2013 and a License Agreement (the “PCCA License Agreement) entered into on August 30, 2012, in each case between the Company and PCCA. Upon the execution of the PCCA Commission Agreement, the Company and PCCA mutually agreed to terminate the PCCA Strategic Alliance Agreement and PCCA License Agreement. No amounts were due or paid under either the PCCA Strategic Alliance Agreement or PCCA License Agreement.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PCCA has previously introduced to the Company certain PCCA members, which led to the Company’s acquisition of certain intellectual property (the “PCCA Member IP”) from such PCCA members. Under the terms of the PCCA Strategic Alliance Agreement, PCCA had the right to receive certain commissions based on the Company’s net sales, if any, of any products utilizing the PCCA Member IP. The primary purpose of the PCCA Commission Agreement is to specifically identify the PCCA Member IP subject to this arrangement and to revise the terms and the amount of the commission payments. As a result, pursuant to the terms of the PCCA Commission Agreement, PCCA continues to hold its right to receive commissions based on the Company’s net sales, if any, of any products utilizing the PCCA Member IP. No commission amounts were paid or accrued under this agreement for the years ended December 31, 2016 and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acquired intellectual property rights related to certain proprietary innovations from certain inventors (the “Inventors”) through multiple asset purchase agreements. The asset purchase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$3 and $0 were accrued under these agreements for royalty expenses during the years ended December 31, 2016 and 2015,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the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5" w:name="page76"/>
    <w:bookmarkEnd w:id="75"/>
    <w:p>
      <w:pPr>
        <w:jc w:val="both"/>
        <w:spacing w:after="0" w:line="342" w:lineRule="auto"/>
        <w:rPr>
          <w:sz w:val="20"/>
          <w:szCs w:val="20"/>
          <w:color w:val="auto"/>
        </w:rPr>
      </w:pPr>
      <w:r>
        <w:rPr>
          <w:rFonts w:ascii="Arial" w:cs="Arial" w:eastAsia="Arial" w:hAnsi="Arial"/>
          <w:sz w:val="16"/>
          <w:szCs w:val="16"/>
          <w:color w:val="auto"/>
        </w:rPr>
        <w:t>The Company categorizes revenues by geographic area based on selling location. All operations are currently located in the United States; therefore, total revenues for 2016 and 2015 are attributed to the United States. All long-lived assets at December 31, 2016 and 2015 are located in the United States.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No single customer contributed 10% or more of the Company’s total pharmacy sales in the years ended December 31, 2016 and 2015.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receives its active pharmaceutical ingredients from two and three main supplier during the years ended December 31, 2016 and 2015, respectively. These suppliers collectively accounted for 63% and 43% of drug and chemical purchases during the years ended December 31,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December 31, 2016 through the filing date of this Annual Report on Form 10-K (the “Annual Report”). Based on its evaluation, nothing other than the events described below needs to be disclosed.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2017, the Company entered into a Stock Purchase Agreement (the “TX SPA”) with Livernois &amp; London, LLC (“Livernois”). Pursuant to the terms of the TX SPA, the Company sold to Livernois and Livernois purchased from the Company one hundred percent (100%) of the issued and outstanding shares of common stock of the Company’s Texas based subsidiary, ImprimisRx TX, Inc. dba ImprimisRx (“Imprimis TX”). The Company ceased operations of Imprimis TX in 2016 and the Agreement does not transfer to Livernois any Company rights to intellectual property, products, clients, nor any existing Company business operations. As consideration for the purchase of Imprimis TX, Livernois paid the Company $10 and the Company assigned, and Livernois assumed, the remaining lease obligation totaling approximately $113 for its Texas based facility. ImprimisRx TX did not have significant operation and as such, the closure and selling of the subsidiary is not presented as discontinued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6" w:name="page77"/>
    <w:bookmarkEnd w:id="76"/>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Agreement and Plan of Merger, dated as of September 17, 2007, by and among Imprimis Pharmaceuticals, Inc., Transdel Pharmaceuticals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Holdings, Inc. and Trans-Pharma Acquisition Corp. Incorporation (incorporated herein by reference to Exhibit 2.1 to the Current Report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of Imprimis Pharmaceuticals, Inc. filed with the Securities and Exchange Commission on September 21, 2007)</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Membership Interest Purchase Agreement, dated February 10, 2014, among John Scott Karolchyk and Bernard Covalesky and Imprimis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Pharmaceuticals, Inc. (incorporated herein by reference to Exhibit 2.1 to the Current Report on Form 8-K of Imprimis Pharmaceuticals,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 filed with the Securities and Exchange Commission on February 11, 2014)</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Stock Purchase Agreement, dated as of November 26, 2014, by and between Imprimis Pharmaceuticals, Inc., and Dennis Saadeh and Tina</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Sulic-Saadeh (incorporated herein by reference to Exhibit 2.1 to the Current Report on Form 8-K of Imprimis Pharmaceuticals, Inc. filed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with the Securities and Exchange Commission on December 2, 2014)</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Stock Purchase Agreement, effective as of July 10, 2015, by and between Imprimis Pharmaceuticals, Inc. and Jonathan Nguyen and Julie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Trinh, to acquire all of the outstanding capital stock of JT Pharmacy, Inc. D/B/A Central Allen Pharmacy and completed on August 4,</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2015 (incorporated herein by reference to Exhibit 10.4 to the Quarterly Report on Form 10-Q of Imprimis Pharmaceuticals, Inc. filed with</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 Securities and Exchange Commission on August 12, 2015)</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as amended by the Certificate of Amendment to Amended and Restated Certificate of</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Incorporation effective February 28, 2012, as further amended by the Certificate of Amendment to Amended and Restated Certificate of</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Incorporation effective February 7, 2013, and as further amended by the Certificate of Amendment to Amended and Restated Certificate of</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Incorporation effective September 10, 2014</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Amended and Restated Bylaws of Imprimis Pharmaceuticals, Inc. (incorporated herein by reference to Exhibit 3.2 to the Annual Report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of Imprimis Pharmaceuticals, Inc. filed with the Securities and Exchange Commission on March 28, 2014)</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Certificate of Designation of Series A Convertible Preferred Stock of Imprimis Pharmaceuticals, Inc. (incorporated herein by reference to</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Exhibit 3.1 to the Current Report on Form 8-K of Imprimis Pharmaceuticals, Inc. filed with the Securities and Exchange Commission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December 20, 2011)</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Form of Directors and Officers Indemnification Agreement (incorporated herein by reference to Exhibit 10.8 to the Current Report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8-K of Imprimis Pharmaceuticals, Inc. filed with the Securities and Exchange Commission on September 21, 2007)</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Imprimis Pharmaceuticals, Inc. Amended and Restated 2007 Stock Incentive and Awards Plan (incorporated herein by reference to Exhibit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10.3 to the Quarterly Report on Form 10-Q of Imprimis Pharmaceuticals, Inc. filed with the Securities and Exchange Commission on May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8, 2013)</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Amendment No. 1 to Imprimis Pharmaceuticals, Inc. Amended and Restated 2007 Incentive Stock and Awards Plan (incorporated herein</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by reference to Exhibit 10.3 to the Quarterly Report on Form 10-Q of Imprimis Pharmaceuticals, Inc. filed with the Securities and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Exchange Commission on November 6, 2013)</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Form of Incentive Stock Option Agreement (incorporated herein by reference to Exhibit 10.12 to the Current Report on Form 8-K of</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Imprimis Pharmaceuticals, Inc. filed with the Securities and Exchange Commission on September 21, 2007)</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Form of Non-Qualified Stock Option Agreement (incorporated herein by reference to Exhibit 10.13 to the Current Report on Form 8-K of</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Imprimis Pharmaceuticals, Inc. filed with the Securities and Exchange Commission on September 21, 2007)</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Form of Restricted Stock Unit Agreement (incorporated herein by reference to Exhibit 10.4 to the Quarterly Report on Form 10-Q of</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Imprimis Pharmaceuticals, Inc. filed with the Securities and Exchange Commission on May 8, 2013)</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Form of Warrant dated as of April 25, 2012 (incorporated by reference to Exhibit 10.2 to the Company’s Current Report on 8-K filed with</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 Securities and Exchange Commission on April 27, 2012)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Stand-alone Restricted Stock Unit Agreement, dated July 18, 2012, granted by Imprimis Pharmaceuticals, Inc. to Mark L. Baum</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(incorporated herein by reference to Exhibit 10.40 to the Company’s Registration Statement on Form S-1 (File No. 333-182846)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July 25, 2012)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Stand-alone Restricted Stock Unit Agreement, dated July 18, 2012, granted by Imprimis Pharmaceuticals, Inc. to Robert J. Kammer</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(incorporated herein by reference to Exhibit 10.41 to the Company’s Registration Statement on Form S-1 (File No. 333-182846) filed on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July 25, 2012)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License Agreement, dated as of August 30, 2012, by and between Imprimis Pharmaceuticals, Inc. and Professional Compounding Centers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of America, Inc. (incorporated herein by reference to Exhibit 10.1 to the Current Report on Form 8-K of Imprimis Pharmaceuticals, Inc.</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August 31, 2012)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Form of Underwriter’s Warrant (incorporated herein by reference to Exhibit 10.41 to the Company’s Registration Statement on Form S-1</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 No. 333-182846) filed on October 26, 2012)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Strategic Alliance Agreement, dated February 18, 2013, by and between Imprimis Pharmaceuticals, Inc. and Professional Compounding</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Centers of America, Inc. (incorporated herein by reference to Exhibit 10.1 to the Current Report on Form 8-K of Imprimis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Pharmaceuticals, Inc. filed with the Securities and Exchange Commission on February 21, 2013)</w:t>
            </w:r>
          </w:p>
        </w:tc>
      </w:tr>
    </w:tbl>
    <w:p>
      <w:pPr>
        <w:sectPr>
          <w:pgSz w:w="11900" w:h="16911" w:orient="portrait"/>
          <w:cols w:equalWidth="0" w:num="1">
            <w:col w:w="11420"/>
          </w:cols>
          <w:pgMar w:left="240" w:top="661" w:right="23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350"/>
              <w:spacing w:after="0"/>
              <w:rPr>
                <w:sz w:val="20"/>
                <w:szCs w:val="20"/>
                <w:color w:val="auto"/>
              </w:rPr>
            </w:pPr>
            <w:r>
              <w:rPr>
                <w:rFonts w:ascii="Arial" w:cs="Arial" w:eastAsia="Arial" w:hAnsi="Arial"/>
                <w:sz w:val="18"/>
                <w:szCs w:val="18"/>
                <w:color w:val="auto"/>
                <w:w w:val="87"/>
              </w:rPr>
              <w:t>10.13#</w:t>
            </w:r>
          </w:p>
        </w:tc>
        <w:tc>
          <w:tcPr>
            <w:tcW w:w="10480" w:type="dxa"/>
            <w:vAlign w:val="bottom"/>
          </w:tcPr>
          <w:p>
            <w:pPr>
              <w:ind w:left="440"/>
              <w:spacing w:after="0"/>
              <w:rPr>
                <w:sz w:val="20"/>
                <w:szCs w:val="20"/>
                <w:color w:val="auto"/>
              </w:rPr>
            </w:pPr>
            <w:r>
              <w:rPr>
                <w:rFonts w:ascii="Arial" w:cs="Arial" w:eastAsia="Arial" w:hAnsi="Arial"/>
                <w:sz w:val="18"/>
                <w:szCs w:val="18"/>
                <w:color w:val="auto"/>
                <w:w w:val="92"/>
              </w:rPr>
              <w:t>Amended and Restated Employment Agreement, dated May 2, 2013, by and between Imprimis Pharmaceuticals, Inc. and Mark L. Baum</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4"/>
              </w:rPr>
              <w:t>(incorporated herein by reference to Exhibit 10.2 to the Quarterly Report on Form 10-Q of Imprimis Pharmaceuticals, Inc. filed with the</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Securities and Exchange Commission on May 8, 2013)</w:t>
            </w:r>
          </w:p>
        </w:tc>
      </w:tr>
      <w:tr>
        <w:trPr>
          <w:trHeight w:val="439"/>
        </w:trPr>
        <w:tc>
          <w:tcPr>
            <w:tcW w:w="940" w:type="dxa"/>
            <w:vAlign w:val="bottom"/>
            <w:tcBorders>
              <w:bottom w:val="single" w:sz="8" w:color="auto"/>
            </w:tcBorders>
          </w:tcPr>
          <w:p>
            <w:pPr>
              <w:spacing w:after="0"/>
              <w:rPr>
                <w:sz w:val="24"/>
                <w:szCs w:val="24"/>
                <w:color w:val="auto"/>
              </w:rPr>
            </w:pPr>
          </w:p>
        </w:tc>
        <w:tc>
          <w:tcPr>
            <w:tcW w:w="1048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341" w:right="239" w:bottom="1440" w:gutter="0" w:footer="0" w:header="0"/>
        </w:sectPr>
      </w:pPr>
    </w:p>
    <w:bookmarkStart w:id="78" w:name="page79"/>
    <w:bookmarkEnd w:id="78"/>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10.14#</w:t>
            </w:r>
          </w:p>
        </w:tc>
        <w:tc>
          <w:tcPr>
            <w:tcW w:w="10460" w:type="dxa"/>
            <w:vAlign w:val="bottom"/>
          </w:tcPr>
          <w:p>
            <w:pPr>
              <w:ind w:left="420"/>
              <w:spacing w:after="0"/>
              <w:rPr>
                <w:sz w:val="20"/>
                <w:szCs w:val="20"/>
                <w:color w:val="auto"/>
              </w:rPr>
            </w:pPr>
            <w:r>
              <w:rPr>
                <w:rFonts w:ascii="Arial" w:cs="Arial" w:eastAsia="Arial" w:hAnsi="Arial"/>
                <w:sz w:val="18"/>
                <w:szCs w:val="18"/>
                <w:color w:val="auto"/>
              </w:rPr>
              <w:t>Performance Stock Units Agreement, dated May 2, 2013, by and between Imprimis Pharmaceuticals, Inc. and Mark L. Baum</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4"/>
              </w:rPr>
              <w:t>(incorporated herein by reference to Exhibit 10.4 to the Quarterly Report on Form 10-Q of Imprimis Pharmaceuticals, Inc. filed with the</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Securities and Exchange Commission on August 14, 2013)</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10.15+</w:t>
            </w:r>
          </w:p>
        </w:tc>
        <w:tc>
          <w:tcPr>
            <w:tcW w:w="10460" w:type="dxa"/>
            <w:vAlign w:val="bottom"/>
          </w:tcPr>
          <w:p>
            <w:pPr>
              <w:ind w:left="420"/>
              <w:spacing w:after="0"/>
              <w:rPr>
                <w:sz w:val="20"/>
                <w:szCs w:val="20"/>
                <w:color w:val="auto"/>
              </w:rPr>
            </w:pPr>
            <w:r>
              <w:rPr>
                <w:rFonts w:ascii="Arial" w:cs="Arial" w:eastAsia="Arial" w:hAnsi="Arial"/>
                <w:sz w:val="18"/>
                <w:szCs w:val="18"/>
                <w:color w:val="auto"/>
                <w:w w:val="95"/>
              </w:rPr>
              <w:t>Asset Purchase Agreement, dated June 11, 2013, by and between Imprimis Pharmaceuticals, Inc. and Buderer Drug Company, Inc.</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4"/>
              </w:rPr>
              <w:t>(incorporated herein by reference to Exhibit 10.5 to the Quarterly Report on Form 10-Q of Imprimis Pharmaceuticals, Inc. filed with the</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Securities and Exchange Commission on August 14, 2013)</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10.16+</w:t>
            </w:r>
          </w:p>
        </w:tc>
        <w:tc>
          <w:tcPr>
            <w:tcW w:w="10460" w:type="dxa"/>
            <w:vAlign w:val="bottom"/>
          </w:tcPr>
          <w:p>
            <w:pPr>
              <w:ind w:left="420"/>
              <w:spacing w:after="0"/>
              <w:rPr>
                <w:sz w:val="20"/>
                <w:szCs w:val="20"/>
                <w:color w:val="auto"/>
              </w:rPr>
            </w:pPr>
            <w:r>
              <w:rPr>
                <w:rFonts w:ascii="Arial" w:cs="Arial" w:eastAsia="Arial" w:hAnsi="Arial"/>
                <w:sz w:val="18"/>
                <w:szCs w:val="18"/>
                <w:color w:val="auto"/>
                <w:w w:val="93"/>
              </w:rPr>
              <w:t>Asset Purchase Agreement, dated August 8, 2013, by and among Imprimis Pharmaceuticals, Inc., Novel Drug Solutions, LLC and Eye</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1"/>
              </w:rPr>
              <w:t>Care Northwest, PA (incorporated herein by reference to Exhibit 10.1 to the Quarterly Report on Form 10-Q of Imprimis Pharmaceuticals,</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Inc. filed with the Securities and Exchange Commission on November 6, 2013)</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10.17</w:t>
            </w:r>
          </w:p>
        </w:tc>
        <w:tc>
          <w:tcPr>
            <w:tcW w:w="10460" w:type="dxa"/>
            <w:vAlign w:val="bottom"/>
          </w:tcPr>
          <w:p>
            <w:pPr>
              <w:ind w:left="420"/>
              <w:spacing w:after="0"/>
              <w:rPr>
                <w:sz w:val="20"/>
                <w:szCs w:val="20"/>
                <w:color w:val="auto"/>
              </w:rPr>
            </w:pPr>
            <w:r>
              <w:rPr>
                <w:rFonts w:ascii="Arial" w:cs="Arial" w:eastAsia="Arial" w:hAnsi="Arial"/>
                <w:sz w:val="18"/>
                <w:szCs w:val="18"/>
                <w:color w:val="auto"/>
                <w:w w:val="94"/>
              </w:rPr>
              <w:t>Amendment to Asset Purchase Agreement, dated as of October 14, 2013, by and among Imprimis Pharmaceuticals, Inc., Novel Drug</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4"/>
              </w:rPr>
              <w:t>Solutions, LLC and EyeCare Northwest, PA (incorporated herein by reference to Exhibit 10.2 to the Quarterly Report on Form 10-Q of</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Imprimis Pharmaceuticals, Inc. filed with the Securities and Exchange Commission on November 6, 2013)</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10.18+</w:t>
            </w:r>
          </w:p>
        </w:tc>
        <w:tc>
          <w:tcPr>
            <w:tcW w:w="10460" w:type="dxa"/>
            <w:vAlign w:val="bottom"/>
          </w:tcPr>
          <w:p>
            <w:pPr>
              <w:ind w:left="420"/>
              <w:spacing w:after="0"/>
              <w:rPr>
                <w:sz w:val="20"/>
                <w:szCs w:val="20"/>
                <w:color w:val="auto"/>
              </w:rPr>
            </w:pPr>
            <w:r>
              <w:rPr>
                <w:rFonts w:ascii="Arial" w:cs="Arial" w:eastAsia="Arial" w:hAnsi="Arial"/>
                <w:sz w:val="18"/>
                <w:szCs w:val="18"/>
                <w:color w:val="auto"/>
                <w:w w:val="95"/>
              </w:rPr>
              <w:t>Asset Purchase Agreement, dated October 8, 2013, by and between Imprimis Pharmaceuticals, Inc. and Novel Drug Solutions, LLC</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4"/>
              </w:rPr>
              <w:t>(incorporated herein by reference to Exhibit 10.27 to the Annual Report on Form 10-K of Imprimis Pharmaceuticals, Inc. filed with the</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Securities and Exchange Commission on March 28, 2014)</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10.19</w:t>
            </w:r>
          </w:p>
        </w:tc>
        <w:tc>
          <w:tcPr>
            <w:tcW w:w="10460" w:type="dxa"/>
            <w:vAlign w:val="bottom"/>
          </w:tcPr>
          <w:p>
            <w:pPr>
              <w:ind w:left="420"/>
              <w:spacing w:after="0"/>
              <w:rPr>
                <w:sz w:val="20"/>
                <w:szCs w:val="20"/>
                <w:color w:val="auto"/>
              </w:rPr>
            </w:pPr>
            <w:r>
              <w:rPr>
                <w:rFonts w:ascii="Arial" w:cs="Arial" w:eastAsia="Arial" w:hAnsi="Arial"/>
                <w:sz w:val="18"/>
                <w:szCs w:val="18"/>
                <w:color w:val="auto"/>
                <w:w w:val="93"/>
              </w:rPr>
              <w:t>Amendment to Asset Purchase Agreement, dated as of October 21, 2013, by and between Imprimis Pharmaceuticals, Inc. and Buderer</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2"/>
              </w:rPr>
              <w:t>Drug Company, Inc. (incorporated herein by reference to Exhibit 10.28 to the Annual Report on Form 10-K of Imprimis Pharmaceuticals,</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Inc. filed with the Securities and Exchange Commission on March 28, 2014)</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10.20</w:t>
            </w:r>
          </w:p>
        </w:tc>
        <w:tc>
          <w:tcPr>
            <w:tcW w:w="10460" w:type="dxa"/>
            <w:vAlign w:val="bottom"/>
          </w:tcPr>
          <w:p>
            <w:pPr>
              <w:ind w:left="420"/>
              <w:spacing w:after="0"/>
              <w:rPr>
                <w:sz w:val="20"/>
                <w:szCs w:val="20"/>
                <w:color w:val="auto"/>
              </w:rPr>
            </w:pPr>
            <w:r>
              <w:rPr>
                <w:rFonts w:ascii="Arial" w:cs="Arial" w:eastAsia="Arial" w:hAnsi="Arial"/>
                <w:sz w:val="18"/>
                <w:szCs w:val="18"/>
                <w:color w:val="auto"/>
                <w:w w:val="90"/>
              </w:rPr>
              <w:t>Amendment to Asset Purchase Agreement, dated as of October 21, 2013, by and between Imprimis Pharmaceuticals, Inc. and Novel Drug</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5"/>
              </w:rPr>
              <w:t>Solutions, LLC and EyeCare Northwest, PA (incorporated herein by reference to Exhibit 10.29 to the Annual Report on Form 10-K of</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Imprimis Pharmaceuticals, Inc. filed with the Securities and Exchange Commission on March 28, 2014)</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420"/>
              <w:spacing w:after="0"/>
              <w:rPr>
                <w:sz w:val="20"/>
                <w:szCs w:val="20"/>
                <w:color w:val="auto"/>
              </w:rPr>
            </w:pPr>
            <w:r>
              <w:rPr>
                <w:rFonts w:ascii="Arial" w:cs="Arial" w:eastAsia="Arial" w:hAnsi="Arial"/>
                <w:sz w:val="18"/>
                <w:szCs w:val="18"/>
                <w:color w:val="auto"/>
                <w:w w:val="94"/>
              </w:rPr>
              <w:t>License Agreement, dated as of October 24, 2014, by and between Imprimis Pharmaceuticals, Inc. and Urigen Pharmaceuticals, Inc.</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6"/>
              </w:rPr>
              <w:t>(incorporated herein by reference to Exhibit 10.1 to the Current Report on Form 8-K of Imprimis Pharmaceuticals, Inc. filed with the</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Securities and Exchange Commission on October 29, 2014)</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420"/>
              <w:spacing w:after="0"/>
              <w:rPr>
                <w:sz w:val="20"/>
                <w:szCs w:val="20"/>
                <w:color w:val="auto"/>
              </w:rPr>
            </w:pPr>
            <w:r>
              <w:rPr>
                <w:rFonts w:ascii="Arial" w:cs="Arial" w:eastAsia="Arial" w:hAnsi="Arial"/>
                <w:sz w:val="18"/>
                <w:szCs w:val="18"/>
                <w:color w:val="auto"/>
                <w:w w:val="93"/>
              </w:rPr>
              <w:t>Amended and Restated Employment Agreement, effective as of February 1, 2015, by and between Imprimis Pharmaceuticals, Inc. and</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4"/>
              </w:rPr>
              <w:t>Andrew R. Boll (incorporated herein by reference to Exhibit 10.1 to the Current Report on Form 8-K of Imprimis Pharmaceuticals, Inc.</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filed with the Securities and Exchange Commission on February 2, 2015)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10.23#</w:t>
            </w:r>
          </w:p>
        </w:tc>
        <w:tc>
          <w:tcPr>
            <w:tcW w:w="10460" w:type="dxa"/>
            <w:vAlign w:val="bottom"/>
          </w:tcPr>
          <w:p>
            <w:pPr>
              <w:ind w:left="420"/>
              <w:spacing w:after="0"/>
              <w:rPr>
                <w:sz w:val="20"/>
                <w:szCs w:val="20"/>
                <w:color w:val="auto"/>
              </w:rPr>
            </w:pPr>
            <w:r>
              <w:rPr>
                <w:rFonts w:ascii="Arial" w:cs="Arial" w:eastAsia="Arial" w:hAnsi="Arial"/>
                <w:sz w:val="18"/>
                <w:szCs w:val="18"/>
                <w:color w:val="auto"/>
                <w:w w:val="91"/>
              </w:rPr>
              <w:t>Performance Stock Units Award Agreement, effective as of February 1, 2015, by and between Imprimis Pharmaceuticals, Inc. and Andrew</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3"/>
              </w:rPr>
              <w:t>R. Boll (incorporated herein by reference to Exhibit 10.2 to the Current Report on Form 8-K of Imprimis Pharmaceuticals, Inc. filed with</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the Securities and Exchange Commission on February 2, 2015)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420"/>
              <w:spacing w:after="0"/>
              <w:rPr>
                <w:sz w:val="20"/>
                <w:szCs w:val="20"/>
                <w:color w:val="auto"/>
              </w:rPr>
            </w:pPr>
            <w:r>
              <w:rPr>
                <w:rFonts w:ascii="Arial" w:cs="Arial" w:eastAsia="Arial" w:hAnsi="Arial"/>
                <w:sz w:val="18"/>
                <w:szCs w:val="18"/>
                <w:color w:val="auto"/>
                <w:w w:val="98"/>
              </w:rPr>
              <w:t>Employment Agreement, effective as of February 1, 2015, by and between Imprimis Pharmaceuticals, Inc. and John P. Saharek</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6"/>
              </w:rPr>
              <w:t>(incorporated herein by reference to Exhibit 10.3 to the Current Report on Form 8-K of Imprimis Pharmaceuticals, Inc. filed with the</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Securities and Exchange Commission on February 2, 2015)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10.25</w:t>
            </w:r>
          </w:p>
        </w:tc>
        <w:tc>
          <w:tcPr>
            <w:tcW w:w="10460" w:type="dxa"/>
            <w:vAlign w:val="bottom"/>
          </w:tcPr>
          <w:p>
            <w:pPr>
              <w:ind w:left="420"/>
              <w:spacing w:after="0"/>
              <w:rPr>
                <w:sz w:val="20"/>
                <w:szCs w:val="20"/>
                <w:color w:val="auto"/>
              </w:rPr>
            </w:pPr>
            <w:r>
              <w:rPr>
                <w:rFonts w:ascii="Arial" w:cs="Arial" w:eastAsia="Arial" w:hAnsi="Arial"/>
                <w:sz w:val="18"/>
                <w:szCs w:val="18"/>
                <w:color w:val="auto"/>
                <w:w w:val="93"/>
              </w:rPr>
              <w:t>Warrant to Purchase Stock, dated May 11, 2015, issued by Imprimis Pharmaceuticals, Inc. (incorporated herein by reference to Exhibit</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2"/>
              </w:rPr>
              <w:t>10.2 to the Current Report on Form 8-Kof Imprimis Pharmaceuticals, Inc. filed with the Securities and Exchange Commission on May 12,</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2015)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tcPr>
          <w:p>
            <w:pPr>
              <w:ind w:left="420"/>
              <w:spacing w:after="0"/>
              <w:rPr>
                <w:sz w:val="20"/>
                <w:szCs w:val="20"/>
                <w:color w:val="auto"/>
              </w:rPr>
            </w:pPr>
            <w:r>
              <w:rPr>
                <w:rFonts w:ascii="Arial" w:cs="Arial" w:eastAsia="Arial" w:hAnsi="Arial"/>
                <w:sz w:val="18"/>
                <w:szCs w:val="18"/>
                <w:color w:val="auto"/>
                <w:w w:val="93"/>
              </w:rPr>
              <w:t>Loan and Security Agreement, dated May 11, 2015, by and between Imprimis Pharmaceuticals and IMMY Funding LLC. (incorporated</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6"/>
              </w:rPr>
              <w:t>herein by reference to Exhibit 10.1 to the Current Report on Form 8-Kof Imprimis Pharmaceuticals, Inc. filed with the Securities and</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Exchange Commission on May 12, 2015)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10.27</w:t>
            </w:r>
          </w:p>
        </w:tc>
        <w:tc>
          <w:tcPr>
            <w:tcW w:w="10460" w:type="dxa"/>
            <w:vAlign w:val="bottom"/>
          </w:tcPr>
          <w:p>
            <w:pPr>
              <w:ind w:left="420"/>
              <w:spacing w:after="0"/>
              <w:rPr>
                <w:sz w:val="20"/>
                <w:szCs w:val="20"/>
                <w:color w:val="auto"/>
              </w:rPr>
            </w:pPr>
            <w:r>
              <w:rPr>
                <w:rFonts w:ascii="Arial" w:cs="Arial" w:eastAsia="Arial" w:hAnsi="Arial"/>
                <w:sz w:val="18"/>
                <w:szCs w:val="18"/>
                <w:color w:val="auto"/>
                <w:w w:val="94"/>
              </w:rPr>
              <w:t>License Agreement dated as of August 11, 2015, between Imprimis Pharmaceuticals, Inc. and Advance Dosage Forms, Inc. and John</w:t>
            </w:r>
          </w:p>
        </w:tc>
      </w:tr>
      <w:tr>
        <w:trPr>
          <w:trHeight w:val="216"/>
        </w:trPr>
        <w:tc>
          <w:tcPr>
            <w:tcW w:w="96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4"/>
              </w:rPr>
              <w:t>DiGenova (incorporated herein by reference to Exhibit 10.1 to the Current Report on Form 8-K of Imprimis Pharmaceuticals, Inc. filed</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with the Securities and Exchange Commission on August 12, 2015)</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10.28</w:t>
            </w:r>
          </w:p>
        </w:tc>
        <w:tc>
          <w:tcPr>
            <w:tcW w:w="10460" w:type="dxa"/>
            <w:vAlign w:val="bottom"/>
          </w:tcPr>
          <w:p>
            <w:pPr>
              <w:ind w:left="420"/>
              <w:spacing w:after="0"/>
              <w:rPr>
                <w:sz w:val="20"/>
                <w:szCs w:val="20"/>
                <w:color w:val="auto"/>
              </w:rPr>
            </w:pPr>
            <w:r>
              <w:rPr>
                <w:rFonts w:ascii="Arial" w:cs="Arial" w:eastAsia="Arial" w:hAnsi="Arial"/>
                <w:sz w:val="18"/>
                <w:szCs w:val="18"/>
                <w:color w:val="auto"/>
                <w:w w:val="89"/>
              </w:rPr>
              <w:t>Asset Purchase Agreement originally dated September 23, 2015 and subsequently amended on October 15, 2015, between ImprimisRx PA,</w:t>
            </w:r>
          </w:p>
        </w:tc>
      </w:tr>
      <w:tr>
        <w:trPr>
          <w:trHeight w:val="230"/>
        </w:trPr>
        <w:tc>
          <w:tcPr>
            <w:tcW w:w="960" w:type="dxa"/>
            <w:vAlign w:val="bottom"/>
          </w:tcPr>
          <w:p>
            <w:pPr>
              <w:spacing w:after="0"/>
              <w:rPr>
                <w:sz w:val="20"/>
                <w:szCs w:val="20"/>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w w:val="94"/>
              </w:rPr>
              <w:t>Inc. (“ImprimisRx PA”), a Delaware corporation and a wholly-owned subsidiary of Imprimis Pharmaceuticals, Inc. and Thousand Oaks</w:t>
            </w:r>
          </w:p>
        </w:tc>
      </w:tr>
    </w:tbl>
    <w:p>
      <w:pPr>
        <w:jc w:val="both"/>
        <w:ind w:left="1380"/>
        <w:spacing w:after="0" w:line="252" w:lineRule="auto"/>
        <w:rPr>
          <w:sz w:val="20"/>
          <w:szCs w:val="20"/>
          <w:color w:val="auto"/>
        </w:rPr>
      </w:pPr>
      <w:r>
        <w:rPr>
          <w:rFonts w:ascii="Arial" w:cs="Arial" w:eastAsia="Arial" w:hAnsi="Arial"/>
          <w:sz w:val="18"/>
          <w:szCs w:val="18"/>
          <w:color w:val="auto"/>
        </w:rPr>
        <w:t>Holding Company, a Delaware corporation, and its wholly owned subsidiaries Topical Apothecary Group, LLC, a Pennsylvania limited liability company and owner and operator of TAG Pharmacy, a licensed pharmacy in Folcroft, PA; Aerosol Science Laboratories, Inc., a California corporation and former operator of ASL Pharmacy; SinuTopic, Inc., a Delaware corporation and former operator of Sinus Dynamics Pharmacy; and Mycotoxins, LLC, a California limited liability company (incorporated herein by reference to Exhibit 10.1 to the Quarterly Report on Form 10-Q of Imprimis Pharmaceuticals, Inc. filed with the Securities and Exchange Commission on November 12, 2015)</w:t>
      </w:r>
    </w:p>
    <w:p>
      <w:pPr>
        <w:sectPr>
          <w:pgSz w:w="11900" w:h="16989" w:orient="portrait"/>
          <w:cols w:equalWidth="0" w:num="1">
            <w:col w:w="11420"/>
          </w:cols>
          <w:pgMar w:left="240" w:top="665" w:right="239" w:bottom="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10.30*</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10.31</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dated November 27, 2015, by and between Imprimis Pharmaceuticals, Inc. and Cantor Fitzgerald &amp; Co (incorporated herein by reference to Exhibit 1.1 to the Current Report on Form 8-K of Imprimis Pharmaceuticals, Inc. filed with the Securities and Exchange Commission on November 27, 2015)</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PCCA Commission Agreement, dated December 21, 2015, by and between Imprimis Pharmaceuticals, Inc. and Professional Compounding Centers of America, Inc.</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8.00% Convertible Senior Secured Note issued on January 22, 2016 by Imprimis Pharmaceuticals, Inc. (incorporated herein by reference to Exhibit 10.1 to the Current Report on Form 8-K of Imprimis Pharmaceuticals, Inc. filed with the Securities and Exchange Commission</w:t>
      </w:r>
    </w:p>
    <w:p>
      <w:pPr>
        <w:sectPr>
          <w:pgSz w:w="11900" w:h="16989" w:orient="portrait"/>
          <w:cols w:equalWidth="0" w:num="2">
            <w:col w:w="660" w:space="720"/>
            <w:col w:w="10040"/>
          </w:cols>
          <w:pgMar w:left="240" w:top="665" w:right="239" w:bottom="0" w:gutter="0" w:footer="0" w:header="0"/>
          <w:type w:val="continuous"/>
        </w:sectPr>
      </w:pPr>
    </w:p>
    <w:bookmarkStart w:id="79" w:name="page80"/>
    <w:bookmarkEnd w:id="79"/>
    <w:p>
      <w:pPr>
        <w:ind w:left="180"/>
        <w:spacing w:after="0"/>
        <w:rPr>
          <w:sz w:val="20"/>
          <w:szCs w:val="20"/>
          <w:color w:val="auto"/>
        </w:rPr>
      </w:pPr>
      <w:r>
        <w:rPr>
          <w:rFonts w:ascii="Arial" w:cs="Arial" w:eastAsia="Arial" w:hAnsi="Arial"/>
          <w:sz w:val="18"/>
          <w:szCs w:val="18"/>
          <w:color w:val="auto"/>
        </w:rPr>
        <w:t>on January 25, 2016)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10.32</w:t>
            </w: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Note Purchase Agreement dated January 22, 2016 between Imprimis Pharmaceuticals, Inc. and IMMY Funding LLC (incorporated herein</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by reference to Exhibit 10.2 to the Current Report on Form 8-K of Imprimis Pharmaceuticals, Inc. filed with the Securities and Exchange</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Commission on January 25,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10.33</w:t>
            </w: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Second Amendment to Loan and Security Agreement dated January 22, 2016 between Imprimis Pharmaceuticals, Inc. and IMMY Funding</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LLC (incorporated herein by reference to Exhibit 10.3 to the Current Report on Form 8-K of Imprimis Pharmaceuticals, Inc. filed with the</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Securities and Exchange Commission on January 25,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10.33</w:t>
            </w:r>
          </w:p>
        </w:tc>
        <w:tc>
          <w:tcPr>
            <w:tcW w:w="10340" w:type="dxa"/>
            <w:vAlign w:val="bottom"/>
          </w:tcPr>
          <w:p>
            <w:pPr>
              <w:ind w:left="300"/>
              <w:spacing w:after="0"/>
              <w:rPr>
                <w:sz w:val="20"/>
                <w:szCs w:val="20"/>
                <w:color w:val="auto"/>
              </w:rPr>
            </w:pPr>
            <w:r>
              <w:rPr>
                <w:rFonts w:ascii="Arial" w:cs="Arial" w:eastAsia="Arial" w:hAnsi="Arial"/>
                <w:sz w:val="18"/>
                <w:szCs w:val="18"/>
                <w:color w:val="auto"/>
                <w:w w:val="95"/>
              </w:rPr>
              <w:t>Amendment to Warrant to Purchase Stock dated January 22, 2016 between Imprimis Pharmaceuticals, Inc. and IMMY Funding LLC</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6"/>
              </w:rPr>
              <w:t>(incorporated herein by reference to Exhibit 10.4 to the Current Report on Form 8-K of Imprimis Pharmaceuticals, Inc. filed with the</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Securities and Exchange Commission on January 25,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10.34</w:t>
            </w: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Underwriting Agreement, dated as of March 11, 2016, by and between Imprimis Pharmaceuticals, Inc. and National Securities Corporation</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6"/>
              </w:rPr>
              <w:t>(incorporated herein by reference to Exhibit 10.1 to the Current Report on Form 8-K of Imprimis Pharmaceuticals, Inc. filed with the</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Securities and Exchange Commission on March 11,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10.35</w:t>
            </w:r>
          </w:p>
        </w:tc>
        <w:tc>
          <w:tcPr>
            <w:tcW w:w="10340" w:type="dxa"/>
            <w:vAlign w:val="bottom"/>
          </w:tcPr>
          <w:p>
            <w:pPr>
              <w:ind w:left="300"/>
              <w:spacing w:after="0"/>
              <w:rPr>
                <w:sz w:val="20"/>
                <w:szCs w:val="20"/>
                <w:color w:val="auto"/>
              </w:rPr>
            </w:pPr>
            <w:r>
              <w:rPr>
                <w:rFonts w:ascii="Arial" w:cs="Arial" w:eastAsia="Arial" w:hAnsi="Arial"/>
                <w:sz w:val="18"/>
                <w:szCs w:val="18"/>
                <w:color w:val="auto"/>
                <w:w w:val="90"/>
              </w:rPr>
              <w:t>Securities Purchase Agreement, dated December 19, 2016, between the Registrant and the Investors party thereto (incorporated herein by</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5"/>
              </w:rPr>
              <w:t>reference to Exhibit 10.1 to the Current Report on Form 8-K of Imprimis Pharmaceuticals, Inc. filed with the Securities and Exchange</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Commission on December 23,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10.36</w:t>
            </w:r>
          </w:p>
        </w:tc>
        <w:tc>
          <w:tcPr>
            <w:tcW w:w="10340" w:type="dxa"/>
            <w:vAlign w:val="bottom"/>
          </w:tcPr>
          <w:p>
            <w:pPr>
              <w:ind w:left="300"/>
              <w:spacing w:after="0"/>
              <w:rPr>
                <w:sz w:val="20"/>
                <w:szCs w:val="20"/>
                <w:color w:val="auto"/>
              </w:rPr>
            </w:pPr>
            <w:r>
              <w:rPr>
                <w:rFonts w:ascii="Arial" w:cs="Arial" w:eastAsia="Arial" w:hAnsi="Arial"/>
                <w:sz w:val="18"/>
                <w:szCs w:val="18"/>
                <w:color w:val="auto"/>
                <w:w w:val="90"/>
              </w:rPr>
              <w:t>Form of Registration Rights Agreement between the Registrant and the Investors party thereto (incorporated herein by reference to Exhibit</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8"/>
              </w:rPr>
              <w:t>10.2 to the Current Report on Form 8-K of Imprimis Pharmaceuticals, Inc. filed with the Securities and Exchange Commission on</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December 23,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10.37</w:t>
            </w:r>
          </w:p>
        </w:tc>
        <w:tc>
          <w:tcPr>
            <w:tcW w:w="10340" w:type="dxa"/>
            <w:vAlign w:val="bottom"/>
          </w:tcPr>
          <w:p>
            <w:pPr>
              <w:ind w:left="300"/>
              <w:spacing w:after="0"/>
              <w:rPr>
                <w:sz w:val="20"/>
                <w:szCs w:val="20"/>
                <w:color w:val="auto"/>
              </w:rPr>
            </w:pPr>
            <w:r>
              <w:rPr>
                <w:rFonts w:ascii="Arial" w:cs="Arial" w:eastAsia="Arial" w:hAnsi="Arial"/>
                <w:sz w:val="18"/>
                <w:szCs w:val="18"/>
                <w:color w:val="auto"/>
              </w:rPr>
              <w:t>Form of Investor Warrant (incorporated herein by reference to Exhibit 10.3 to the Current Report on Form 8-K of Imprimis</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Pharmaceuticals, Inc. filed with the Securities and Exchange Commission on December 23,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10.38</w:t>
            </w: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Third Amendment to Loan and Security Agreement, dated December 27, 2016, by and between Imprimis Pharmaceuticals and IMMY</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Funding LLC (incorporated herein by reference to Exhibit 10.1 to the Current Report on Form 8-K of Imprimis Pharmaceuticals, Inc. filed</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with the Securities and Exchange Commission on December 29,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10.39</w:t>
            </w: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Exchange and Discharge Agreement, dated December 27, 2016, by and between Imprimis Pharmaceuticals and IMMY Funding LLC</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6"/>
              </w:rPr>
              <w:t>(incorporated herein by reference to Exhibit 10.2 to the Current Report on Form 8-K of Imprimis Pharmaceuticals, Inc. filed with the</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Securities and Exchange Commission on December 29,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10.40</w:t>
            </w: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Warrant Amendment to Purchase Stock, dated December 27, 2016, issued by Imprimis Pharmaceuticals, Inc. (incorporated herein by</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5"/>
              </w:rPr>
              <w:t>reference to Exhibit 10.3 to the Current Report on Form 8-K of Imprimis Pharmaceuticals, Inc. filed with the Securities and Exchange</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Commission on December 29, 2016)</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10.41</w:t>
            </w: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Stock Purchase Agreement dated February 13, 2017 between Imprimis Pharmaceuticals, Inc. and Livernois &amp; London, LLC (incorporated</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5"/>
              </w:rPr>
              <w:t>herein by reference to Exhibit 10.1 to the Current Report on Form 8-K of Imprimis Pharmaceuticals, Inc. filed with the Securities and</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Exchange Commission on February 17, 2017)</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10340" w:type="dxa"/>
            <w:vAlign w:val="bottom"/>
          </w:tcPr>
          <w:p>
            <w:pPr>
              <w:ind w:left="300"/>
              <w:spacing w:after="0"/>
              <w:rPr>
                <w:sz w:val="20"/>
                <w:szCs w:val="20"/>
                <w:color w:val="auto"/>
              </w:rPr>
            </w:pPr>
            <w:r>
              <w:rPr>
                <w:rFonts w:ascii="Arial" w:cs="Arial" w:eastAsia="Arial" w:hAnsi="Arial"/>
                <w:sz w:val="18"/>
                <w:szCs w:val="18"/>
                <w:color w:val="auto"/>
              </w:rPr>
              <w:t>List of Subsidiaries</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1034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24.1*</w:t>
            </w:r>
          </w:p>
        </w:tc>
        <w:tc>
          <w:tcPr>
            <w:tcW w:w="10340" w:type="dxa"/>
            <w:vAlign w:val="bottom"/>
          </w:tcPr>
          <w:p>
            <w:pPr>
              <w:ind w:left="300"/>
              <w:spacing w:after="0"/>
              <w:rPr>
                <w:sz w:val="20"/>
                <w:szCs w:val="20"/>
                <w:color w:val="auto"/>
              </w:rPr>
            </w:pPr>
            <w:r>
              <w:rPr>
                <w:rFonts w:ascii="Arial" w:cs="Arial" w:eastAsia="Arial" w:hAnsi="Arial"/>
                <w:sz w:val="18"/>
                <w:szCs w:val="18"/>
                <w:color w:val="auto"/>
              </w:rPr>
              <w:t>Power of Attorney (included on the signature page to this Annual Report)</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Certification of Mark L. Baum, Chief Executive Officer, pursuant to Rule 13a-14(a) or 15d-14(a) of the Securities and Exchange Act of</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Certification of Andrew R. Boll, Chief Financial Officer, pursuant to Rule 13a-14(a) or 15d-14(a) of the Securities and Exchange Act of</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 executed by</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Mark L. Baum, Chief Executive Officer.</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 executed by</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Andrew R. Boll, Chief Financial Officer.</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Instant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47" w:orient="portrait"/>
          <w:cols w:equalWidth="0" w:num="1">
            <w:col w:w="11420"/>
          </w:cols>
          <w:pgMar w:left="240" w:top="665" w:right="239" w:bottom="0" w:gutter="0" w:footer="0" w:header="0"/>
        </w:sectPr>
      </w:pPr>
    </w:p>
    <w:bookmarkStart w:id="81" w:name="page82"/>
    <w:bookmarkEnd w:id="81"/>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exhibit pursuant to Rule 24b-2 of the Exchange Act and these confidential portions have been redacted from the filing that is incorporated herein by reference. A complete copy of this exhibit, including the redacted terms, has been separately filed with the Securities and Exchange Commission.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2016</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16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pacing w:after="0" w:line="20" w:lineRule="exact"/>
        <w:rPr>
          <w:sz w:val="20"/>
          <w:szCs w:val="20"/>
          <w:color w:val="auto"/>
        </w:rPr>
      </w:pPr>
    </w:p>
    <w:p>
      <w:pPr>
        <w:jc w:val="right"/>
        <w:ind w:right="5280"/>
        <w:spacing w:after="0"/>
        <w:rPr>
          <w:sz w:val="20"/>
          <w:szCs w:val="20"/>
          <w:color w:val="auto"/>
        </w:rPr>
      </w:pPr>
      <w:r>
        <w:rPr>
          <w:rFonts w:ascii="Arial" w:cs="Arial" w:eastAsia="Arial" w:hAnsi="Arial"/>
          <w:sz w:val="18"/>
          <w:szCs w:val="18"/>
          <w:color w:val="auto"/>
        </w:rPr>
        <w:t>Imprimis NJOF,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16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ImprimisRx NJ,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1216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pacing w:after="0" w:line="28"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ImprimisRx 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1216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ImprimisRx PA,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1216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pacing w:after="0" w:line="28"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ImprimisRx TX,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1216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216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State of</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auto"/>
        </w:rPr>
        <w:t>Incorporation or</w:t>
      </w:r>
    </w:p>
    <w:p>
      <w:pPr>
        <w:spacing w:after="0" w:line="32"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5715</wp:posOffset>
            </wp:positionV>
            <wp:extent cx="19551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14605</wp:posOffset>
            </wp:positionV>
            <wp:extent cx="19551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14605</wp:posOffset>
            </wp:positionV>
            <wp:extent cx="19551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14605</wp:posOffset>
            </wp:positionV>
            <wp:extent cx="19551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14605</wp:posOffset>
            </wp:positionV>
            <wp:extent cx="19551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14605</wp:posOffset>
            </wp:positionV>
            <wp:extent cx="19551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ectPr>
          <w:pgSz w:w="11900" w:h="16838" w:orient="portrait"/>
          <w:cols w:equalWidth="0" w:num="2">
            <w:col w:w="8520" w:space="720"/>
            <w:col w:w="2180"/>
          </w:cols>
          <w:pgMar w:left="240" w:top="337" w:right="239" w:bottom="1440" w:gutter="0" w:footer="0" w:header="0"/>
          <w:type w:val="continuous"/>
        </w:sectPr>
      </w:pPr>
    </w:p>
    <w:bookmarkStart w:id="84" w:name="page85"/>
    <w:bookmarkEnd w:id="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333-159159, 333-183488 and 333-198674 on Form S-8 and Registration Statement Nos. 333-198675 and 333-215672 on Form S-3 of our report dated March 21, 2017, relating to the consolidated financial statements of Imprimis Pharmaceuticals, Inc. and subsidiaries, appearing in this Annual Report on Form 10-K of Imprimis Pharmaceuticals, Inc.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2016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21, 2017</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2016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21, 2017</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Annual Report on Form 10-K of Imprimis Pharmaceuticals, Inc. (the “Company”) for the period ended December 31, 2016 as filed with the Securities and Exchange Commission on the date hereof (the “Report”), the undersigned, Mark L. Baum, Chief Executive Officer of the Company, hereby certifies, pursuant to 18 U.S.C. Section 1350, that to his knowledge:</w:t>
      </w:r>
    </w:p>
    <w:p>
      <w:pPr>
        <w:spacing w:after="0" w:line="18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60" w:firstLine="656"/>
        <w:spacing w:after="0" w:line="501" w:lineRule="auto"/>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21, 2017</w:t>
      </w: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10-K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Annual Report on Form 10-K of Imprimis Pharmaceuticals, Inc. (the “Company”) for the period ended December 31, 2016 as filed with the Securities and Exchange Commission on the date hereof (the “Report”), the undersigned, Andrew R. Boll, Chief Financial Officer of the Company, hereby certifies, pursuant to 18 U.S.C. Section 1350, that to his knowledge:</w:t>
      </w:r>
    </w:p>
    <w:p>
      <w:pPr>
        <w:spacing w:after="0" w:line="18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60" w:firstLine="656"/>
        <w:spacing w:after="0" w:line="501" w:lineRule="auto"/>
        <w:tabs>
          <w:tab w:leader="none" w:pos="9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21, 2017</w:t>
      </w: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10-K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Letter"/>
      <w:start w:val="1"/>
    </w:lvl>
    <w:lvl w:ilvl="1">
      <w:lvlJc w:val="left"/>
      <w:lvlText w:val="(%2)"/>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2020-01-16T16:38:52Z</dcterms:created>
  <dcterms:modified xsi:type="dcterms:W3CDTF">2020-01-16T16:38:52Z</dcterms:modified>
</cp:coreProperties>
</file>