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6995160" cy="4362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6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SAHAREK JOHN P.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HARROW HEALTH,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102 WOODMONT BLVD, SUITE 610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HARROW HEALTH,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HROW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ImprimisRx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</w:tcPr>
          <w:p>
            <w:pPr>
              <w:ind w:left="3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37205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277,200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07/23/2021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277,200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07/23/2026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277,200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-1756410</wp:posOffset>
            </wp:positionV>
            <wp:extent cx="28575" cy="17621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40"/>
        <w:spacing w:after="0" w:line="236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performance-based restricted stock units ("PSUs") granted under the Issuer's 2017 Stock Incentive and Awards Plan, as amended (the "Plan"). Each PSU represents a contingent right to receive one share of common stock of the Issuer upon vesting. Vesting of the PSUs requires a minimum of a two-year service period and achievement of pre-determined total stockholder return-based performance targets ranging from a 50% - 250% increase during the term of the PSUs.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/s/ John P. Saharek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07/23/2021</w:t>
            </w: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32091" TargetMode="External"/><Relationship Id="rId13" Type="http://schemas.openxmlformats.org/officeDocument/2006/relationships/hyperlink" Target="http://www.sec.gov/cgi-bin/browse-edgar?action=getcompany&amp;CIK=00013602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2021-07-23T16:41:25Z</dcterms:created>
  <dcterms:modified xsi:type="dcterms:W3CDTF">2021-07-23T16:41:25Z</dcterms:modified>
</cp:coreProperties>
</file>