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0"/>
          <w:szCs w:val="20"/>
          <w:color w:val="auto"/>
        </w:rPr>
        <w:t>[_] Rule 13d-1(b)</w:t>
      </w:r>
    </w:p>
    <w:p>
      <w:pPr>
        <w:spacing w:after="0" w:line="229" w:lineRule="exact"/>
        <w:rPr>
          <w:sz w:val="24"/>
          <w:szCs w:val="24"/>
          <w:color w:val="auto"/>
        </w:rPr>
      </w:pPr>
    </w:p>
    <w:p>
      <w:pPr>
        <w:jc w:val="both"/>
        <w:ind w:left="1240" w:right="8540" w:firstLine="10"/>
        <w:spacing w:after="0" w:line="479" w:lineRule="auto"/>
        <w:tabs>
          <w:tab w:leader="none" w:pos="157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 [_] Rule 13d-1(d)</w:t>
      </w: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323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No. 415858109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32320" cy="6335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0" w:right="8240" w:hanging="559"/>
        <w:spacing w:after="0" w:line="415" w:lineRule="auto"/>
        <w:tabs>
          <w:tab w:leader="none" w:pos="5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Names of Reporting Persons </w:t>
      </w:r>
      <w:r>
        <w:rPr>
          <w:rFonts w:ascii="Times New Roman" w:cs="Times New Roman" w:eastAsia="Times New Roman" w:hAnsi="Times New Roman"/>
          <w:sz w:val="20"/>
          <w:szCs w:val="20"/>
          <w:color w:val="auto"/>
        </w:rPr>
        <w:t>Daniel Kaufman</w:t>
      </w:r>
    </w:p>
    <w:p>
      <w:pPr>
        <w:spacing w:after="0" w:line="1" w:lineRule="exact"/>
        <w:rPr>
          <w:sz w:val="20"/>
          <w:szCs w:val="20"/>
          <w:color w:val="auto"/>
        </w:rPr>
      </w:pPr>
    </w:p>
    <w:p>
      <w:pPr>
        <w:ind w:left="560" w:hanging="559"/>
        <w:spacing w:after="0"/>
        <w:tabs>
          <w:tab w:leader="none" w:pos="5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Check the appropriate box if a member of a Group (see instructions)</w:t>
      </w:r>
    </w:p>
    <w:p>
      <w:pPr>
        <w:spacing w:after="0" w:line="165" w:lineRule="exact"/>
        <w:rPr>
          <w:rFonts w:ascii="Times New Roman" w:cs="Times New Roman" w:eastAsia="Times New Roman" w:hAnsi="Times New Roman"/>
          <w:sz w:val="20"/>
          <w:szCs w:val="20"/>
          <w:b w:val="1"/>
          <w:bCs w:val="1"/>
          <w:color w:val="auto"/>
        </w:rPr>
      </w:pPr>
    </w:p>
    <w:p>
      <w:pPr>
        <w:ind w:left="1200" w:hanging="324"/>
        <w:spacing w:after="0"/>
        <w:tabs>
          <w:tab w:leader="none" w:pos="12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1" w:lineRule="exact"/>
        <w:rPr>
          <w:rFonts w:ascii="Times New Roman" w:cs="Times New Roman" w:eastAsia="Times New Roman" w:hAnsi="Times New Roman"/>
          <w:sz w:val="20"/>
          <w:szCs w:val="20"/>
          <w:color w:val="auto"/>
        </w:rPr>
      </w:pPr>
    </w:p>
    <w:p>
      <w:pPr>
        <w:ind w:left="1200" w:hanging="324"/>
        <w:spacing w:after="0"/>
        <w:tabs>
          <w:tab w:leader="none" w:pos="12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149" w:lineRule="exact"/>
        <w:rPr>
          <w:sz w:val="20"/>
          <w:szCs w:val="20"/>
          <w:color w:val="auto"/>
        </w:rPr>
      </w:pPr>
    </w:p>
    <w:p>
      <w:pPr>
        <w:ind w:left="560" w:hanging="559"/>
        <w:spacing w:after="0"/>
        <w:tabs>
          <w:tab w:leader="none" w:pos="5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 Use Only</w:t>
      </w:r>
    </w:p>
    <w:p>
      <w:pPr>
        <w:spacing w:after="0" w:line="200" w:lineRule="exact"/>
        <w:rPr>
          <w:sz w:val="20"/>
          <w:szCs w:val="20"/>
          <w:color w:val="auto"/>
        </w:rPr>
      </w:pPr>
    </w:p>
    <w:p>
      <w:pPr>
        <w:spacing w:after="0" w:line="353" w:lineRule="exact"/>
        <w:rPr>
          <w:sz w:val="20"/>
          <w:szCs w:val="20"/>
          <w:color w:val="auto"/>
        </w:rPr>
      </w:pPr>
    </w:p>
    <w:p>
      <w:pPr>
        <w:ind w:left="560" w:right="7580" w:hanging="559"/>
        <w:spacing w:after="0" w:line="415" w:lineRule="auto"/>
        <w:tabs>
          <w:tab w:leader="none" w:pos="5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Citizenship or Place of Organization </w:t>
      </w:r>
      <w:r>
        <w:rPr>
          <w:rFonts w:ascii="Times New Roman" w:cs="Times New Roman" w:eastAsia="Times New Roman" w:hAnsi="Times New Roman"/>
          <w:sz w:val="20"/>
          <w:szCs w:val="20"/>
          <w:color w:val="auto"/>
        </w:rPr>
        <w:t>United States</w:t>
      </w:r>
    </w:p>
    <w:p>
      <w:pPr>
        <w:spacing w:after="0" w:line="1" w:lineRule="exact"/>
        <w:rPr>
          <w:rFonts w:ascii="Times New Roman" w:cs="Times New Roman" w:eastAsia="Times New Roman" w:hAnsi="Times New Roman"/>
          <w:sz w:val="20"/>
          <w:szCs w:val="20"/>
          <w:b w:val="1"/>
          <w:bCs w:val="1"/>
          <w:color w:val="auto"/>
        </w:rPr>
      </w:pPr>
    </w:p>
    <w:p>
      <w:pPr>
        <w:ind w:left="20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19"/>
          <w:szCs w:val="19"/>
          <w:b w:val="1"/>
          <w:bCs w:val="1"/>
          <w:color w:val="auto"/>
        </w:rPr>
        <w:t>Sole Voting Power</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58"/>
        </w:trPr>
        <w:tc>
          <w:tcPr>
            <w:tcW w:w="1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1,907,332</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84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6</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Shared Voting Power</w:t>
            </w:r>
          </w:p>
        </w:tc>
        <w:tc>
          <w:tcPr>
            <w:tcW w:w="0" w:type="dxa"/>
            <w:vAlign w:val="bottom"/>
          </w:tcPr>
          <w:p>
            <w:pPr>
              <w:spacing w:after="0"/>
              <w:rPr>
                <w:sz w:val="1"/>
                <w:szCs w:val="1"/>
                <w:color w:val="auto"/>
              </w:rPr>
            </w:pPr>
          </w:p>
        </w:tc>
      </w:tr>
      <w:tr>
        <w:trPr>
          <w:trHeight w:val="48"/>
        </w:trPr>
        <w:tc>
          <w:tcPr>
            <w:tcW w:w="18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84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Beneficially Owned</w:t>
            </w:r>
          </w:p>
        </w:tc>
        <w:tc>
          <w:tcPr>
            <w:tcW w:w="4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by Each Reporting</w:t>
            </w:r>
          </w:p>
        </w:tc>
        <w:tc>
          <w:tcPr>
            <w:tcW w:w="420" w:type="dxa"/>
            <w:vAlign w:val="bottom"/>
            <w:tcBorders>
              <w:bottom w:val="single" w:sz="8" w:color="auto"/>
            </w:tcBorders>
          </w:tcPr>
          <w:p>
            <w:pPr>
              <w:spacing w:after="0"/>
              <w:rPr>
                <w:sz w:val="15"/>
                <w:szCs w:val="15"/>
                <w:color w:val="auto"/>
              </w:rPr>
            </w:pPr>
          </w:p>
        </w:tc>
        <w:tc>
          <w:tcPr>
            <w:tcW w:w="8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8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84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8"/>
              </w:rPr>
              <w:t>Person With:</w:t>
            </w: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7</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Sole Dispositive Power</w:t>
            </w:r>
          </w:p>
        </w:tc>
        <w:tc>
          <w:tcPr>
            <w:tcW w:w="0" w:type="dxa"/>
            <w:vAlign w:val="bottom"/>
          </w:tcPr>
          <w:p>
            <w:pPr>
              <w:spacing w:after="0"/>
              <w:rPr>
                <w:sz w:val="1"/>
                <w:szCs w:val="1"/>
                <w:color w:val="auto"/>
              </w:rPr>
            </w:pPr>
          </w:p>
        </w:tc>
      </w:tr>
      <w:tr>
        <w:trPr>
          <w:trHeight w:val="391"/>
        </w:trPr>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1,907,332</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79"/>
              </w:rPr>
              <w:t>8</w:t>
            </w:r>
          </w:p>
        </w:tc>
        <w:tc>
          <w:tcPr>
            <w:tcW w:w="87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Shared Dispositive Power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560" w:right="5080" w:hanging="559"/>
        <w:spacing w:after="0" w:line="415" w:lineRule="auto"/>
        <w:tabs>
          <w:tab w:leader="none" w:pos="5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Amount Beneficially Owned by Each Reporting Person </w:t>
      </w:r>
      <w:r>
        <w:rPr>
          <w:rFonts w:ascii="Times New Roman" w:cs="Times New Roman" w:eastAsia="Times New Roman" w:hAnsi="Times New Roman"/>
          <w:sz w:val="20"/>
          <w:szCs w:val="20"/>
          <w:color w:val="auto"/>
        </w:rPr>
        <w:t>1,907,332</w:t>
      </w:r>
    </w:p>
    <w:p>
      <w:pPr>
        <w:spacing w:after="0" w:line="1" w:lineRule="exact"/>
        <w:rPr>
          <w:sz w:val="20"/>
          <w:szCs w:val="20"/>
          <w:color w:val="auto"/>
        </w:rPr>
      </w:pPr>
    </w:p>
    <w:p>
      <w:pPr>
        <w:ind w:left="560" w:right="3300" w:hanging="559"/>
        <w:spacing w:after="0" w:line="415" w:lineRule="auto"/>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Check box if the aggregate amount in row (9) excludes certain shares (See Instructions) </w:t>
      </w:r>
      <w:r>
        <w:rPr>
          <w:rFonts w:ascii="Times New Roman" w:cs="Times New Roman" w:eastAsia="Times New Roman" w:hAnsi="Times New Roman"/>
          <w:sz w:val="20"/>
          <w:szCs w:val="20"/>
          <w:color w:val="auto"/>
        </w:rPr>
        <w:t>[ ]</w:t>
      </w:r>
    </w:p>
    <w:p>
      <w:pPr>
        <w:spacing w:after="0" w:line="1" w:lineRule="exact"/>
        <w:rPr>
          <w:rFonts w:ascii="Times New Roman" w:cs="Times New Roman" w:eastAsia="Times New Roman" w:hAnsi="Times New Roman"/>
          <w:sz w:val="20"/>
          <w:szCs w:val="20"/>
          <w:b w:val="1"/>
          <w:bCs w:val="1"/>
          <w:color w:val="auto"/>
        </w:rPr>
      </w:pPr>
    </w:p>
    <w:p>
      <w:pPr>
        <w:ind w:left="560" w:hanging="559"/>
        <w:spacing w:after="0"/>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Percent of class represented by amount in row (9)</w:t>
      </w:r>
    </w:p>
    <w:p>
      <w:pPr>
        <w:spacing w:after="0" w:line="165" w:lineRule="exact"/>
        <w:rPr>
          <w:rFonts w:ascii="Times New Roman" w:cs="Times New Roman" w:eastAsia="Times New Roman" w:hAnsi="Times New Roman"/>
          <w:sz w:val="20"/>
          <w:szCs w:val="20"/>
          <w:b w:val="1"/>
          <w:bCs w:val="1"/>
          <w:color w:val="auto"/>
        </w:rPr>
      </w:pPr>
    </w:p>
    <w:p>
      <w:pPr>
        <w:ind w:left="560" w:right="400"/>
        <w:spacing w:after="0" w:line="29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5.43% (</w:t>
      </w:r>
      <w:r>
        <w:rPr>
          <w:rFonts w:ascii="Times New Roman" w:cs="Times New Roman" w:eastAsia="Times New Roman" w:hAnsi="Times New Roman"/>
          <w:sz w:val="17"/>
          <w:szCs w:val="17"/>
          <w:color w:val="auto"/>
        </w:rPr>
        <w:t>Based upon 35,117,746 shares of common stock outstanding on November 13, 2023 as reported by the Issuer in a 10-Q for the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ending on 9/30/2023 filed with the Securities and Exchange Commission)</w:t>
      </w:r>
    </w:p>
    <w:p>
      <w:pPr>
        <w:spacing w:after="0" w:line="99" w:lineRule="exact"/>
        <w:rPr>
          <w:rFonts w:ascii="Times New Roman" w:cs="Times New Roman" w:eastAsia="Times New Roman" w:hAnsi="Times New Roman"/>
          <w:sz w:val="20"/>
          <w:szCs w:val="20"/>
          <w:b w:val="1"/>
          <w:bCs w:val="1"/>
          <w:color w:val="auto"/>
        </w:rPr>
      </w:pPr>
    </w:p>
    <w:p>
      <w:pPr>
        <w:ind w:left="560" w:hanging="559"/>
        <w:spacing w:after="0"/>
        <w:tabs>
          <w:tab w:leader="none" w:pos="5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 of Reporting Person (See Instructions)</w:t>
      </w:r>
    </w:p>
    <w:p>
      <w:pPr>
        <w:spacing w:after="0" w:line="165" w:lineRule="exact"/>
        <w:rPr>
          <w:rFonts w:ascii="Times New Roman" w:cs="Times New Roman" w:eastAsia="Times New Roman" w:hAnsi="Times New Roman"/>
          <w:sz w:val="20"/>
          <w:szCs w:val="20"/>
          <w:b w:val="1"/>
          <w:bCs w:val="1"/>
          <w:color w:val="auto"/>
        </w:rPr>
      </w:pPr>
    </w:p>
    <w:p>
      <w:pPr>
        <w:ind w:left="5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16"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 of Issuer: </w:t>
      </w:r>
      <w:r>
        <w:rPr>
          <w:rFonts w:ascii="Times New Roman" w:cs="Times New Roman" w:eastAsia="Times New Roman" w:hAnsi="Times New Roman"/>
          <w:sz w:val="20"/>
          <w:szCs w:val="20"/>
          <w:color w:val="auto"/>
        </w:rPr>
        <w:t>Harrow, Inc.</w:t>
      </w:r>
    </w:p>
    <w:p>
      <w:pPr>
        <w:spacing w:after="0" w:line="215"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Address of Issuer’s Principal Executive Offices: </w:t>
      </w:r>
      <w:r>
        <w:rPr>
          <w:rFonts w:ascii="Times New Roman" w:cs="Times New Roman" w:eastAsia="Times New Roman" w:hAnsi="Times New Roman"/>
          <w:sz w:val="20"/>
          <w:szCs w:val="20"/>
          <w:color w:val="auto"/>
        </w:rPr>
        <w:t>102 Woodmont Blvd, Ste 610, Nashville, TN 37205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16" w:lineRule="exact"/>
        <w:rPr>
          <w:sz w:val="20"/>
          <w:szCs w:val="20"/>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Name of Person Filing: </w:t>
      </w:r>
      <w:r>
        <w:rPr>
          <w:rFonts w:ascii="Times New Roman" w:cs="Times New Roman" w:eastAsia="Times New Roman" w:hAnsi="Times New Roman"/>
          <w:sz w:val="20"/>
          <w:szCs w:val="20"/>
          <w:color w:val="auto"/>
        </w:rPr>
        <w:t>Daniel Kaufman</w:t>
      </w:r>
    </w:p>
    <w:p>
      <w:pPr>
        <w:spacing w:after="0" w:line="215"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Address of Principal Business Office or, if None, Residence: </w:t>
      </w:r>
      <w:r>
        <w:rPr>
          <w:rFonts w:ascii="Times New Roman" w:cs="Times New Roman" w:eastAsia="Times New Roman" w:hAnsi="Times New Roman"/>
          <w:sz w:val="20"/>
          <w:szCs w:val="20"/>
          <w:color w:val="auto"/>
        </w:rPr>
        <w:t>PO Box 495, Palmer PR 00721</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Citizenship: </w:t>
      </w:r>
      <w:r>
        <w:rPr>
          <w:rFonts w:ascii="Times New Roman" w:cs="Times New Roman" w:eastAsia="Times New Roman" w:hAnsi="Times New Roman"/>
          <w:sz w:val="20"/>
          <w:szCs w:val="20"/>
          <w:color w:val="auto"/>
        </w:rPr>
        <w:t>United States</w:t>
      </w:r>
    </w:p>
    <w:p>
      <w:pPr>
        <w:spacing w:after="0" w:line="215"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 and Class of Securities: </w:t>
      </w:r>
      <w:r>
        <w:rPr>
          <w:rFonts w:ascii="Times New Roman" w:cs="Times New Roman" w:eastAsia="Times New Roman" w:hAnsi="Times New Roman"/>
          <w:sz w:val="20"/>
          <w:szCs w:val="20"/>
          <w:color w:val="auto"/>
        </w:rPr>
        <w:t>Common Stock, $0.001 par value per share</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CUSIP No.: </w:t>
      </w:r>
      <w:r>
        <w:rPr>
          <w:rFonts w:ascii="Times New Roman" w:cs="Times New Roman" w:eastAsia="Times New Roman" w:hAnsi="Times New Roman"/>
          <w:sz w:val="20"/>
          <w:szCs w:val="20"/>
          <w:color w:val="auto"/>
        </w:rPr>
        <w:t>415858109</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 240.13d-1(b) or 240.13d-2(b) or (c), check whether the person filing is a:</w:t>
      </w:r>
    </w:p>
    <w:p>
      <w:pPr>
        <w:spacing w:after="0" w:line="220" w:lineRule="exact"/>
        <w:rPr>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Broker or dealer registered under Section 15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Bank as defined in Section 3(a)(6)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employee benefit plan or endowment fund in accordance with Rule 13d-1(b)(1)(ii)(F);</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savings associations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hanging="1304"/>
        <w:spacing w:after="0" w:line="269" w:lineRule="auto"/>
        <w:tabs>
          <w:tab w:leader="none" w:pos="12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church plan that is excluded from the definition of an investment company under section 3(c)(14) of the Investment Company Act of 1940;</w:t>
      </w:r>
    </w:p>
    <w:p>
      <w:pPr>
        <w:spacing w:after="0" w:line="159"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non-U.S. institution in accordance with Rule 240.13d-1(b)(1)(ii)(J);</w:t>
      </w:r>
    </w:p>
    <w:p>
      <w:pPr>
        <w:spacing w:after="0" w:line="215" w:lineRule="exact"/>
        <w:rPr>
          <w:rFonts w:ascii="Times New Roman" w:cs="Times New Roman" w:eastAsia="Times New Roman" w:hAnsi="Times New Roman"/>
          <w:sz w:val="20"/>
          <w:szCs w:val="20"/>
          <w:color w:val="auto"/>
        </w:rPr>
      </w:pPr>
    </w:p>
    <w:p>
      <w:pPr>
        <w:ind w:left="1960" w:right="340" w:hanging="1304"/>
        <w:spacing w:after="0" w:line="269" w:lineRule="auto"/>
        <w:tabs>
          <w:tab w:leader="none" w:pos="1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Group, in accordance with Rule 240.13d-1(b)(1)(ii)(K). If filing as a non-U.S. institution in accordance with Rule 240.13d-1(b)(1)(ii)(J), please specify the type of institution: ____</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2"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16"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Amount Beneficially Owned:   </w:t>
      </w:r>
      <w:r>
        <w:rPr>
          <w:rFonts w:ascii="Times New Roman" w:cs="Times New Roman" w:eastAsia="Times New Roman" w:hAnsi="Times New Roman"/>
          <w:sz w:val="20"/>
          <w:szCs w:val="20"/>
          <w:color w:val="auto"/>
        </w:rPr>
        <w:t>1,907,332</w:t>
      </w:r>
    </w:p>
    <w:p>
      <w:pPr>
        <w:spacing w:after="0" w:line="215" w:lineRule="exact"/>
        <w:rPr>
          <w:rFonts w:ascii="Times New Roman" w:cs="Times New Roman" w:eastAsia="Times New Roman" w:hAnsi="Times New Roman"/>
          <w:sz w:val="20"/>
          <w:szCs w:val="20"/>
          <w:b w:val="1"/>
          <w:bCs w:val="1"/>
          <w:color w:val="auto"/>
        </w:rPr>
      </w:pPr>
    </w:p>
    <w:p>
      <w:pPr>
        <w:ind w:left="600" w:hanging="592"/>
        <w:spacing w:after="0"/>
        <w:tabs>
          <w:tab w:leader="none" w:pos="60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Percent of Class: </w:t>
      </w:r>
      <w:r>
        <w:rPr>
          <w:rFonts w:ascii="Times New Roman" w:cs="Times New Roman" w:eastAsia="Times New Roman" w:hAnsi="Times New Roman"/>
          <w:sz w:val="20"/>
          <w:szCs w:val="20"/>
          <w:color w:val="auto"/>
        </w:rPr>
        <w:t>5.43%</w:t>
      </w:r>
    </w:p>
    <w:p>
      <w:pPr>
        <w:spacing w:after="0" w:line="215" w:lineRule="exact"/>
        <w:rPr>
          <w:rFonts w:ascii="Times New Roman" w:cs="Times New Roman" w:eastAsia="Times New Roman" w:hAnsi="Times New Roman"/>
          <w:sz w:val="20"/>
          <w:szCs w:val="20"/>
          <w:b w:val="1"/>
          <w:bCs w:val="1"/>
          <w:color w:val="auto"/>
        </w:rPr>
      </w:pPr>
    </w:p>
    <w:p>
      <w:pPr>
        <w:ind w:left="580" w:hanging="572"/>
        <w:spacing w:after="0"/>
        <w:tabs>
          <w:tab w:leader="none" w:pos="5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shares as to which such person has:</w:t>
      </w:r>
    </w:p>
    <w:p>
      <w:pPr>
        <w:spacing w:after="0" w:line="215" w:lineRule="exact"/>
        <w:rPr>
          <w:rFonts w:ascii="Times New Roman" w:cs="Times New Roman" w:eastAsia="Times New Roman" w:hAnsi="Times New Roman"/>
          <w:sz w:val="20"/>
          <w:szCs w:val="20"/>
          <w:b w:val="1"/>
          <w:bCs w:val="1"/>
          <w:color w:val="auto"/>
        </w:rPr>
      </w:pPr>
    </w:p>
    <w:p>
      <w:pPr>
        <w:ind w:left="1080" w:hanging="478"/>
        <w:spacing w:after="0"/>
        <w:tabs>
          <w:tab w:leader="none" w:pos="108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Sole power to vote or to direct the vote: </w:t>
      </w:r>
      <w:r>
        <w:rPr>
          <w:rFonts w:ascii="Times New Roman" w:cs="Times New Roman" w:eastAsia="Times New Roman" w:hAnsi="Times New Roman"/>
          <w:sz w:val="20"/>
          <w:szCs w:val="20"/>
          <w:color w:val="auto"/>
        </w:rPr>
        <w:t>1,907,332</w:t>
      </w:r>
    </w:p>
    <w:p>
      <w:pPr>
        <w:spacing w:after="0" w:line="215" w:lineRule="exact"/>
        <w:rPr>
          <w:rFonts w:ascii="Times New Roman" w:cs="Times New Roman" w:eastAsia="Times New Roman" w:hAnsi="Times New Roman"/>
          <w:sz w:val="20"/>
          <w:szCs w:val="20"/>
          <w:b w:val="1"/>
          <w:bCs w:val="1"/>
          <w:color w:val="auto"/>
        </w:rPr>
      </w:pPr>
    </w:p>
    <w:p>
      <w:pPr>
        <w:ind w:left="1100" w:hanging="498"/>
        <w:spacing w:after="0"/>
        <w:tabs>
          <w:tab w:leader="none" w:pos="110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Shared power to vote or to direct the vote:</w:t>
      </w:r>
    </w:p>
    <w:p>
      <w:pPr>
        <w:spacing w:after="0" w:line="215" w:lineRule="exact"/>
        <w:rPr>
          <w:rFonts w:ascii="Times New Roman" w:cs="Times New Roman" w:eastAsia="Times New Roman" w:hAnsi="Times New Roman"/>
          <w:sz w:val="20"/>
          <w:szCs w:val="20"/>
          <w:b w:val="1"/>
          <w:bCs w:val="1"/>
          <w:color w:val="auto"/>
        </w:rPr>
      </w:pPr>
    </w:p>
    <w:p>
      <w:pPr>
        <w:ind w:left="1100" w:hanging="498"/>
        <w:spacing w:after="0"/>
        <w:tabs>
          <w:tab w:leader="none" w:pos="110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Sole power to dispose or to direct the disposition of: </w:t>
      </w:r>
      <w:r>
        <w:rPr>
          <w:rFonts w:ascii="Times New Roman" w:cs="Times New Roman" w:eastAsia="Times New Roman" w:hAnsi="Times New Roman"/>
          <w:sz w:val="20"/>
          <w:szCs w:val="20"/>
          <w:color w:val="auto"/>
        </w:rPr>
        <w:t>1,907,332</w:t>
      </w:r>
    </w:p>
    <w:p>
      <w:pPr>
        <w:spacing w:after="0" w:line="216" w:lineRule="exact"/>
        <w:rPr>
          <w:sz w:val="20"/>
          <w:szCs w:val="20"/>
          <w:color w:val="auto"/>
        </w:rPr>
      </w:pPr>
    </w:p>
    <w:p>
      <w:pPr>
        <w:ind w:right="5580" w:firstLine="8"/>
        <w:spacing w:after="0" w:line="464" w:lineRule="auto"/>
        <w:tabs>
          <w:tab w:leader="none" w:pos="569"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(iv) Shared power to dispose or to direct the disposition of: Item 5. Ownership of Five Percent or Less of a Class.</w:t>
      </w:r>
    </w:p>
    <w:p>
      <w:pPr>
        <w:spacing w:after="0" w:line="1" w:lineRule="exact"/>
        <w:rPr>
          <w:sz w:val="20"/>
          <w:szCs w:val="20"/>
          <w:color w:val="auto"/>
        </w:rPr>
      </w:pPr>
    </w:p>
    <w:p>
      <w:pPr>
        <w:ind w:left="980" w:firstLine="196"/>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5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980" w:hanging="971"/>
        <w:spacing w:after="0" w:line="273"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5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The following certification shall be included if the statement is filed pursuant to §240.13d-1(c):</w:t>
      </w:r>
    </w:p>
    <w:p>
      <w:pPr>
        <w:spacing w:after="0" w:line="229" w:lineRule="exact"/>
        <w:rPr>
          <w:sz w:val="20"/>
          <w:szCs w:val="20"/>
          <w:color w:val="auto"/>
        </w:rPr>
      </w:pPr>
    </w:p>
    <w:p>
      <w:pPr>
        <w:jc w:val="both"/>
        <w:ind w:left="1080"/>
        <w:spacing w:after="0" w:line="253" w:lineRule="auto"/>
        <w:rPr>
          <w:sz w:val="20"/>
          <w:szCs w:val="20"/>
          <w:color w:val="auto"/>
        </w:rPr>
      </w:pPr>
      <w:r>
        <w:rPr>
          <w:rFonts w:ascii="Times New Roman" w:cs="Times New Roman" w:eastAsia="Times New Roman" w:hAnsi="Times New Roman"/>
          <w:sz w:val="20"/>
          <w:szCs w:val="20"/>
          <w:color w:val="auto"/>
        </w:rPr>
        <w:t xml:space="preserve">By signing below I certify that, to the best of my knowledge and belief, the securities referred to above were not acquired and are not held for the purpose of or with the effect of changing or influencing the </w:t>
      </w:r>
      <w:r>
        <w:rPr>
          <w:rFonts w:ascii="Times New Roman" w:cs="Times New Roman" w:eastAsia="Times New Roman" w:hAnsi="Times New Roman"/>
          <w:sz w:val="21"/>
          <w:szCs w:val="21"/>
          <w:color w:val="auto"/>
        </w:rPr>
        <w:t>control of the issuer of the securities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Name: </w:t>
      </w:r>
      <w:r>
        <w:rPr>
          <w:rFonts w:ascii="Times New Roman" w:cs="Times New Roman" w:eastAsia="Times New Roman" w:hAnsi="Times New Roman"/>
          <w:sz w:val="20"/>
          <w:szCs w:val="20"/>
          <w:i w:val="1"/>
          <w:iCs w:val="1"/>
          <w:u w:val="single" w:color="auto"/>
          <w:color w:val="auto"/>
        </w:rPr>
        <w:t>/s/ Daniel Kaufman</w:t>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i w:val="1"/>
          <w:iCs w:val="1"/>
          <w:color w:val="auto"/>
        </w:rPr>
        <w:t>Daniel Kaufman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Individual Investor</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2024-02-13T17:43:53Z</dcterms:created>
  <dcterms:modified xsi:type="dcterms:W3CDTF">2024-02-13T17:43:53Z</dcterms:modified>
</cp:coreProperties>
</file>