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23"/>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149860</wp:posOffset>
            </wp:positionH>
            <wp:positionV relativeFrom="page">
              <wp:posOffset>271780</wp:posOffset>
            </wp:positionV>
            <wp:extent cx="726186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3810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317500</wp:posOffset>
            </wp:positionV>
            <wp:extent cx="7261860"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15240"/>
                    </a:xfrm>
                    <a:prstGeom prst="rect">
                      <a:avLst/>
                    </a:prstGeom>
                    <a:noFill/>
                  </pic:spPr>
                </pic:pic>
              </a:graphicData>
            </a:graphic>
          </wp:anchor>
        </w:drawing>
        <w:t>UNITED STATES</w:t>
      </w:r>
    </w:p>
    <w:p>
      <w:pPr>
        <w:spacing w:after="0" w:line="15" w:lineRule="exact"/>
        <w:rPr>
          <w:sz w:val="24"/>
          <w:szCs w:val="24"/>
          <w:color w:val="auto"/>
        </w:rPr>
      </w:pPr>
    </w:p>
    <w:p>
      <w:pPr>
        <w:jc w:val="center"/>
        <w:ind w:right="-623"/>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623"/>
        <w:spacing w:after="0"/>
        <w:rPr>
          <w:sz w:val="20"/>
          <w:szCs w:val="20"/>
          <w:color w:val="auto"/>
        </w:rPr>
      </w:pPr>
      <w:r>
        <w:rPr>
          <w:rFonts w:ascii="Arial" w:cs="Arial" w:eastAsia="Arial" w:hAnsi="Arial"/>
          <w:sz w:val="19"/>
          <w:szCs w:val="19"/>
          <w:b w:val="1"/>
          <w:bCs w:val="1"/>
          <w:color w:val="auto"/>
        </w:rPr>
        <w:t>Washington, D.C. 20549</w:t>
      </w:r>
    </w:p>
    <w:p>
      <w:pPr>
        <w:spacing w:after="0" w:line="156" w:lineRule="exact"/>
        <w:rPr>
          <w:sz w:val="24"/>
          <w:szCs w:val="24"/>
          <w:color w:val="auto"/>
        </w:rPr>
      </w:pPr>
    </w:p>
    <w:p>
      <w:pPr>
        <w:ind w:left="5004"/>
        <w:spacing w:after="0"/>
        <w:rPr>
          <w:sz w:val="20"/>
          <w:szCs w:val="20"/>
          <w:color w:val="auto"/>
        </w:rPr>
      </w:pPr>
      <w:r>
        <w:rPr>
          <w:rFonts w:ascii="Arial" w:cs="Arial" w:eastAsia="Arial" w:hAnsi="Arial"/>
          <w:sz w:val="29"/>
          <w:szCs w:val="29"/>
          <w:b w:val="1"/>
          <w:bCs w:val="1"/>
          <w:color w:val="auto"/>
        </w:rPr>
        <w:t>FORM 8-K</w:t>
      </w:r>
    </w:p>
    <w:p>
      <w:pPr>
        <w:spacing w:after="0" w:line="203" w:lineRule="exact"/>
        <w:rPr>
          <w:sz w:val="24"/>
          <w:szCs w:val="24"/>
          <w:color w:val="auto"/>
        </w:rPr>
      </w:pPr>
    </w:p>
    <w:p>
      <w:pPr>
        <w:jc w:val="center"/>
        <w:ind w:right="-623"/>
        <w:spacing w:after="0"/>
        <w:rPr>
          <w:sz w:val="20"/>
          <w:szCs w:val="20"/>
          <w:color w:val="auto"/>
        </w:rPr>
      </w:pPr>
      <w:r>
        <w:rPr>
          <w:rFonts w:ascii="Arial" w:cs="Arial" w:eastAsia="Arial" w:hAnsi="Arial"/>
          <w:sz w:val="16"/>
          <w:szCs w:val="16"/>
          <w:b w:val="1"/>
          <w:bCs w:val="1"/>
          <w:color w:val="auto"/>
        </w:rPr>
        <w:t>CURRENT REPORT</w:t>
      </w:r>
    </w:p>
    <w:p>
      <w:pPr>
        <w:spacing w:after="0" w:line="200" w:lineRule="exact"/>
        <w:rPr>
          <w:sz w:val="24"/>
          <w:szCs w:val="24"/>
          <w:color w:val="auto"/>
        </w:rPr>
      </w:pPr>
    </w:p>
    <w:p>
      <w:pPr>
        <w:jc w:val="center"/>
        <w:ind w:right="-623"/>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0" w:lineRule="exact"/>
        <w:rPr>
          <w:sz w:val="24"/>
          <w:szCs w:val="24"/>
          <w:color w:val="auto"/>
        </w:rPr>
      </w:pPr>
    </w:p>
    <w:p>
      <w:pPr>
        <w:jc w:val="center"/>
        <w:ind w:right="-623"/>
        <w:spacing w:after="0"/>
        <w:rPr>
          <w:sz w:val="20"/>
          <w:szCs w:val="20"/>
          <w:color w:val="auto"/>
        </w:rPr>
      </w:pPr>
      <w:r>
        <w:rPr>
          <w:rFonts w:ascii="Arial" w:cs="Arial" w:eastAsia="Arial" w:hAnsi="Arial"/>
          <w:sz w:val="16"/>
          <w:szCs w:val="16"/>
          <w:b w:val="1"/>
          <w:bCs w:val="1"/>
          <w:color w:val="auto"/>
        </w:rPr>
        <w:t>Date of Report (Date of earliest event reported): March 3, 2016</w:t>
      </w:r>
    </w:p>
    <w:p>
      <w:pPr>
        <w:spacing w:after="0" w:line="180" w:lineRule="exact"/>
        <w:rPr>
          <w:sz w:val="24"/>
          <w:szCs w:val="24"/>
          <w:color w:val="auto"/>
        </w:rPr>
      </w:pPr>
    </w:p>
    <w:p>
      <w:pPr>
        <w:jc w:val="center"/>
        <w:ind w:right="-623"/>
        <w:spacing w:after="0"/>
        <w:rPr>
          <w:sz w:val="20"/>
          <w:szCs w:val="20"/>
          <w:color w:val="auto"/>
        </w:rPr>
      </w:pPr>
      <w:r>
        <w:rPr>
          <w:rFonts w:ascii="Arial" w:cs="Arial" w:eastAsia="Arial" w:hAnsi="Arial"/>
          <w:sz w:val="29"/>
          <w:szCs w:val="29"/>
          <w:b w:val="1"/>
          <w:bCs w:val="1"/>
          <w:color w:val="auto"/>
        </w:rPr>
        <w:t>IMPRIMIS PHARMACEUTICALS, INC.</w:t>
      </w:r>
    </w:p>
    <w:p>
      <w:pPr>
        <w:spacing w:after="0" w:line="29" w:lineRule="exact"/>
        <w:rPr>
          <w:sz w:val="24"/>
          <w:szCs w:val="24"/>
          <w:color w:val="auto"/>
        </w:rPr>
      </w:pPr>
    </w:p>
    <w:p>
      <w:pPr>
        <w:ind w:left="4064"/>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0804"/>
          </w:cols>
          <w:pgMar w:left="236" w:top="679" w:right="859" w:bottom="1440" w:gutter="0" w:footer="0" w:header="0"/>
        </w:sectPr>
      </w:pPr>
    </w:p>
    <w:p>
      <w:pPr>
        <w:spacing w:after="0" w:line="182"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5" w:lineRule="exact"/>
        <w:rPr>
          <w:sz w:val="24"/>
          <w:szCs w:val="24"/>
          <w:color w:val="auto"/>
        </w:rPr>
      </w:pPr>
    </w:p>
    <w:p>
      <w:pPr>
        <w:ind w:left="984"/>
        <w:spacing w:after="0"/>
        <w:rPr>
          <w:sz w:val="20"/>
          <w:szCs w:val="20"/>
          <w:color w:val="auto"/>
        </w:rPr>
      </w:pPr>
      <w:r>
        <w:rPr>
          <w:rFonts w:ascii="Arial" w:cs="Arial" w:eastAsia="Arial" w:hAnsi="Arial"/>
          <w:sz w:val="14"/>
          <w:szCs w:val="14"/>
          <w:color w:val="auto"/>
        </w:rPr>
        <w:t>(State or other jurisdiction</w:t>
      </w:r>
    </w:p>
    <w:p>
      <w:pPr>
        <w:spacing w:after="0" w:line="31" w:lineRule="exact"/>
        <w:rPr>
          <w:sz w:val="24"/>
          <w:szCs w:val="24"/>
          <w:color w:val="auto"/>
        </w:rPr>
      </w:pPr>
    </w:p>
    <w:p>
      <w:pPr>
        <w:ind w:left="1284"/>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ind w:left="100"/>
        <w:spacing w:after="0"/>
        <w:rPr>
          <w:sz w:val="20"/>
          <w:szCs w:val="20"/>
          <w:color w:val="auto"/>
        </w:rPr>
      </w:pPr>
      <w:r>
        <w:rPr>
          <w:rFonts w:ascii="Arial" w:cs="Arial" w:eastAsia="Arial" w:hAnsi="Arial"/>
          <w:sz w:val="16"/>
          <w:szCs w:val="16"/>
          <w:b w:val="1"/>
          <w:bCs w:val="1"/>
          <w:color w:val="auto"/>
        </w:rPr>
        <w:t>001-35814</w:t>
      </w:r>
    </w:p>
    <w:p>
      <w:pPr>
        <w:spacing w:after="0" w:line="25" w:lineRule="exact"/>
        <w:rPr>
          <w:sz w:val="24"/>
          <w:szCs w:val="24"/>
          <w:color w:val="auto"/>
        </w:rPr>
      </w:pPr>
    </w:p>
    <w:p>
      <w:pPr>
        <w:spacing w:after="0"/>
        <w:rPr>
          <w:sz w:val="20"/>
          <w:szCs w:val="20"/>
          <w:color w:val="auto"/>
        </w:rPr>
      </w:pPr>
      <w:r>
        <w:rPr>
          <w:rFonts w:ascii="Arial" w:cs="Arial" w:eastAsia="Arial" w:hAnsi="Arial"/>
          <w:sz w:val="15"/>
          <w:szCs w:val="15"/>
          <w:color w:val="auto"/>
        </w:rPr>
        <w:t>(Commission</w:t>
      </w:r>
    </w:p>
    <w:p>
      <w:pPr>
        <w:spacing w:after="0" w:line="20" w:lineRule="exact"/>
        <w:rPr>
          <w:sz w:val="24"/>
          <w:szCs w:val="24"/>
          <w:color w:val="auto"/>
        </w:rPr>
      </w:pPr>
    </w:p>
    <w:p>
      <w:pPr>
        <w:ind w:left="20"/>
        <w:spacing w:after="0"/>
        <w:rPr>
          <w:sz w:val="20"/>
          <w:szCs w:val="20"/>
          <w:color w:val="auto"/>
        </w:rPr>
      </w:pPr>
      <w:r>
        <w:rPr>
          <w:rFonts w:ascii="Arial" w:cs="Arial" w:eastAsia="Arial" w:hAnsi="Arial"/>
          <w:sz w:val="14"/>
          <w:szCs w:val="14"/>
          <w:color w:val="auto"/>
        </w:rPr>
        <w:t>File Number)</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ind w:left="200"/>
        <w:spacing w:after="0"/>
        <w:rPr>
          <w:sz w:val="20"/>
          <w:szCs w:val="20"/>
          <w:color w:val="auto"/>
        </w:rPr>
      </w:pPr>
      <w:r>
        <w:rPr>
          <w:rFonts w:ascii="Arial" w:cs="Arial" w:eastAsia="Arial" w:hAnsi="Arial"/>
          <w:sz w:val="16"/>
          <w:szCs w:val="16"/>
          <w:b w:val="1"/>
          <w:bCs w:val="1"/>
          <w:color w:val="auto"/>
        </w:rPr>
        <w:t>45-0567010</w:t>
      </w:r>
    </w:p>
    <w:p>
      <w:pPr>
        <w:spacing w:after="0" w:line="25" w:lineRule="exact"/>
        <w:rPr>
          <w:sz w:val="24"/>
          <w:szCs w:val="24"/>
          <w:color w:val="auto"/>
        </w:rPr>
      </w:pPr>
    </w:p>
    <w:p>
      <w:pPr>
        <w:ind w:left="80"/>
        <w:spacing w:after="0"/>
        <w:rPr>
          <w:sz w:val="20"/>
          <w:szCs w:val="20"/>
          <w:color w:val="auto"/>
        </w:rPr>
      </w:pPr>
      <w:r>
        <w:rPr>
          <w:rFonts w:ascii="Arial" w:cs="Arial" w:eastAsia="Arial" w:hAnsi="Arial"/>
          <w:sz w:val="16"/>
          <w:szCs w:val="16"/>
          <w:color w:val="auto"/>
        </w:rPr>
        <w:t>(IRS Employer</w:t>
      </w:r>
    </w:p>
    <w:p>
      <w:pPr>
        <w:spacing w:after="0" w:line="8"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195" w:lineRule="exact"/>
        <w:rPr>
          <w:sz w:val="24"/>
          <w:szCs w:val="24"/>
          <w:color w:val="auto"/>
        </w:rPr>
      </w:pPr>
    </w:p>
    <w:p>
      <w:pPr>
        <w:sectPr>
          <w:pgSz w:w="11900" w:h="16838" w:orient="portrait"/>
          <w:cols w:equalWidth="0" w:num="3">
            <w:col w:w="4564" w:space="720"/>
            <w:col w:w="3020" w:space="720"/>
            <w:col w:w="1780"/>
          </w:cols>
          <w:pgMar w:left="236" w:top="679" w:right="859" w:bottom="1440" w:gutter="0" w:footer="0" w:header="0"/>
          <w:type w:val="continuous"/>
        </w:sectPr>
      </w:pPr>
    </w:p>
    <w:p>
      <w:pPr>
        <w:jc w:val="center"/>
        <w:ind w:right="1936"/>
        <w:spacing w:after="0"/>
        <w:rPr>
          <w:sz w:val="20"/>
          <w:szCs w:val="20"/>
          <w:color w:val="auto"/>
        </w:rPr>
      </w:pPr>
      <w:r>
        <w:rPr>
          <w:rFonts w:ascii="Arial" w:cs="Arial" w:eastAsia="Arial" w:hAnsi="Arial"/>
          <w:sz w:val="16"/>
          <w:szCs w:val="16"/>
          <w:b w:val="1"/>
          <w:bCs w:val="1"/>
          <w:color w:val="auto"/>
        </w:rPr>
        <w:t>12264 El Camino Real, Suite 350</w:t>
      </w:r>
    </w:p>
    <w:p>
      <w:pPr>
        <w:spacing w:after="0" w:line="25" w:lineRule="exact"/>
        <w:rPr>
          <w:sz w:val="24"/>
          <w:szCs w:val="24"/>
          <w:color w:val="auto"/>
        </w:rPr>
      </w:pPr>
    </w:p>
    <w:p>
      <w:pPr>
        <w:jc w:val="center"/>
        <w:ind w:right="1936"/>
        <w:spacing w:after="0"/>
        <w:rPr>
          <w:sz w:val="20"/>
          <w:szCs w:val="20"/>
          <w:color w:val="auto"/>
        </w:rPr>
      </w:pPr>
      <w:r>
        <w:rPr>
          <w:rFonts w:ascii="Arial" w:cs="Arial" w:eastAsia="Arial" w:hAnsi="Arial"/>
          <w:sz w:val="16"/>
          <w:szCs w:val="16"/>
          <w:b w:val="1"/>
          <w:bCs w:val="1"/>
          <w:color w:val="auto"/>
        </w:rPr>
        <w:t>San Diego, CA</w:t>
      </w:r>
    </w:p>
    <w:p>
      <w:pPr>
        <w:spacing w:after="0" w:line="8" w:lineRule="exact"/>
        <w:rPr>
          <w:sz w:val="24"/>
          <w:szCs w:val="24"/>
          <w:color w:val="auto"/>
        </w:rPr>
      </w:pPr>
    </w:p>
    <w:p>
      <w:pPr>
        <w:jc w:val="center"/>
        <w:ind w:right="1936"/>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1820"/>
        <w:spacing w:after="0"/>
        <w:rPr>
          <w:sz w:val="20"/>
          <w:szCs w:val="20"/>
          <w:color w:val="auto"/>
        </w:rPr>
      </w:pPr>
      <w:r>
        <w:rPr>
          <w:rFonts w:ascii="Arial" w:cs="Arial" w:eastAsia="Arial" w:hAnsi="Arial"/>
          <w:sz w:val="16"/>
          <w:szCs w:val="16"/>
          <w:b w:val="1"/>
          <w:bCs w:val="1"/>
          <w:color w:val="auto"/>
        </w:rPr>
        <w:t>92130</w:t>
      </w:r>
    </w:p>
    <w:p>
      <w:pPr>
        <w:spacing w:after="0" w:line="25" w:lineRule="exact"/>
        <w:rPr>
          <w:sz w:val="24"/>
          <w:szCs w:val="24"/>
          <w:color w:val="auto"/>
        </w:rPr>
      </w:pPr>
    </w:p>
    <w:p>
      <w:pPr>
        <w:jc w:val="center"/>
        <w:ind w:right="1820"/>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564" w:space="720"/>
            <w:col w:w="2520"/>
          </w:cols>
          <w:pgMar w:left="236" w:top="679" w:right="859" w:bottom="1440" w:gutter="0" w:footer="0" w:header="0"/>
          <w:type w:val="continuous"/>
        </w:sectPr>
      </w:pPr>
    </w:p>
    <w:p>
      <w:pPr>
        <w:spacing w:after="0" w:line="7" w:lineRule="exact"/>
        <w:rPr>
          <w:sz w:val="24"/>
          <w:szCs w:val="24"/>
          <w:color w:val="auto"/>
        </w:rPr>
      </w:pPr>
    </w:p>
    <w:p>
      <w:pPr>
        <w:jc w:val="center"/>
        <w:ind w:right="-643"/>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(858) 704-4040</w:t>
      </w:r>
    </w:p>
    <w:p>
      <w:pPr>
        <w:spacing w:after="0" w:line="200" w:lineRule="exact"/>
        <w:rPr>
          <w:sz w:val="24"/>
          <w:szCs w:val="24"/>
          <w:color w:val="auto"/>
        </w:rPr>
      </w:pPr>
    </w:p>
    <w:p>
      <w:pPr>
        <w:jc w:val="center"/>
        <w:ind w:right="-643"/>
        <w:spacing w:after="0"/>
        <w:rPr>
          <w:sz w:val="20"/>
          <w:szCs w:val="20"/>
          <w:color w:val="auto"/>
        </w:rPr>
      </w:pPr>
      <w:r>
        <w:rPr>
          <w:rFonts w:ascii="Arial" w:cs="Arial" w:eastAsia="Arial" w:hAnsi="Arial"/>
          <w:sz w:val="16"/>
          <w:szCs w:val="16"/>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1815465</wp:posOffset>
            </wp:positionH>
            <wp:positionV relativeFrom="paragraph">
              <wp:posOffset>23495</wp:posOffset>
            </wp:positionV>
            <wp:extent cx="363093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30930" cy="15240"/>
                    </a:xfrm>
                    <a:prstGeom prst="rect">
                      <a:avLst/>
                    </a:prstGeom>
                    <a:noFill/>
                  </pic:spPr>
                </pic:pic>
              </a:graphicData>
            </a:graphic>
          </wp:anchor>
        </w:drawing>
      </w:r>
    </w:p>
    <w:p>
      <w:pPr>
        <w:spacing w:after="0" w:line="28" w:lineRule="exact"/>
        <w:rPr>
          <w:sz w:val="24"/>
          <w:szCs w:val="24"/>
          <w:color w:val="auto"/>
        </w:rPr>
      </w:pPr>
    </w:p>
    <w:p>
      <w:pPr>
        <w:jc w:val="center"/>
        <w:ind w:right="-643"/>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0" w:lineRule="exact"/>
        <w:rPr>
          <w:sz w:val="24"/>
          <w:szCs w:val="24"/>
          <w:color w:val="auto"/>
        </w:rPr>
      </w:pPr>
    </w:p>
    <w:p>
      <w:pPr>
        <w:ind w:left="4"/>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23" w:lineRule="exact"/>
        <w:rPr>
          <w:sz w:val="24"/>
          <w:szCs w:val="24"/>
          <w:color w:val="auto"/>
        </w:rPr>
      </w:pPr>
    </w:p>
    <w:p>
      <w:pPr>
        <w:ind w:left="124" w:hanging="124"/>
        <w:spacing w:after="0"/>
        <w:tabs>
          <w:tab w:leader="none" w:pos="124" w:val="left"/>
        </w:tabs>
        <w:numPr>
          <w:ilvl w:val="0"/>
          <w:numId w:val="1"/>
        </w:numPr>
        <w:rPr>
          <w:rFonts w:ascii="Arial" w:cs="Arial" w:eastAsia="Arial" w:hAnsi="Arial"/>
          <w:sz w:val="16"/>
          <w:szCs w:val="16"/>
          <w:color w:val="auto"/>
        </w:rPr>
      </w:pPr>
      <w:r>
        <w:rPr>
          <w:rFonts w:ascii="Arial" w:cs="Arial" w:eastAsia="Arial" w:hAnsi="Arial"/>
          <w:sz w:val="16"/>
          <w:szCs w:val="16"/>
          <w:color w:val="auto"/>
        </w:rPr>
        <w:t>] Written communications pursuant to Rule 425 under the Securities Act (17 CFR 230.425)</w:t>
      </w:r>
    </w:p>
    <w:p>
      <w:pPr>
        <w:spacing w:after="0" w:line="200" w:lineRule="exact"/>
        <w:rPr>
          <w:rFonts w:ascii="Arial" w:cs="Arial" w:eastAsia="Arial" w:hAnsi="Arial"/>
          <w:sz w:val="16"/>
          <w:szCs w:val="16"/>
          <w:color w:val="auto"/>
        </w:rPr>
      </w:pPr>
    </w:p>
    <w:p>
      <w:pPr>
        <w:ind w:left="124" w:hanging="124"/>
        <w:spacing w:after="0"/>
        <w:tabs>
          <w:tab w:leader="none" w:pos="124" w:val="left"/>
        </w:tabs>
        <w:numPr>
          <w:ilvl w:val="0"/>
          <w:numId w:val="1"/>
        </w:numPr>
        <w:rPr>
          <w:rFonts w:ascii="Arial" w:cs="Arial" w:eastAsia="Arial" w:hAnsi="Arial"/>
          <w:sz w:val="16"/>
          <w:szCs w:val="16"/>
          <w:color w:val="auto"/>
        </w:rPr>
      </w:pPr>
      <w:r>
        <w:rPr>
          <w:rFonts w:ascii="Arial" w:cs="Arial" w:eastAsia="Arial" w:hAnsi="Arial"/>
          <w:sz w:val="16"/>
          <w:szCs w:val="16"/>
          <w:color w:val="auto"/>
        </w:rPr>
        <w:t>] Soliciting material pursuant to Rule 14a-12 under the Exchange Act (17 CFR 240.14a-12)</w:t>
      </w:r>
    </w:p>
    <w:p>
      <w:pPr>
        <w:spacing w:after="0" w:line="200" w:lineRule="exact"/>
        <w:rPr>
          <w:rFonts w:ascii="Arial" w:cs="Arial" w:eastAsia="Arial" w:hAnsi="Arial"/>
          <w:sz w:val="16"/>
          <w:szCs w:val="16"/>
          <w:color w:val="auto"/>
        </w:rPr>
      </w:pPr>
    </w:p>
    <w:p>
      <w:pPr>
        <w:ind w:left="124" w:hanging="124"/>
        <w:spacing w:after="0"/>
        <w:tabs>
          <w:tab w:leader="none" w:pos="124" w:val="left"/>
        </w:tabs>
        <w:numPr>
          <w:ilvl w:val="0"/>
          <w:numId w:val="1"/>
        </w:numPr>
        <w:rPr>
          <w:rFonts w:ascii="Arial" w:cs="Arial" w:eastAsia="Arial" w:hAnsi="Arial"/>
          <w:sz w:val="16"/>
          <w:szCs w:val="16"/>
          <w:color w:val="auto"/>
        </w:rPr>
      </w:pPr>
      <w:r>
        <w:rPr>
          <w:rFonts w:ascii="Arial" w:cs="Arial" w:eastAsia="Arial" w:hAnsi="Arial"/>
          <w:sz w:val="16"/>
          <w:szCs w:val="16"/>
          <w:color w:val="auto"/>
        </w:rPr>
        <w:t>] Pre-commencement communications pursuant to Rule 14d-2(b) under the Exchange Act (17 CFR 240.14d-2(b))</w:t>
      </w:r>
    </w:p>
    <w:p>
      <w:pPr>
        <w:spacing w:after="0" w:line="200" w:lineRule="exact"/>
        <w:rPr>
          <w:rFonts w:ascii="Arial" w:cs="Arial" w:eastAsia="Arial" w:hAnsi="Arial"/>
          <w:sz w:val="16"/>
          <w:szCs w:val="16"/>
          <w:color w:val="auto"/>
        </w:rPr>
      </w:pPr>
    </w:p>
    <w:p>
      <w:pPr>
        <w:ind w:left="124" w:hanging="124"/>
        <w:spacing w:after="0"/>
        <w:tabs>
          <w:tab w:leader="none" w:pos="124" w:val="left"/>
        </w:tabs>
        <w:numPr>
          <w:ilvl w:val="0"/>
          <w:numId w:val="1"/>
        </w:numPr>
        <w:rPr>
          <w:rFonts w:ascii="Arial" w:cs="Arial" w:eastAsia="Arial" w:hAnsi="Arial"/>
          <w:sz w:val="16"/>
          <w:szCs w:val="16"/>
          <w:color w:val="auto"/>
        </w:rPr>
      </w:pPr>
      <w:r>
        <w:rPr>
          <w:rFonts w:ascii="Arial" w:cs="Arial" w:eastAsia="Arial" w:hAnsi="Arial"/>
          <w:sz w:val="16"/>
          <w:szCs w:val="16"/>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6186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165735</wp:posOffset>
            </wp:positionV>
            <wp:extent cx="726186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1860"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447675</wp:posOffset>
            </wp:positionV>
            <wp:extent cx="726186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804"/>
          </w:cols>
          <w:pgMar w:left="236" w:top="679" w:right="859" w:bottom="1440" w:gutter="0" w:footer="0" w:header="0"/>
          <w:type w:val="continuous"/>
        </w:sectPr>
      </w:pPr>
    </w:p>
    <w:bookmarkStart w:id="1" w:name="page2"/>
    <w:bookmarkEnd w:id="1"/>
    <w:p>
      <w:pPr>
        <w:ind w:left="4"/>
        <w:spacing w:after="0"/>
        <w:tabs>
          <w:tab w:leader="none" w:pos="844" w:val="left"/>
        </w:tabs>
        <w:rPr>
          <w:sz w:val="20"/>
          <w:szCs w:val="20"/>
          <w:color w:val="auto"/>
        </w:rPr>
      </w:pPr>
      <w:r>
        <w:rPr>
          <w:rFonts w:ascii="Arial" w:cs="Arial" w:eastAsia="Arial" w:hAnsi="Arial"/>
          <w:sz w:val="16"/>
          <w:szCs w:val="16"/>
          <w:b w:val="1"/>
          <w:bCs w:val="1"/>
          <w:color w:val="auto"/>
        </w:rPr>
        <w:t>Item 2.02</w:t>
      </w:r>
      <w:r>
        <w:rPr>
          <w:sz w:val="20"/>
          <w:szCs w:val="20"/>
          <w:color w:val="auto"/>
        </w:rPr>
        <w:tab/>
      </w:r>
      <w:r>
        <w:rPr>
          <w:rFonts w:ascii="Arial" w:cs="Arial" w:eastAsia="Arial" w:hAnsi="Arial"/>
          <w:sz w:val="14"/>
          <w:szCs w:val="14"/>
          <w:b w:val="1"/>
          <w:bCs w:val="1"/>
          <w:color w:val="auto"/>
        </w:rPr>
        <w:t>Results of Operations and Financial Condition</w:t>
      </w:r>
    </w:p>
    <w:p>
      <w:pPr>
        <w:spacing w:after="0" w:line="204" w:lineRule="exact"/>
        <w:rPr>
          <w:sz w:val="20"/>
          <w:szCs w:val="20"/>
          <w:color w:val="auto"/>
        </w:rPr>
      </w:pPr>
    </w:p>
    <w:p>
      <w:pPr>
        <w:jc w:val="both"/>
        <w:ind w:left="4" w:right="20" w:firstLine="577"/>
        <w:spacing w:after="0" w:line="277" w:lineRule="auto"/>
        <w:rPr>
          <w:sz w:val="20"/>
          <w:szCs w:val="20"/>
          <w:color w:val="auto"/>
        </w:rPr>
      </w:pPr>
      <w:r>
        <w:rPr>
          <w:rFonts w:ascii="Arial" w:cs="Arial" w:eastAsia="Arial" w:hAnsi="Arial"/>
          <w:sz w:val="16"/>
          <w:szCs w:val="16"/>
          <w:color w:val="auto"/>
        </w:rPr>
        <w:t>On March 3, 2016, Imprimis Pharmaceuticals, Inc. (the “Company”) issued a press release announcing certain preliminary unaudited results for the quarter and year ended December 31, 2015. The press release is being furnished as Exhibit 99.1 to this Current Report on Form 8-K.</w:t>
      </w:r>
    </w:p>
    <w:p>
      <w:pPr>
        <w:spacing w:after="0" w:line="152" w:lineRule="exact"/>
        <w:rPr>
          <w:sz w:val="20"/>
          <w:szCs w:val="20"/>
          <w:color w:val="auto"/>
        </w:rPr>
      </w:pPr>
    </w:p>
    <w:p>
      <w:pPr>
        <w:jc w:val="both"/>
        <w:ind w:left="4" w:right="20" w:firstLine="577"/>
        <w:spacing w:after="0" w:line="259" w:lineRule="auto"/>
        <w:rPr>
          <w:sz w:val="20"/>
          <w:szCs w:val="20"/>
          <w:color w:val="auto"/>
        </w:rPr>
      </w:pPr>
      <w:r>
        <w:rPr>
          <w:rFonts w:ascii="Arial" w:cs="Arial" w:eastAsia="Arial" w:hAnsi="Arial"/>
          <w:sz w:val="16"/>
          <w:szCs w:val="16"/>
          <w:color w:val="auto"/>
        </w:rPr>
        <w:t>The information furnished under this Item 2.02 of this Current Report on Form 8-K, including Exhibit 99.1, shall not be deemed to be “filed” for the purposes of Section 18 of the Securities Exchange Act of 1934, as amended (the “Exchange Act”), or otherwise subject to the liabilities of that Section. The information in this Item 2.02, including Exhibit 99.1,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67" w:lineRule="exact"/>
        <w:rPr>
          <w:sz w:val="20"/>
          <w:szCs w:val="20"/>
          <w:color w:val="auto"/>
        </w:rPr>
      </w:pPr>
    </w:p>
    <w:p>
      <w:pPr>
        <w:jc w:val="both"/>
        <w:ind w:left="4" w:right="20" w:firstLine="577"/>
        <w:spacing w:after="0" w:line="264" w:lineRule="auto"/>
        <w:rPr>
          <w:sz w:val="20"/>
          <w:szCs w:val="20"/>
          <w:color w:val="auto"/>
        </w:rPr>
      </w:pPr>
      <w:r>
        <w:rPr>
          <w:rFonts w:ascii="Arial" w:cs="Arial" w:eastAsia="Arial" w:hAnsi="Arial"/>
          <w:sz w:val="16"/>
          <w:szCs w:val="16"/>
          <w:color w:val="auto"/>
        </w:rPr>
        <w:t>The information furnished under this Item 2.02 of this Current Report on Form 8-K, including Exhibit 99.1,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58" w:lineRule="exact"/>
        <w:rPr>
          <w:sz w:val="20"/>
          <w:szCs w:val="20"/>
          <w:color w:val="auto"/>
        </w:rPr>
      </w:pPr>
    </w:p>
    <w:p>
      <w:pPr>
        <w:ind w:left="4"/>
        <w:spacing w:after="0"/>
        <w:tabs>
          <w:tab w:leader="none" w:pos="844" w:val="left"/>
        </w:tabs>
        <w:rPr>
          <w:sz w:val="20"/>
          <w:szCs w:val="20"/>
          <w:color w:val="auto"/>
        </w:rPr>
      </w:pPr>
      <w:r>
        <w:rPr>
          <w:rFonts w:ascii="Arial" w:cs="Arial" w:eastAsia="Arial" w:hAnsi="Arial"/>
          <w:sz w:val="16"/>
          <w:szCs w:val="16"/>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204"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Attached as Exhibit 99.2 to this Item 7.01 is a presentation that is being used by the management of Imprimis Pharmaceuticals, Inc. (the “Company”) at investor conferences and at meetings describing the Company.</w:t>
      </w:r>
    </w:p>
    <w:p>
      <w:pPr>
        <w:spacing w:after="0" w:line="152" w:lineRule="exact"/>
        <w:rPr>
          <w:sz w:val="20"/>
          <w:szCs w:val="20"/>
          <w:color w:val="auto"/>
        </w:rPr>
      </w:pPr>
    </w:p>
    <w:p>
      <w:pPr>
        <w:jc w:val="both"/>
        <w:ind w:left="4" w:right="20"/>
        <w:spacing w:after="0" w:line="264" w:lineRule="auto"/>
        <w:rPr>
          <w:sz w:val="20"/>
          <w:szCs w:val="20"/>
          <w:color w:val="auto"/>
        </w:rPr>
      </w:pPr>
      <w:r>
        <w:rPr>
          <w:rFonts w:ascii="Arial" w:cs="Arial" w:eastAsia="Arial" w:hAnsi="Arial"/>
          <w:sz w:val="16"/>
          <w:szCs w:val="16"/>
          <w:color w:val="auto"/>
        </w:rPr>
        <w:t>The information contained in Item 7.01 of this report and in Exhibit 99.2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58" w:lineRule="exact"/>
        <w:rPr>
          <w:sz w:val="20"/>
          <w:szCs w:val="20"/>
          <w:color w:val="auto"/>
        </w:rPr>
      </w:pPr>
    </w:p>
    <w:p>
      <w:pPr>
        <w:ind w:left="4"/>
        <w:spacing w:after="0"/>
        <w:tabs>
          <w:tab w:leader="none" w:pos="844"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200" w:lineRule="exact"/>
        <w:rPr>
          <w:sz w:val="20"/>
          <w:szCs w:val="20"/>
          <w:color w:val="auto"/>
        </w:rPr>
      </w:pPr>
    </w:p>
    <w:p>
      <w:pPr>
        <w:ind w:left="584" w:hanging="584"/>
        <w:spacing w:after="0"/>
        <w:tabs>
          <w:tab w:leader="none" w:pos="584"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Exhibits</w:t>
      </w:r>
    </w:p>
    <w:p>
      <w:pPr>
        <w:spacing w:after="0" w:line="204" w:lineRule="exact"/>
        <w:rPr>
          <w:sz w:val="20"/>
          <w:szCs w:val="20"/>
          <w:color w:val="auto"/>
        </w:rPr>
      </w:pPr>
    </w:p>
    <w:p>
      <w:pPr>
        <w:ind w:left="4"/>
        <w:spacing w:after="0"/>
        <w:tabs>
          <w:tab w:leader="none" w:pos="564"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4"/>
          <w:szCs w:val="14"/>
          <w:color w:val="auto"/>
        </w:rPr>
        <w:t>Press release dated March 3, 2016 issued by Imprimis Pharmaceuticals, Inc.</w:t>
      </w:r>
    </w:p>
    <w:p>
      <w:pPr>
        <w:spacing w:after="0" w:line="200" w:lineRule="exact"/>
        <w:rPr>
          <w:sz w:val="20"/>
          <w:szCs w:val="20"/>
          <w:color w:val="auto"/>
        </w:rPr>
      </w:pPr>
    </w:p>
    <w:p>
      <w:pPr>
        <w:ind w:left="4"/>
        <w:spacing w:after="0"/>
        <w:tabs>
          <w:tab w:leader="none" w:pos="564" w:val="left"/>
        </w:tabs>
        <w:rPr>
          <w:sz w:val="20"/>
          <w:szCs w:val="20"/>
          <w:color w:val="auto"/>
        </w:rPr>
      </w:pPr>
      <w:r>
        <w:rPr>
          <w:rFonts w:ascii="Arial" w:cs="Arial" w:eastAsia="Arial" w:hAnsi="Arial"/>
          <w:sz w:val="16"/>
          <w:szCs w:val="16"/>
          <w:color w:val="auto"/>
        </w:rPr>
        <w:t>99.2</w:t>
      </w:r>
      <w:r>
        <w:rPr>
          <w:sz w:val="20"/>
          <w:szCs w:val="20"/>
          <w:color w:val="auto"/>
        </w:rPr>
        <w:tab/>
      </w:r>
      <w:r>
        <w:rPr>
          <w:rFonts w:ascii="Arial" w:cs="Arial" w:eastAsia="Arial" w:hAnsi="Arial"/>
          <w:sz w:val="14"/>
          <w:szCs w:val="14"/>
          <w:color w:val="auto"/>
        </w:rPr>
        <w:t>Company presentation dated March 2016</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204" w:lineRule="exact"/>
        <w:rPr>
          <w:sz w:val="20"/>
          <w:szCs w:val="20"/>
          <w:color w:val="auto"/>
        </w:rPr>
      </w:pPr>
    </w:p>
    <w:p>
      <w:pPr>
        <w:jc w:val="both"/>
        <w:ind w:left="4"/>
        <w:spacing w:after="0" w:line="293" w:lineRule="auto"/>
        <w:rPr>
          <w:sz w:val="20"/>
          <w:szCs w:val="20"/>
          <w:color w:val="auto"/>
        </w:rPr>
      </w:pPr>
      <w:r>
        <w:rPr>
          <w:rFonts w:ascii="Arial" w:cs="Arial" w:eastAsia="Arial" w:hAnsi="Arial"/>
          <w:sz w:val="14"/>
          <w:szCs w:val="14"/>
          <w:color w:val="auto"/>
        </w:rPr>
        <w:t>This Current Report on Form 8-K, including the exhibits filed herewith, contains certain forward-looking statements about the Company’s estimated 2015 financial results, anticipated 2016 performance and its plans to upgrade and construct new pharmacy facilities and register these facilities as outsourcing facilities. Actual events or results may differ materially from those contained in these forward-looking statements. Among the important factors that could cause future events or results to vary from those expressed or implied by the forward-looking statements include, among others, the possibility that the Company’s 2015 financial results will differ materially from its preliminary estimates upon completion and audit of its financial statements; delays or other difficulties associated with the construction and upgrade of the Company’s pharmacy facilities; delays or failures in the Company’s efforts to register certain of its pharmacy facilities as outsourcing facilities; and general regulatory developments impacting compounding pharmacies, outsourcing facilities and the pharmaceutical industry. In addition, please refer to the documents that the Company files with the Securities and Exchange Commission on Forms 10-K, 10-Q and 8-K, which identify and address other important factors that could cause events and results to differ materially from those expressed or implied by the forward-looking statements set forth in this Current Report on Form 8-K, including the exhibits filed herewith, and in the Company’s other filings. The Company is under no duty to update any of the forward-looking statements after the date of this Current Report on Form 8-K to conform to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224155</wp:posOffset>
            </wp:positionV>
            <wp:extent cx="726186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627"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04"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60" w:type="dxa"/>
            <w:vAlign w:val="bottom"/>
          </w:tcPr>
          <w:p>
            <w:pPr>
              <w:spacing w:after="0"/>
              <w:rPr>
                <w:sz w:val="18"/>
                <w:szCs w:val="18"/>
                <w:color w:val="auto"/>
              </w:rPr>
            </w:pPr>
          </w:p>
        </w:tc>
        <w:tc>
          <w:tcPr>
            <w:tcW w:w="7880" w:type="dxa"/>
            <w:vAlign w:val="bottom"/>
            <w:gridSpan w:val="2"/>
          </w:tcPr>
          <w:p>
            <w:pPr>
              <w:ind w:left="2160"/>
              <w:spacing w:after="0"/>
              <w:rPr>
                <w:sz w:val="20"/>
                <w:szCs w:val="20"/>
                <w:color w:val="auto"/>
              </w:rPr>
            </w:pPr>
            <w:r>
              <w:rPr>
                <w:rFonts w:ascii="Arial" w:cs="Arial" w:eastAsia="Arial" w:hAnsi="Arial"/>
                <w:sz w:val="16"/>
                <w:szCs w:val="16"/>
                <w:b w:val="1"/>
                <w:bCs w:val="1"/>
                <w:color w:val="auto"/>
              </w:rPr>
              <w:t>IMPRIMIS PHARMACEUTICALS, INC.</w:t>
            </w:r>
          </w:p>
        </w:tc>
      </w:tr>
      <w:tr>
        <w:trPr>
          <w:trHeight w:val="388"/>
        </w:trPr>
        <w:tc>
          <w:tcPr>
            <w:tcW w:w="3560" w:type="dxa"/>
            <w:vAlign w:val="bottom"/>
          </w:tcPr>
          <w:p>
            <w:pPr>
              <w:spacing w:after="0"/>
              <w:rPr>
                <w:sz w:val="20"/>
                <w:szCs w:val="20"/>
                <w:color w:val="auto"/>
              </w:rPr>
            </w:pPr>
            <w:r>
              <w:rPr>
                <w:rFonts w:ascii="Arial" w:cs="Arial" w:eastAsia="Arial" w:hAnsi="Arial"/>
                <w:sz w:val="16"/>
                <w:szCs w:val="16"/>
                <w:color w:val="auto"/>
              </w:rPr>
              <w:t>Dated: March 3, 2016</w:t>
            </w:r>
          </w:p>
        </w:tc>
        <w:tc>
          <w:tcPr>
            <w:tcW w:w="2740" w:type="dxa"/>
            <w:vAlign w:val="bottom"/>
          </w:tcPr>
          <w:p>
            <w:pPr>
              <w:ind w:left="2160"/>
              <w:spacing w:after="0"/>
              <w:rPr>
                <w:sz w:val="20"/>
                <w:szCs w:val="20"/>
                <w:color w:val="auto"/>
              </w:rPr>
            </w:pPr>
            <w:r>
              <w:rPr>
                <w:rFonts w:ascii="Arial" w:cs="Arial" w:eastAsia="Arial" w:hAnsi="Arial"/>
                <w:sz w:val="16"/>
                <w:szCs w:val="16"/>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/s/ Andrew R. Boll</w:t>
            </w:r>
          </w:p>
        </w:tc>
      </w:tr>
      <w:tr>
        <w:trPr>
          <w:trHeight w:val="180"/>
        </w:trPr>
        <w:tc>
          <w:tcPr>
            <w:tcW w:w="3560" w:type="dxa"/>
            <w:vAlign w:val="bottom"/>
          </w:tcPr>
          <w:p>
            <w:pPr>
              <w:spacing w:after="0"/>
              <w:rPr>
                <w:sz w:val="15"/>
                <w:szCs w:val="15"/>
                <w:color w:val="auto"/>
              </w:rPr>
            </w:pPr>
          </w:p>
        </w:tc>
        <w:tc>
          <w:tcPr>
            <w:tcW w:w="2740" w:type="dxa"/>
            <w:vAlign w:val="bottom"/>
          </w:tcPr>
          <w:p>
            <w:pPr>
              <w:ind w:left="2160"/>
              <w:spacing w:after="0" w:line="180" w:lineRule="exact"/>
              <w:rPr>
                <w:sz w:val="20"/>
                <w:szCs w:val="20"/>
                <w:color w:val="auto"/>
              </w:rPr>
            </w:pPr>
            <w:r>
              <w:rPr>
                <w:rFonts w:ascii="Arial" w:cs="Arial" w:eastAsia="Arial" w:hAnsi="Arial"/>
                <w:sz w:val="16"/>
                <w:szCs w:val="16"/>
                <w:color w:val="auto"/>
              </w:rPr>
              <w:t>Name:</w:t>
            </w:r>
          </w:p>
        </w:tc>
        <w:tc>
          <w:tcPr>
            <w:tcW w:w="5140" w:type="dxa"/>
            <w:vAlign w:val="bottom"/>
          </w:tcPr>
          <w:p>
            <w:pPr>
              <w:spacing w:after="0" w:line="180" w:lineRule="exact"/>
              <w:rPr>
                <w:sz w:val="20"/>
                <w:szCs w:val="20"/>
                <w:color w:val="auto"/>
              </w:rPr>
            </w:pPr>
            <w:r>
              <w:rPr>
                <w:rFonts w:ascii="Arial" w:cs="Arial" w:eastAsia="Arial" w:hAnsi="Arial"/>
                <w:sz w:val="16"/>
                <w:szCs w:val="16"/>
                <w:color w:val="auto"/>
              </w:rPr>
              <w:t>Andrew R. Boll</w:t>
            </w:r>
          </w:p>
        </w:tc>
      </w:tr>
      <w:tr>
        <w:trPr>
          <w:trHeight w:val="205"/>
        </w:trPr>
        <w:tc>
          <w:tcPr>
            <w:tcW w:w="3560" w:type="dxa"/>
            <w:vAlign w:val="bottom"/>
          </w:tcPr>
          <w:p>
            <w:pPr>
              <w:spacing w:after="0"/>
              <w:rPr>
                <w:sz w:val="17"/>
                <w:szCs w:val="17"/>
                <w:color w:val="auto"/>
              </w:rPr>
            </w:pPr>
          </w:p>
        </w:tc>
        <w:tc>
          <w:tcPr>
            <w:tcW w:w="2740" w:type="dxa"/>
            <w:vAlign w:val="bottom"/>
          </w:tcPr>
          <w:p>
            <w:pPr>
              <w:ind w:left="2160"/>
              <w:spacing w:after="0"/>
              <w:rPr>
                <w:sz w:val="20"/>
                <w:szCs w:val="20"/>
                <w:color w:val="auto"/>
              </w:rPr>
            </w:pPr>
            <w:r>
              <w:rPr>
                <w:rFonts w:ascii="Arial" w:cs="Arial" w:eastAsia="Arial" w:hAnsi="Arial"/>
                <w:sz w:val="16"/>
                <w:szCs w:val="16"/>
                <w:color w:val="auto"/>
              </w:rPr>
              <w:t>Title:</w:t>
            </w:r>
          </w:p>
        </w:tc>
        <w:tc>
          <w:tcPr>
            <w:tcW w:w="514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388"/>
        </w:trPr>
        <w:tc>
          <w:tcPr>
            <w:tcW w:w="35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627" w:right="219" w:bottom="1440" w:gutter="0" w:footer="0" w:header="0"/>
        </w:sectPr>
      </w:pPr>
    </w:p>
    <w:bookmarkStart w:id="3" w:name="page4"/>
    <w:bookmarkEnd w:id="3"/>
    <w:p>
      <w:pPr>
        <w:ind w:left="5100"/>
        <w:spacing w:after="0"/>
        <w:rPr>
          <w:sz w:val="20"/>
          <w:szCs w:val="20"/>
          <w:color w:val="auto"/>
        </w:rPr>
      </w:pPr>
      <w:r>
        <w:rPr>
          <w:rFonts w:ascii="Arial" w:cs="Arial" w:eastAsia="Arial" w:hAnsi="Arial"/>
          <w:sz w:val="16"/>
          <w:szCs w:val="16"/>
          <w:b w:val="1"/>
          <w:bCs w:val="1"/>
          <w:color w:val="auto"/>
        </w:rPr>
        <w:t>EXHIBIT INDEX</w:t>
      </w:r>
    </w:p>
    <w:p>
      <w:pPr>
        <w:spacing w:after="0" w:line="20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4"/>
          <w:szCs w:val="14"/>
          <w:color w:val="auto"/>
        </w:rPr>
        <w:t>Press release dated March 3, 2016 issued by Imprimis Pharmaceuticals, Inc.</w:t>
      </w:r>
    </w:p>
    <w:p>
      <w:pPr>
        <w:spacing w:after="0" w:line="20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99.2</w:t>
      </w:r>
      <w:r>
        <w:rPr>
          <w:sz w:val="20"/>
          <w:szCs w:val="20"/>
          <w:color w:val="auto"/>
        </w:rPr>
        <w:tab/>
      </w:r>
      <w:r>
        <w:rPr>
          <w:rFonts w:ascii="Arial" w:cs="Arial" w:eastAsia="Arial" w:hAnsi="Arial"/>
          <w:sz w:val="14"/>
          <w:szCs w:val="14"/>
          <w:color w:val="auto"/>
        </w:rPr>
        <w:t>Company presentation dated March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257175</wp:posOffset>
            </wp:positionV>
            <wp:extent cx="726186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219"/>
          </w:cols>
          <w:pgMar w:left="240" w:top="628"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1624965" cy="7245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24965" cy="7245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Imprimis Pharmaceuticals Announces Preliminary Fourth Quarter and Full Year 2015 Financial Results</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Revenue growth continues in 2016 with unit sales of core ophthalmology formulations expected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double in the first quarter of 2016 compared to the fourth quarter of 2015</w:t>
      </w:r>
    </w:p>
    <w:p>
      <w:pPr>
        <w:spacing w:after="0" w:line="188" w:lineRule="exact"/>
        <w:rPr>
          <w:sz w:val="20"/>
          <w:szCs w:val="20"/>
          <w:color w:val="auto"/>
        </w:rPr>
      </w:pPr>
    </w:p>
    <w:p>
      <w:pPr>
        <w:jc w:val="both"/>
        <w:ind w:right="20"/>
        <w:spacing w:after="0" w:line="312" w:lineRule="auto"/>
        <w:rPr>
          <w:sz w:val="20"/>
          <w:szCs w:val="20"/>
          <w:color w:val="auto"/>
        </w:rPr>
      </w:pPr>
      <w:r>
        <w:rPr>
          <w:rFonts w:ascii="Arial" w:cs="Arial" w:eastAsia="Arial" w:hAnsi="Arial"/>
          <w:sz w:val="15"/>
          <w:szCs w:val="15"/>
          <w:color w:val="auto"/>
        </w:rPr>
        <w:t>San Diego, CA — March 3, 2016 — Imprimis Pharmaceuticals, Inc. (NASDAQ: IMMY), a specialty pharmaceutical company focused on the development and commercialization of novel compounded drug therapies, today announced certain preliminary unaudited results for the quarter and year ended December 31, 2015.</w:t>
      </w:r>
    </w:p>
    <w:p>
      <w:pPr>
        <w:spacing w:after="0" w:line="128"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Total estimated revenue for the fourth quarter of 2015 increased by over 500% between years to $3.5 million, from $0.55 million reported in the fourth quarter of 2014. Full year 2015 estimated revenues increased by over 450% between years to $9.7 million, compared to $1.66 million reported in 2014. Adjusted EBITDA for the fourth quarter 2015 is expected to be a loss of between $2.5 million and $2.9 million. For the fourth quarter of 2015, the company expects to report a net loss of between $4.7 million and $5.1 million, compared to a net loss of $2.7 million for the same period in 2014. The company expects to report a net loss for the full 2015 year of between $15.5 million and $15.9 million, compared to $10.1 million in 2014. The fourth quarter of 2015 net loss includes expenses connected to the company’s new Folcroft, Pennsylvania facility, the launch of its sinus business and certain non-recurring expenses.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Imprimis intends to register its Texas and New Jersey facilities with the U.S. Food and Drug Administration (FDA) as outsourcing facilities, which is expected to occur near the end of the first quarter of 2016 for the Texas facility and before the end of the second quarter of 2016 for the New Jersey facility.</w:t>
      </w:r>
    </w:p>
    <w:p>
      <w:pPr>
        <w:spacing w:after="0" w:line="152" w:lineRule="exact"/>
        <w:rPr>
          <w:sz w:val="20"/>
          <w:szCs w:val="20"/>
          <w:color w:val="auto"/>
        </w:rPr>
      </w:pPr>
    </w:p>
    <w:p>
      <w:pPr>
        <w:jc w:val="both"/>
        <w:ind w:right="20"/>
        <w:spacing w:after="0" w:line="302" w:lineRule="auto"/>
        <w:rPr>
          <w:sz w:val="20"/>
          <w:szCs w:val="20"/>
          <w:color w:val="auto"/>
        </w:rPr>
      </w:pPr>
      <w:r>
        <w:rPr>
          <w:rFonts w:ascii="Arial" w:cs="Arial" w:eastAsia="Arial" w:hAnsi="Arial"/>
          <w:sz w:val="14"/>
          <w:szCs w:val="14"/>
          <w:color w:val="auto"/>
        </w:rPr>
        <w:t>Mark L. Baum, CEO of Imprimis, stated, “We are pleased with our fourth quarter estimated results and have seen our growth continue and accelerate in the first quarter of 2016. We are already off to a great start this quarter and expect unit sales of our core ophthalmology formulations to nearly double in the first quarter of 2016 when compared to the fourth quarter of 2015. Other key lines of business are also experiencing growth and we expect they will further accelerate once we register our Texas and New Jersey facilities with the FDA and avail ourselves of the competitive advantages of Section 503B of the Federal Food Drug and Cosmetic Act. We believe positive revenue trends should persist throughout 2016 and beyond as we execute on our operational goals, integrate new efficient systems and processes, and begin our march towards profitability.”</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plans to announce its complete audited fourth quarter and full year 2015 financial results in a press release and conference call on or about March 23, 2016, the details of which will be announced in a separate press release. As the company has not yet completed its preparation and review of its consolidated financial statements for the fourth quarter or year ended December 31, 2015, the information reported in this press release is preliminary and is subject to the completion of such financial statements and their audit by the company’s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726186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6" w:name="page7"/>
    <w:bookmarkEnd w:id="6"/>
    <w:p>
      <w:pPr>
        <w:ind w:left="4"/>
        <w:spacing w:after="0"/>
        <w:rPr>
          <w:sz w:val="20"/>
          <w:szCs w:val="20"/>
          <w:color w:val="auto"/>
        </w:rPr>
      </w:pPr>
      <w:r>
        <w:rPr>
          <w:rFonts w:ascii="Arial" w:cs="Arial" w:eastAsia="Arial" w:hAnsi="Arial"/>
          <w:sz w:val="16"/>
          <w:szCs w:val="16"/>
          <w:b w:val="1"/>
          <w:bCs w:val="1"/>
          <w:color w:val="auto"/>
        </w:rPr>
        <w:t>ADJUSTED EBITDA ESTIMATE</w:t>
      </w:r>
    </w:p>
    <w:p>
      <w:pPr>
        <w:spacing w:after="0" w:line="204" w:lineRule="exact"/>
        <w:rPr>
          <w:sz w:val="20"/>
          <w:szCs w:val="20"/>
          <w:color w:val="auto"/>
        </w:rPr>
      </w:pPr>
    </w:p>
    <w:p>
      <w:pPr>
        <w:jc w:val="both"/>
        <w:ind w:left="4"/>
        <w:spacing w:after="0" w:line="271" w:lineRule="auto"/>
        <w:rPr>
          <w:sz w:val="20"/>
          <w:szCs w:val="20"/>
          <w:color w:val="auto"/>
        </w:rPr>
      </w:pPr>
      <w:r>
        <w:rPr>
          <w:rFonts w:ascii="Arial" w:cs="Arial" w:eastAsia="Arial" w:hAnsi="Arial"/>
          <w:sz w:val="15"/>
          <w:szCs w:val="15"/>
          <w:color w:val="auto"/>
        </w:rPr>
        <w:t>In addition to the company’s results of operations determined in accordance with accounting principles generally accepted in the U.S. (GAAP), such as revenue and net loss,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Securities and Exchange Commission.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manner in which they are calculated may differ from the non-GAAP financial measures or the calculations of the same non-GAAP financial measures used by other companies, including the company’s competitors.</w:t>
      </w:r>
    </w:p>
    <w:p>
      <w:pPr>
        <w:spacing w:after="0" w:line="161" w:lineRule="exact"/>
        <w:rPr>
          <w:sz w:val="20"/>
          <w:szCs w:val="20"/>
          <w:color w:val="auto"/>
        </w:rPr>
      </w:pPr>
    </w:p>
    <w:p>
      <w:pPr>
        <w:jc w:val="both"/>
        <w:ind w:left="4" w:right="20"/>
        <w:spacing w:after="0" w:line="259" w:lineRule="auto"/>
        <w:rPr>
          <w:sz w:val="20"/>
          <w:szCs w:val="20"/>
          <w:color w:val="auto"/>
        </w:rPr>
      </w:pPr>
      <w:r>
        <w:rPr>
          <w:rFonts w:ascii="Arial" w:cs="Arial" w:eastAsia="Arial" w:hAnsi="Arial"/>
          <w:sz w:val="16"/>
          <w:szCs w:val="16"/>
          <w:color w:val="auto"/>
        </w:rPr>
        <w:t>The company defines adjusted EBITDA as net income (loss) excluding the effects of interest, taxes, depreciation, amortization, stock-based compensation, other income (expense) and, if any and when specified, non-recurring income or expense items. The company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167"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The following is a reconciliation of estimated adjusted EBITDA, a non-GAAP measure, to the most comparable GAAP measure, net loss, for the quarter ended December 31, 2015 (in thousands):</w:t>
      </w:r>
    </w:p>
    <w:p>
      <w:pPr>
        <w:spacing w:after="0" w:line="164"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720" w:type="dxa"/>
            <w:vAlign w:val="bottom"/>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(4,700) to (5,100)</w:t>
            </w:r>
          </w:p>
        </w:tc>
      </w:tr>
      <w:tr>
        <w:trPr>
          <w:trHeight w:val="192"/>
        </w:trPr>
        <w:tc>
          <w:tcPr>
            <w:tcW w:w="6600" w:type="dxa"/>
            <w:vAlign w:val="bottom"/>
          </w:tcPr>
          <w:p>
            <w:pPr>
              <w:ind w:left="160"/>
              <w:spacing w:after="0"/>
              <w:rPr>
                <w:sz w:val="20"/>
                <w:szCs w:val="20"/>
                <w:color w:val="auto"/>
              </w:rPr>
            </w:pPr>
            <w:r>
              <w:rPr>
                <w:rFonts w:ascii="Arial" w:cs="Arial" w:eastAsia="Arial" w:hAnsi="Arial"/>
                <w:sz w:val="16"/>
                <w:szCs w:val="16"/>
                <w:color w:val="auto"/>
              </w:rPr>
              <w:t>Stock-based compensation</w:t>
            </w:r>
          </w:p>
        </w:tc>
        <w:tc>
          <w:tcPr>
            <w:tcW w:w="720" w:type="dxa"/>
            <w:vAlign w:val="bottom"/>
          </w:tcPr>
          <w:p>
            <w:pPr>
              <w:spacing w:after="0"/>
              <w:rPr>
                <w:sz w:val="16"/>
                <w:szCs w:val="16"/>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6"/>
                <w:szCs w:val="16"/>
                <w:color w:val="auto"/>
              </w:rPr>
              <w:t>1,120</w:t>
            </w:r>
          </w:p>
        </w:tc>
      </w:tr>
      <w:tr>
        <w:trPr>
          <w:trHeight w:val="192"/>
        </w:trPr>
        <w:tc>
          <w:tcPr>
            <w:tcW w:w="6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Depreciation</w:t>
            </w:r>
          </w:p>
        </w:tc>
        <w:tc>
          <w:tcPr>
            <w:tcW w:w="72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80" w:type="dxa"/>
            <w:vAlign w:val="bottom"/>
            <w:shd w:val="clear" w:color="auto" w:fill="CCEEFF"/>
          </w:tcPr>
          <w:p>
            <w:pPr>
              <w:spacing w:after="0"/>
              <w:rPr>
                <w:sz w:val="16"/>
                <w:szCs w:val="16"/>
                <w:color w:val="auto"/>
              </w:rPr>
            </w:pPr>
          </w:p>
        </w:tc>
      </w:tr>
      <w:tr>
        <w:trPr>
          <w:trHeight w:val="192"/>
        </w:trPr>
        <w:tc>
          <w:tcPr>
            <w:tcW w:w="6600" w:type="dxa"/>
            <w:vAlign w:val="bottom"/>
          </w:tcPr>
          <w:p>
            <w:pPr>
              <w:ind w:left="160"/>
              <w:spacing w:after="0"/>
              <w:rPr>
                <w:sz w:val="20"/>
                <w:szCs w:val="20"/>
                <w:color w:val="auto"/>
              </w:rPr>
            </w:pPr>
            <w:r>
              <w:rPr>
                <w:rFonts w:ascii="Arial" w:cs="Arial" w:eastAsia="Arial" w:hAnsi="Arial"/>
                <w:sz w:val="16"/>
                <w:szCs w:val="16"/>
                <w:color w:val="auto"/>
              </w:rPr>
              <w:t>Amortization</w:t>
            </w:r>
          </w:p>
        </w:tc>
        <w:tc>
          <w:tcPr>
            <w:tcW w:w="7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90</w:t>
            </w:r>
          </w:p>
        </w:tc>
        <w:tc>
          <w:tcPr>
            <w:tcW w:w="80" w:type="dxa"/>
            <w:vAlign w:val="bottom"/>
          </w:tcPr>
          <w:p>
            <w:pPr>
              <w:spacing w:after="0"/>
              <w:rPr>
                <w:sz w:val="16"/>
                <w:szCs w:val="16"/>
                <w:color w:val="auto"/>
              </w:rPr>
            </w:pPr>
          </w:p>
        </w:tc>
      </w:tr>
      <w:tr>
        <w:trPr>
          <w:trHeight w:val="192"/>
        </w:trPr>
        <w:tc>
          <w:tcPr>
            <w:tcW w:w="6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(income) expense, net</w:t>
            </w:r>
          </w:p>
        </w:tc>
        <w:tc>
          <w:tcPr>
            <w:tcW w:w="72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430</w:t>
            </w:r>
          </w:p>
        </w:tc>
      </w:tr>
      <w:tr>
        <w:trPr>
          <w:trHeight w:val="192"/>
        </w:trPr>
        <w:tc>
          <w:tcPr>
            <w:tcW w:w="6600" w:type="dxa"/>
            <w:vAlign w:val="bottom"/>
          </w:tcPr>
          <w:p>
            <w:pPr>
              <w:ind w:left="160"/>
              <w:spacing w:after="0"/>
              <w:rPr>
                <w:sz w:val="20"/>
                <w:szCs w:val="20"/>
                <w:color w:val="auto"/>
              </w:rPr>
            </w:pPr>
            <w:r>
              <w:rPr>
                <w:rFonts w:ascii="Arial" w:cs="Arial" w:eastAsia="Arial" w:hAnsi="Arial"/>
                <w:sz w:val="16"/>
                <w:szCs w:val="16"/>
                <w:color w:val="auto"/>
              </w:rPr>
              <w:t>Income taxes</w:t>
            </w:r>
          </w:p>
        </w:tc>
        <w:tc>
          <w:tcPr>
            <w:tcW w:w="7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r>
      <w:tr>
        <w:trPr>
          <w:trHeight w:val="192"/>
        </w:trPr>
        <w:tc>
          <w:tcPr>
            <w:tcW w:w="6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(income) expense, net</w:t>
            </w:r>
          </w:p>
        </w:tc>
        <w:tc>
          <w:tcPr>
            <w:tcW w:w="72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r>
      <w:tr>
        <w:trPr>
          <w:trHeight w:val="208"/>
        </w:trPr>
        <w:tc>
          <w:tcPr>
            <w:tcW w:w="6600" w:type="dxa"/>
            <w:vAlign w:val="bottom"/>
          </w:tcPr>
          <w:p>
            <w:pPr>
              <w:ind w:left="160"/>
              <w:spacing w:after="0"/>
              <w:rPr>
                <w:sz w:val="20"/>
                <w:szCs w:val="20"/>
                <w:color w:val="auto"/>
              </w:rPr>
            </w:pPr>
            <w:r>
              <w:rPr>
                <w:rFonts w:ascii="Arial" w:cs="Arial" w:eastAsia="Arial" w:hAnsi="Arial"/>
                <w:sz w:val="16"/>
                <w:szCs w:val="16"/>
                <w:color w:val="auto"/>
              </w:rPr>
              <w:t>Non-recurring expense(1)</w:t>
            </w:r>
          </w:p>
        </w:tc>
        <w:tc>
          <w:tcPr>
            <w:tcW w:w="72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6"/>
                <w:szCs w:val="16"/>
                <w:color w:val="auto"/>
              </w:rPr>
              <w:t>440</w:t>
            </w:r>
          </w:p>
        </w:tc>
      </w:tr>
      <w:tr>
        <w:trPr>
          <w:trHeight w:val="204"/>
        </w:trPr>
        <w:tc>
          <w:tcPr>
            <w:tcW w:w="66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Adjusted EBITDA</w:t>
            </w:r>
          </w:p>
        </w:tc>
        <w:tc>
          <w:tcPr>
            <w:tcW w:w="720" w:type="dxa"/>
            <w:vAlign w:val="bottom"/>
            <w:tcBorders>
              <w:top w:val="single" w:sz="8" w:color="auto"/>
              <w:bottom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(2,540) to (2,940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6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81546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5465" cy="15240"/>
                    </a:xfrm>
                    <a:prstGeom prst="rect">
                      <a:avLst/>
                    </a:prstGeom>
                    <a:noFill/>
                  </pic:spPr>
                </pic:pic>
              </a:graphicData>
            </a:graphic>
          </wp:anchor>
        </w:drawing>
      </w:r>
    </w:p>
    <w:p>
      <w:pPr>
        <w:spacing w:after="0" w:line="196" w:lineRule="exact"/>
        <w:rPr>
          <w:sz w:val="20"/>
          <w:szCs w:val="20"/>
          <w:color w:val="auto"/>
        </w:rPr>
      </w:pPr>
    </w:p>
    <w:p>
      <w:pPr>
        <w:ind w:left="284" w:right="20" w:hanging="284"/>
        <w:spacing w:after="0" w:line="277" w:lineRule="auto"/>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Non-recurring expense items included certain transactional expenses and expenses related to restructuring the company’s sales and marketing efforts, including severance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226695</wp:posOffset>
            </wp:positionV>
            <wp:extent cx="726186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628" w:right="21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ABOUT IMPRIMIS PHARMACEUTICALS</w:t>
      </w:r>
    </w:p>
    <w:p>
      <w:pPr>
        <w:spacing w:after="0" w:line="204"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 xml:space="preserve">San Diego-based Imprimis Pharmaceuticals, Inc. (NASDAQ: IMMY) is a national leader in the development, production and dispensing of novel compounded pharmaceuticals. The Company’s two business segments, </w:t>
      </w:r>
      <w:r>
        <w:rPr>
          <w:rFonts w:ascii="Arial" w:cs="Arial" w:eastAsia="Arial" w:hAnsi="Arial"/>
          <w:sz w:val="15"/>
          <w:szCs w:val="15"/>
          <w:i w:val="1"/>
          <w:iCs w:val="1"/>
          <w:u w:val="single" w:color="auto"/>
          <w:color w:val="auto"/>
        </w:rPr>
        <w:t>Imprimis Cares™</w:t>
      </w:r>
      <w:r>
        <w:rPr>
          <w:rFonts w:ascii="Arial" w:cs="Arial" w:eastAsia="Arial" w:hAnsi="Arial"/>
          <w:sz w:val="15"/>
          <w:szCs w:val="15"/>
          <w:color w:val="auto"/>
        </w:rPr>
        <w:t xml:space="preserve"> and </w:t>
      </w:r>
      <w:r>
        <w:rPr>
          <w:rFonts w:ascii="Arial" w:cs="Arial" w:eastAsia="Arial" w:hAnsi="Arial"/>
          <w:sz w:val="15"/>
          <w:szCs w:val="15"/>
          <w:i w:val="1"/>
          <w:iCs w:val="1"/>
          <w:color w:val="auto"/>
        </w:rPr>
        <w:t>Custom Compounding Choice™,</w:t>
      </w:r>
      <w:r>
        <w:rPr>
          <w:rFonts w:ascii="Arial" w:cs="Arial" w:eastAsia="Arial" w:hAnsi="Arial"/>
          <w:sz w:val="15"/>
          <w:szCs w:val="15"/>
          <w:color w:val="auto"/>
        </w:rPr>
        <w:t xml:space="preserve"> focus on patient outcomes and affordability, by offering high quality customizable compounded drugs in all 50 states. Imprimis is headquartered in San Diego, California and operates four dispensing facilities located in California, Texas, New Jersey and Pennsylvania. For more information about Imprimis, please visit the corporate website at </w:t>
      </w:r>
      <w:r>
        <w:rPr>
          <w:rFonts w:ascii="Arial" w:cs="Arial" w:eastAsia="Arial" w:hAnsi="Arial"/>
          <w:sz w:val="15"/>
          <w:szCs w:val="15"/>
          <w:u w:val="single" w:color="auto"/>
          <w:color w:val="auto"/>
        </w:rPr>
        <w:t>www.ImprimisPharma.com</w:t>
      </w:r>
      <w:r>
        <w:rPr>
          <w:rFonts w:ascii="Arial" w:cs="Arial" w:eastAsia="Arial" w:hAnsi="Arial"/>
          <w:sz w:val="15"/>
          <w:szCs w:val="15"/>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w:t>
      </w:r>
    </w:p>
    <w:p>
      <w:pPr>
        <w:spacing w:after="0" w:line="204"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This press release contains forward looking statements within the meaning of the U.S. Private Securities Litigation Reform Act of 1995. Any statements in this release that are not historical facts may be considered such “forward looking statements,” such as the statements made about the company’s estimated revenue, adjusted EBITDA and net loss for the quarter and year ended December 31, 2015, the company’s expected performance in 2016, including certain anticipated results for the first quarter of 2016, and the company’s plans to upgrade and construct new pharmacy facilities and register these facilities as outsourcing facilities. Forward 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the possibility that the company’s 2015 financial results will differ materially from its preliminary estimates upon completion and audit of its financial statements; failure to meet projected unit sales for the first quarter of 2016; delays or other difficulties associated with the construction and upgrade of the company’s pharmacy facilities; delays or failures in the company’s efforts to register certain of its pharmacy facilities as outsourcing facilities; other risks related to the company’s compounding pharmacy operations; the company’s ability to make commercially available its compounded formulations and technologies in a timely manner, in sufficient quantities or at all; physician interest in prescribing and patient interest in using its formulations; the company’s ability to accurately estimate its expenses and cash burn and raise additional funds when necessary; the projected size of the potential market for its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the company’s filings with the Securities and Exchange Commission, including its most recent Annual Report on Form 10-K and Quarterly Reports on Form 10-Q. Such documents may be read free of charge on the Securities and Exchange Commission’s web site at www.sec.gov. Undue reliance should not be placed on forward looking statements, which speak only as of the date they are made. Except as required by law, the company undertakes no obligation to update any forward looking statements to reflect new information, events or circumstances after the date they are made or to reflect the occurrence of unanticipated events.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Bonnie Ortega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bortega@imprimispharma.com</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858.704.4587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249555</wp:posOffset>
            </wp:positionV>
            <wp:extent cx="726186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627" w:right="219" w:bottom="1440" w:gutter="0" w:footer="0" w:header="0"/>
        </w:sectPr>
      </w:pPr>
    </w:p>
    <w:bookmarkStart w:id="8" w:name="page9"/>
    <w:bookmarkEnd w:id="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66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9042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7740" cy="5904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6160770</wp:posOffset>
            </wp:positionV>
            <wp:extent cx="726186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317740" cy="5766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17740" cy="576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2020-01-19T19:14:14Z</dcterms:created>
  <dcterms:modified xsi:type="dcterms:W3CDTF">2020-01-19T19:14:14Z</dcterms:modified>
</cp:coreProperties>
</file>