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6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63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SAHAREK JOHN P.</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14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HARROW HEALTH, INC.</w:t>
            </w:r>
          </w:p>
        </w:tc>
        <w:tc>
          <w:tcPr>
            <w:tcW w:w="13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2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37205</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14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HARROW,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HROW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00" w:type="dxa"/>
            <w:vAlign w:val="bottom"/>
            <w:tcBorders>
              <w:bottom w:val="single" w:sz="8" w:color="0000EE"/>
            </w:tcBorders>
          </w:tcPr>
          <w:p>
            <w:pPr>
              <w:spacing w:after="0"/>
              <w:rPr>
                <w:sz w:val="3"/>
                <w:szCs w:val="3"/>
                <w:color w:val="auto"/>
              </w:rPr>
            </w:pPr>
          </w:p>
        </w:tc>
        <w:tc>
          <w:tcPr>
            <w:tcW w:w="2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02/20/2024</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CEO of ImprimisRx</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25"/>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0000FF"/>
              </w:rPr>
              <w:t>02/20/2024</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right"/>
              <w:ind w:right="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10.67</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262,419</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80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02/20/2024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12,616</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right"/>
              <w:ind w:right="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10.67</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249,803</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02/20/2024</w:t>
            </w:r>
          </w:p>
        </w:tc>
        <w:tc>
          <w:tcPr>
            <w:tcW w:w="110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30,000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listed acquired 30,000 shares of Harrow, Inc. ("Harrow")_common stock represent restricted stock units (RSUs") granted to Mr. Saharek on February 19, 2021 under the Issuer's 2017 Stock Incentive and Awards Plan, as amended. The RSUs vested after a three-year period following the award date. 12,616 shares of Harrow common stock listed as disposed were withheld from issuance by Harrow to satisfy Mr. Saharek's payroll tax liability incident related to the vesting of the RSUs. Such withholding did not involve any market sales or other market transactions.</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John P. Saharek</w:t>
            </w:r>
          </w:p>
        </w:tc>
        <w:tc>
          <w:tcPr>
            <w:tcW w:w="9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02/21/2024</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209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2024-02-21T18:39:35Z</dcterms:created>
  <dcterms:modified xsi:type="dcterms:W3CDTF">2024-02-21T18:39:35Z</dcterms:modified>
</cp:coreProperties>
</file>