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Opaleye Management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BOSTON PLACE, 26TH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180" w:space="635"/>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02108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88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87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1720" w:type="dxa"/>
            <w:vAlign w:val="bottom"/>
            <w:gridSpan w:val="3"/>
            <w:vMerge w:val="restart"/>
          </w:tcPr>
          <w:p>
            <w:pPr>
              <w:jc w:val="right"/>
              <w:ind w:right="660"/>
              <w:spacing w:after="0"/>
              <w:rPr>
                <w:sz w:val="20"/>
                <w:szCs w:val="20"/>
                <w:color w:val="auto"/>
              </w:rPr>
            </w:pPr>
            <w:r>
              <w:rPr>
                <w:rFonts w:ascii="Arial" w:cs="Arial" w:eastAsia="Arial" w:hAnsi="Arial"/>
                <w:sz w:val="17"/>
                <w:szCs w:val="17"/>
                <w:color w:val="0000FF"/>
              </w:rPr>
              <w:t>06/19/2020</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40" w:type="dxa"/>
            <w:vAlign w:val="bottom"/>
            <w:vMerge w:val="restart"/>
          </w:tcPr>
          <w:p>
            <w:pPr>
              <w:ind w:left="160"/>
              <w:spacing w:after="0"/>
              <w:rPr>
                <w:sz w:val="20"/>
                <w:szCs w:val="20"/>
                <w:color w:val="auto"/>
              </w:rPr>
            </w:pPr>
            <w:r>
              <w:rPr>
                <w:rFonts w:ascii="Arial" w:cs="Arial" w:eastAsia="Arial" w:hAnsi="Arial"/>
                <w:sz w:val="17"/>
                <w:szCs w:val="17"/>
                <w:color w:val="0000FF"/>
              </w:rPr>
              <w:t>35,000</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820" w:type="dxa"/>
            <w:vAlign w:val="bottom"/>
            <w:gridSpan w:val="3"/>
            <w:vMerge w:val="restart"/>
          </w:tcPr>
          <w:p>
            <w:pPr>
              <w:ind w:left="6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5.5829</w:t>
            </w:r>
            <w:r>
              <w:rPr>
                <w:rFonts w:ascii="Arial" w:cs="Arial" w:eastAsia="Arial" w:hAnsi="Arial"/>
                <w:sz w:val="22"/>
                <w:szCs w:val="22"/>
                <w:color w:val="008000"/>
                <w:w w:val="93"/>
                <w:vertAlign w:val="superscript"/>
              </w:rPr>
              <w:t>(1)</w:t>
            </w: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0000FF"/>
              </w:rPr>
              <w:t>2,585,000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860" w:type="dxa"/>
            <w:vAlign w:val="bottom"/>
            <w:gridSpan w:val="4"/>
            <w:vMerge w:val="restart"/>
          </w:tcPr>
          <w:p>
            <w:pPr>
              <w:ind w:left="60"/>
              <w:spacing w:after="0"/>
              <w:rPr>
                <w:sz w:val="20"/>
                <w:szCs w:val="20"/>
                <w:color w:val="auto"/>
              </w:rPr>
            </w:pPr>
            <w:r>
              <w:rPr>
                <w:rFonts w:ascii="Arial" w:cs="Arial" w:eastAsia="Arial" w:hAnsi="Arial"/>
                <w:sz w:val="17"/>
                <w:szCs w:val="17"/>
                <w:color w:val="0000FF"/>
                <w:w w:val="95"/>
              </w:rPr>
              <w:t>Common Stock, par value $0.0001 per</w:t>
            </w: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7"/>
                <w:szCs w:val="17"/>
                <w:color w:val="0000FF"/>
              </w:rPr>
              <w:t>125,000</w:t>
            </w:r>
          </w:p>
        </w:tc>
        <w:tc>
          <w:tcPr>
            <w:tcW w:w="36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6"/>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11"/>
          </w:tcPr>
          <w:p>
            <w:pPr>
              <w:jc w:val="center"/>
              <w:ind w:left="2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was purchased by the reporting person in open market transactions on the transaction date, with a volume weighted average purchase price of $5.58293. The range of purchase prices on the transaction date was $5.49 to $5.70 per share. The reporting person undertakes to provide, upon request by the SEC staff, the issuer, or a security holder of the issuer, full information regarding the number of shares purchased at each price.</w:t>
      </w:r>
    </w:p>
    <w:p>
      <w:pPr>
        <w:spacing w:after="0" w:line="2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15" w:lineRule="exact"/>
        <w:rPr>
          <w:rFonts w:ascii="Arial" w:cs="Arial" w:eastAsia="Arial" w:hAnsi="Arial"/>
          <w:sz w:val="13"/>
          <w:szCs w:val="13"/>
          <w:color w:val="008000"/>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Opaleye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By: /s/ James Silverman,</w:t>
      </w:r>
      <w:r>
        <w:rPr>
          <w:sz w:val="20"/>
          <w:szCs w:val="20"/>
          <w:color w:val="auto"/>
        </w:rPr>
        <w:tab/>
      </w:r>
      <w:r>
        <w:rPr>
          <w:rFonts w:ascii="Arial" w:cs="Arial" w:eastAsia="Arial" w:hAnsi="Arial"/>
          <w:sz w:val="15"/>
          <w:szCs w:val="15"/>
          <w:color w:val="0000FF"/>
        </w:rPr>
        <w:t>06/23/2020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2020-06-23T20:46:19Z</dcterms:created>
  <dcterms:modified xsi:type="dcterms:W3CDTF">2020-06-23T20:46:19Z</dcterms:modified>
</cp:coreProperties>
</file>