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June 7 , 2017</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333- 218308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45-0567010</w:t>
            </w:r>
          </w:p>
        </w:tc>
      </w:t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Hudders,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Golenbock Eiseman Assor Bell &amp; Peskoe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711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907-7300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4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0"/>
          <w:szCs w:val="20"/>
          <w:color w:val="auto"/>
        </w:rPr>
      </w:pPr>
    </w:p>
    <w:p>
      <w:pPr>
        <w:sectPr>
          <w:pgSz w:w="11900" w:h="16838" w:orient="portrait"/>
          <w:cols w:equalWidth="0" w:num="2">
            <w:col w:w="6600" w:space="720"/>
            <w:col w:w="4100"/>
          </w:cols>
          <w:pgMar w:left="240" w:top="125" w:right="239" w:bottom="1440" w:gutter="0" w:footer="0" w:header="0"/>
        </w:sect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460" w:type="dxa"/>
            <w:vAlign w:val="bottom"/>
            <w:gridSpan w:val="9"/>
          </w:tcPr>
          <w:p>
            <w:pPr>
              <w:ind w:left="32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660" w:type="dxa"/>
            <w:vAlign w:val="bottom"/>
          </w:tcPr>
          <w:p>
            <w:pPr>
              <w:ind w:left="1380"/>
              <w:spacing w:after="0"/>
              <w:rPr>
                <w:sz w:val="20"/>
                <w:szCs w:val="20"/>
                <w:color w:val="auto"/>
              </w:rPr>
            </w:pPr>
            <w:r>
              <w:rPr>
                <w:rFonts w:ascii="Arial" w:cs="Arial" w:eastAsia="Arial" w:hAnsi="Arial"/>
                <w:sz w:val="18"/>
                <w:szCs w:val="18"/>
                <w:b w:val="1"/>
                <w:bCs w:val="1"/>
                <w:color w:val="auto"/>
              </w:rPr>
              <w:t>Title of Each Class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w w:val="96"/>
              </w:rPr>
              <w:t>Amount to be Registered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Maximum Aggregate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Amount of</w:t>
            </w:r>
          </w:p>
        </w:tc>
      </w:tr>
      <w:tr>
        <w:trPr>
          <w:trHeight w:val="241"/>
        </w:trPr>
        <w:tc>
          <w:tcPr>
            <w:tcW w:w="3660" w:type="dxa"/>
            <w:vAlign w:val="bottom"/>
          </w:tcPr>
          <w:p>
            <w:pPr>
              <w:ind w:left="1200"/>
              <w:spacing w:after="0"/>
              <w:rPr>
                <w:sz w:val="20"/>
                <w:szCs w:val="20"/>
                <w:color w:val="auto"/>
              </w:rPr>
            </w:pPr>
            <w:r>
              <w:rPr>
                <w:rFonts w:ascii="Arial" w:cs="Arial" w:eastAsia="Arial" w:hAnsi="Arial"/>
                <w:sz w:val="18"/>
                <w:szCs w:val="18"/>
                <w:b w:val="1"/>
                <w:bCs w:val="1"/>
                <w:color w:val="auto"/>
              </w:rPr>
              <w:t>Securities to be Registered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 Price (1)(2)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0"/>
              </w:rPr>
              <w:t>Registration Fee ( 7 )</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Common Stock, par value $0.001 per share(3)</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7"/>
              </w:rPr>
              <w:t>Preferred Stock, par value $0.001 per share(3)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Depository Shares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Warrants(4)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Units(5)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Debt Securities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Total( 6 )</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6"/>
              </w:rPr>
              <w:t>75,000,000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8,692.50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w:t>
            </w:r>
          </w:p>
        </w:tc>
      </w:tr>
      <w:tr>
        <w:trPr>
          <w:trHeight w:val="20"/>
        </w:trPr>
        <w:tc>
          <w:tcPr>
            <w:tcW w:w="3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$75,000,000;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w:t>
      </w:r>
    </w:p>
    <w:p>
      <w:pPr>
        <w:spacing w:after="0" w:line="18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or preferred stock as may be issued upon conversion, exercise or exchange of the securities issued directly hereunder.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warrants to purchase common stock, warrants to purchase preferred stock and warrants to purchase debt securities.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represent an interest in any combination of common stock, preferred stock, debt securities, or warrants, which may or may not be separable from one another.</w:t>
      </w:r>
    </w:p>
    <w:p>
      <w:pPr>
        <w:spacing w:after="0" w:line="170" w:lineRule="exact"/>
        <w:rPr>
          <w:sz w:val="20"/>
          <w:szCs w:val="20"/>
          <w:color w:val="auto"/>
        </w:rPr>
      </w:pPr>
    </w:p>
    <w:p>
      <w:pPr>
        <w:ind w:left="340" w:hanging="332"/>
        <w:spacing w:after="0" w:line="259" w:lineRule="auto"/>
        <w:tabs>
          <w:tab w:leader="none" w:pos="121" w:val="left"/>
        </w:tabs>
        <w:numPr>
          <w:ilvl w:val="0"/>
          <w:numId w:val="2"/>
        </w:numPr>
        <w:rPr>
          <w:rFonts w:ascii="Arial" w:cs="Arial" w:eastAsia="Arial" w:hAnsi="Arial"/>
          <w:sz w:val="18"/>
          <w:szCs w:val="18"/>
          <w:color w:val="auto"/>
        </w:rPr>
      </w:pPr>
      <w:r>
        <w:rPr>
          <w:rFonts w:ascii="Arial" w:cs="Arial" w:eastAsia="Arial" w:hAnsi="Arial"/>
          <w:sz w:val="18"/>
          <w:szCs w:val="18"/>
          <w:color w:val="auto"/>
        </w:rPr>
        <w:t>6 ) 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$75,000,000 or the equivalent thereof in one or more foreign currencies, foreign currency units or composite currencies.</w:t>
      </w:r>
    </w:p>
    <w:p>
      <w:pPr>
        <w:spacing w:after="0" w:line="18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7 ) Calculated pursuant to Rule 457(o) under the Securities Act.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 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7 ,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June 6 , 2017, the closing price of our common stock on the NASDAQCM was $3.50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CCEEFF"/>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PROSPECTUS SUMMARY</w:t>
              </w:r>
            </w:hyperlink>
          </w:p>
        </w:tc>
        <w:tc>
          <w:tcPr>
            <w:tcW w:w="864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FORWARD-LOOKING STATEMENTS</w:t>
              </w:r>
            </w:hyperlink>
          </w:p>
        </w:tc>
        <w:tc>
          <w:tcPr>
            <w:tcW w:w="7800" w:type="dxa"/>
            <w:vAlign w:val="bottom"/>
            <w:tcBorders>
              <w:bottom w:val="single" w:sz="8" w:color="CCEEFF"/>
            </w:tcBorders>
            <w:gridSpan w:val="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DIVIDEND POLICY</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DESCRIPTION OF CAPITAL STOCK</w:t>
              </w:r>
            </w:hyperlink>
          </w:p>
        </w:tc>
        <w:tc>
          <w:tcPr>
            <w:tcW w:w="78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5"/>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DEPOSITARY SHARES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WARRANTS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UNITS</w:t>
              </w:r>
            </w:hyperlink>
          </w:p>
        </w:tc>
        <w:tc>
          <w:tcPr>
            <w:tcW w:w="7860" w:type="dxa"/>
            <w:vAlign w:val="bottom"/>
            <w:tcBorders>
              <w:top w:val="single" w:sz="8" w:color="CCEEFF"/>
            </w:tcBorders>
            <w:gridSpan w:val="6"/>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DEBT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PLAN OF DISTRIBUTION</w:t>
              </w:r>
            </w:hyperlink>
          </w:p>
        </w:tc>
        <w:tc>
          <w:tcPr>
            <w:tcW w:w="7320" w:type="dxa"/>
            <w:vAlign w:val="bottom"/>
            <w:tcBorders>
              <w:top w:val="single" w:sz="8" w:color="CCEEFF"/>
            </w:tcBorders>
            <w:gridSpan w:val="4"/>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9280" w:type="dxa"/>
            <w:vAlign w:val="bottom"/>
            <w:tcBorders>
              <w:top w:val="single" w:sz="8" w:color="CCEEFF"/>
            </w:tcBorders>
            <w:gridSpan w:val="11"/>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56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w:t>
      </w:r>
    </w:p>
    <w:p>
      <w:pPr>
        <w:jc w:val="both"/>
        <w:spacing w:after="0" w:line="259" w:lineRule="auto"/>
        <w:rPr>
          <w:sz w:val="20"/>
          <w:szCs w:val="20"/>
          <w:color w:val="auto"/>
        </w:rPr>
      </w:pPr>
      <w:r>
        <w:rPr>
          <w:rFonts w:ascii="Arial" w:cs="Arial" w:eastAsia="Arial" w:hAnsi="Arial"/>
          <w:sz w:val="16"/>
          <w:szCs w:val="16"/>
          <w:color w:val="auto"/>
        </w:rPr>
        <w:t>other compelling medical and economic benefits. We also offer a 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w:t>
      </w:r>
    </w:p>
    <w:p>
      <w:pPr>
        <w:spacing w:after="0" w:line="4"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 tadalafil (Cialis</w:t>
      </w:r>
      <w:r>
        <w:rPr>
          <w:rFonts w:ascii="Arial" w:cs="Arial" w:eastAsia="Arial" w:hAnsi="Arial"/>
          <w:sz w:val="26"/>
          <w:szCs w:val="26"/>
          <w:color w:val="auto"/>
          <w:vertAlign w:val="superscript"/>
        </w:rPr>
        <w:t>®</w:t>
      </w:r>
      <w:r>
        <w:rPr>
          <w:rFonts w:ascii="Arial" w:cs="Arial" w:eastAsia="Arial" w:hAnsi="Arial"/>
          <w:sz w:val="16"/>
          <w:szCs w:val="16"/>
          <w:color w:val="auto"/>
        </w:rPr>
        <w:t>), and vardenafil (Levitra</w:t>
      </w:r>
      <w:r>
        <w:rPr>
          <w:rFonts w:ascii="Arial" w:cs="Arial" w:eastAsia="Arial" w:hAnsi="Arial"/>
          <w:sz w:val="26"/>
          <w:szCs w:val="26"/>
          <w:color w:val="auto"/>
          <w:vertAlign w:val="superscript"/>
        </w:rPr>
        <w:t>®</w:t>
      </w:r>
      <w:r>
        <w:rPr>
          <w:rFonts w:ascii="Arial" w:cs="Arial" w:eastAsia="Arial" w:hAnsi="Arial"/>
          <w:sz w:val="16"/>
          <w:szCs w:val="16"/>
          <w:color w:val="auto"/>
        </w:rPr>
        <w:t>).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to 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patients diagnosed with interstitial cystitis.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under Section 503B of the Federal Food, Drug &amp; Cosmetic Act (FDCA). The other New Jersey facility, and our California and Pennsylvania facilities, are all licensed pharmacies operating under Sections 503A of the FDCA. All products that we sell, produce and dispense are made in the United States.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$81.9 million at March 31,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prospectus supplement.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periodic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95,000,000 shares, 90,000,000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15, 2017 there were approximately 261 stockholders of record (excluding an indeterminable number of stockholders whose shares are held in street or “nominee” name) of our common stock. In addition, as of March 31, 2017, there are outstanding (i) options to acquire 2,230,510 shares of our common stock with a weighted average exercise price of $5.69 per share, (ii) warrants to purchase 5,748,829 shares of common stock with a weighted average exercise price of $1.91 per share, and (iii) 1,280,188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the units in respect of which this prospectus is being delivered:</w:t>
      </w:r>
    </w:p>
    <w:p>
      <w:pPr>
        <w:spacing w:after="0" w:line="237" w:lineRule="exact"/>
        <w:rPr>
          <w:sz w:val="20"/>
          <w:szCs w:val="20"/>
          <w:color w:val="auto"/>
        </w:rPr>
      </w:pPr>
    </w:p>
    <w:p>
      <w:pPr>
        <w:ind w:firstLine="656"/>
        <w:spacing w:after="0" w:line="277" w:lineRule="auto"/>
        <w:tabs>
          <w:tab w:leader="none" w:pos="8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material provisions relating to the issuance, payment, settlement, transfer or exchange of the units or the securities comprising the units;</w:t>
      </w:r>
    </w:p>
    <w:p>
      <w:pPr>
        <w:spacing w:after="0" w:line="236" w:lineRule="exact"/>
        <w:rPr>
          <w:rFonts w:ascii="Arial" w:cs="Arial" w:eastAsia="Arial" w:hAnsi="Arial"/>
          <w:sz w:val="17"/>
          <w:szCs w:val="17"/>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5640" w:right="180" w:hanging="4984"/>
        <w:spacing w:after="0" w:line="528" w:lineRule="auto"/>
        <w:tabs>
          <w:tab w:leader="none" w:pos="9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The validity of the securities being offered hereby has been passed upon by Golenbock Eiseman Assor Bell &amp; Peskoe LLP, New York, New York.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Imprimis Pharmaceuticals, Inc. appearing in the Company’s Annual Report on Form 10-K for the fiscal year ended December 31, 2016, filed with the SEC on March 21, 2017,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21,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filed with the SEC on May 10, 2017;</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17, 2017, March 22, 2017, April 6, 2017, April 17, 2017, May 2, 2017 and May 16, 2017;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estimated (other than the registration fee) expenses payable by the Company in connection with a distribution of securities registered hereby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0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Printing expenses</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17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w:t>
            </w:r>
          </w:p>
        </w:tc>
        <w:tc>
          <w:tcPr>
            <w:tcW w:w="10520" w:type="dxa"/>
            <w:vAlign w:val="bottom"/>
          </w:tcPr>
          <w:p>
            <w:pPr>
              <w:spacing w:after="0"/>
              <w:rPr>
                <w:sz w:val="18"/>
                <w:szCs w:val="18"/>
                <w:color w:val="auto"/>
              </w:rPr>
            </w:pPr>
          </w:p>
        </w:tc>
      </w:tr>
      <w:tr>
        <w:trPr>
          <w:trHeight w:val="241"/>
        </w:trPr>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520" w:type="dxa"/>
            <w:vAlign w:val="bottom"/>
          </w:tcPr>
          <w:p>
            <w:pPr>
              <w:ind w:left="478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Senior Indenture **</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Subordinated Indenture **</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Senior Debt Security (included in Exhibit 4.1) **</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 **</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Unit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Unit*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Opinion of Golenbock Eiseman Assor Bell &amp; Peskoe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Consent of KMJ Corbin and Company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Consent of Golenbock Eiseman Assor Bell &amp; Peskoe LLP (included in Exhibit 5.1)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Power of Attorney **</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2" w:lineRule="exact"/>
        <w:rPr>
          <w:sz w:val="20"/>
          <w:szCs w:val="20"/>
          <w:color w:val="auto"/>
        </w:rPr>
      </w:pPr>
    </w:p>
    <w:p>
      <w:pPr>
        <w:ind w:left="720" w:right="20" w:hanging="712"/>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70"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right="20" w:hanging="1292"/>
        <w:spacing w:after="0" w:line="264"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(1)That,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38"/>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jc w:val="both"/>
        <w:ind w:left="2600" w:hanging="647"/>
        <w:spacing w:after="0" w:line="286" w:lineRule="auto"/>
        <w:tabs>
          <w:tab w:leader="none" w:pos="2600" w:val="left"/>
        </w:tabs>
        <w:numPr>
          <w:ilvl w:val="3"/>
          <w:numId w:val="3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174" w:lineRule="exact"/>
        <w:rPr>
          <w:rFonts w:ascii="Arial" w:cs="Arial" w:eastAsia="Arial" w:hAnsi="Arial"/>
          <w:sz w:val="16"/>
          <w:szCs w:val="16"/>
          <w:color w:val="auto"/>
        </w:rPr>
      </w:pPr>
    </w:p>
    <w:p>
      <w:pPr>
        <w:jc w:val="both"/>
        <w:ind w:left="1960" w:hanging="655"/>
        <w:spacing w:after="0" w:line="271"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left="1960" w:hanging="655"/>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SEC under Section 305(b)(2) of the Trust Indenture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June 7 , 2017.</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2"/>
                <w:szCs w:val="22"/>
                <w:color w:val="auto"/>
              </w:rPr>
            </w:pPr>
          </w:p>
        </w:tc>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53"/>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June 7,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June 7 ,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Stephen G. Austin *</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7 ,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J. Kammer *</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3640" w:type="dxa"/>
            <w:vAlign w:val="bottom"/>
          </w:tcPr>
          <w:p>
            <w:pPr>
              <w:spacing w:after="0"/>
              <w:rPr>
                <w:sz w:val="20"/>
                <w:szCs w:val="20"/>
                <w:color w:val="auto"/>
              </w:rPr>
            </w:pPr>
            <w:r>
              <w:rPr>
                <w:rFonts w:ascii="Arial" w:cs="Arial" w:eastAsia="Arial" w:hAnsi="Arial"/>
                <w:sz w:val="18"/>
                <w:szCs w:val="18"/>
                <w:color w:val="auto"/>
              </w:rPr>
              <w:t>June 7 ,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Richard L. Lindstrom *</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7 ,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Anthony J. Principi *</w:t>
            </w:r>
          </w:p>
        </w:tc>
        <w:tc>
          <w:tcPr>
            <w:tcW w:w="2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June 7 , 2017</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5"/>
        </w:trPr>
        <w:tc>
          <w:tcPr>
            <w:tcW w:w="3660" w:type="dxa"/>
            <w:vAlign w:val="bottom"/>
            <w:gridSpan w:val="2"/>
          </w:tcPr>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3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acted as counsel to Imprimis Pharmaceuticals, Inc., a Delaware corporation (the “Company”), in connection with its filing on the date hereof of a Registration Statement on Form S-3 (the “Registration Statement”) under the Securities Act of 1933, as amended (the “Act”), with the Securities and Exchange Commission (the “Commission”).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Registration Statement relates to the proposed issuance and sale, from time to time, pursuant to Rule 415 under the Act, as set forth in the Registration Statement, the prospectus contained therein (the “Prospectus”) and the supplements to the prospectus referred to therein (each a “Prospectus Supplement”), of up to an aggregate offering price of $75,000,000, or the equivalent thereof, of shares of the Company’s common stock, $0.001 par value per share (the “Common Stock”), shares of the Company’s preferred stock, $0.001 par value per share (the “Preferred Stock”), the Company’s senior and subordinated debt securities (the “Debt Securities”), warrants to purchase any of the securities described above (the “Warrants”), units consisting of any combination of Common Stock, Preferred Stock, Debt Securities or Warrants (the “Units”) and depositary shares (the “Depositary Shares”) of the Company representing a fractional interest in a share of Preferred Stock of the Company (the Common Stock, the Preferred Stock, the Debt Securities, the Warrants, the Units and the Depositary Shares are collectively referred to herein as the “Securities”)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are to be sold from time to time as set forth in the Registration Statement, the Prospectus contained therein and the Prospectus Supplements. The Debt Securities are to be issued pursuant to a senior debt securities indenture (the “Senior Indenture”) and a subordinated debt securities indenture (the “Subordinated Indenture” and taken with the Senior Indenture, the “Indentures”), as applicable, both of which have been filed as exhibits to the Registration Statement and are to be entered into, in each case, between the Company and a trustee to be named in a Prospectus Supplement to the Registration Statement. The Units are to be issued pursuant to a unit agreement (the “Unit Agreement”), which will be filed as an exhibit to the Registration Statement when Units are issued. The Securities are to be sold pursuant to a purchase, underwriting or similar agreement in substantially the form to be filed under a Current Report on Form 8-K. The Debt Securities are to be issued in the forms set forth in the Indentures. Each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both"/>
        <w:ind w:firstLine="648"/>
        <w:spacing w:after="0" w:line="268" w:lineRule="auto"/>
        <w:rPr>
          <w:sz w:val="20"/>
          <w:szCs w:val="20"/>
          <w:color w:val="auto"/>
        </w:rPr>
      </w:pPr>
      <w:r>
        <w:rPr>
          <w:rFonts w:ascii="Arial" w:cs="Arial" w:eastAsia="Arial" w:hAnsi="Arial"/>
          <w:sz w:val="17"/>
          <w:szCs w:val="17"/>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all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56"/>
        <w:spacing w:after="0" w:line="271" w:lineRule="auto"/>
        <w:tabs>
          <w:tab w:leader="none" w:pos="8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respect to shares of Common Stock, when both: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78" w:lineRule="exact"/>
        <w:rPr>
          <w:rFonts w:ascii="Arial" w:cs="Arial" w:eastAsia="Arial" w:hAnsi="Arial"/>
          <w:sz w:val="17"/>
          <w:szCs w:val="17"/>
          <w:color w:val="auto"/>
        </w:rPr>
      </w:pPr>
    </w:p>
    <w:p>
      <w:pPr>
        <w:jc w:val="both"/>
        <w:ind w:firstLine="656"/>
        <w:spacing w:after="0" w:line="290" w:lineRule="auto"/>
        <w:tabs>
          <w:tab w:leader="none" w:pos="8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Delaware General Corporation Law (the “DGCL”)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left="-656" w:firstLine="656"/>
        <w:spacing w:after="0" w:line="288" w:lineRule="auto"/>
        <w:tabs>
          <w:tab w:leader="none" w:pos="1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either the Senior Indenture or Subordinated Indenture, when: (a) the Trustee is qualified to act as Trustee under the Senior Indenture or Subordinated Indenture, as applicable, and the Company has filed respective Form T-1s for the Trustee with the Commission; (b) the Trustee has duly executed and delivered the Subordinated Indenture or Senior Indenture, as applicable; (c) the Senior Indenture or Subordinated Indenture, as applicable, has been duly authorized and validly executed and delivered by the Company to the Trustee; (d) the Senior Indenture or Subordinated Indenture, as applicable,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Senior Indenture or Subordinated Indenture, as applicable,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applicable Indenture.</w:t>
      </w:r>
    </w:p>
    <w:p>
      <w:pPr>
        <w:spacing w:after="0" w:line="169" w:lineRule="exact"/>
        <w:rPr>
          <w:rFonts w:ascii="Arial" w:cs="Arial" w:eastAsia="Arial" w:hAnsi="Arial"/>
          <w:sz w:val="16"/>
          <w:szCs w:val="16"/>
          <w:color w:val="auto"/>
        </w:rPr>
      </w:pPr>
    </w:p>
    <w:p>
      <w:pPr>
        <w:jc w:val="both"/>
        <w:ind w:left="-656" w:firstLine="656"/>
        <w:spacing w:after="0" w:line="276" w:lineRule="auto"/>
        <w:tabs>
          <w:tab w:leader="none" w:pos="174"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w:t>
      </w:r>
    </w:p>
    <w:p>
      <w:pPr>
        <w:spacing w:after="0" w:line="172" w:lineRule="exact"/>
        <w:rPr>
          <w:rFonts w:ascii="Arial" w:cs="Arial" w:eastAsia="Arial" w:hAnsi="Arial"/>
          <w:sz w:val="17"/>
          <w:szCs w:val="17"/>
          <w:color w:val="auto"/>
        </w:rPr>
      </w:pPr>
    </w:p>
    <w:p>
      <w:pPr>
        <w:jc w:val="both"/>
        <w:ind w:left="-656" w:firstLine="656"/>
        <w:spacing w:after="0" w:line="259" w:lineRule="auto"/>
        <w:tabs>
          <w:tab w:leader="none" w:pos="1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the Units, when both: (a) the Board has taken all necessary corporate action to approve the issuance and terms of the Units and related matters; and (b) and the underlying Securities that are components of the Units, in accordance with the applicable unit agreement, have been duly executed and delivered by the Company against payment therefor, then the Units will be validly issued and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39" w:name="page40"/>
    <w:bookmarkEnd w:id="39"/>
    <w:p>
      <w:pPr>
        <w:jc w:val="both"/>
        <w:ind w:firstLine="656"/>
        <w:spacing w:after="0" w:line="289" w:lineRule="auto"/>
        <w:tabs>
          <w:tab w:leader="none" w:pos="8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“Depository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Attorneys at our Firm are admitted to the practice of law in the State of New York, and we express no opinion as to the laws of any other jurisdiction, other than the Federal laws of the United States of America, the State of New York as to the enforceability of the Debt Securities and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use of this opinion as an exhibit to the Registration Statement, to the use of our firm name as your counsel, and to all references made to us in the Registration Statement and in the Prospectus forming a part thereof. In giving this consent, we do not hereby admit that we are in the category of persons whose consent is required under Section 7 of the Securities Act of 1933, as amended, or the rules and regulations promulgated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5131435</wp:posOffset>
            </wp:positionH>
            <wp:positionV relativeFrom="page">
              <wp:posOffset>226060</wp:posOffset>
            </wp:positionV>
            <wp:extent cx="2272665" cy="797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272665" cy="797560"/>
                    </a:xfrm>
                    <a:prstGeom prst="rect">
                      <a:avLst/>
                    </a:prstGeom>
                    <a:noFill/>
                  </pic:spPr>
                </pic:pic>
              </a:graphicData>
            </a:graphic>
          </wp:anchor>
        </w:drawing>
      </w: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Amendment No. 1 to Registration Statement on Form S-3 (No. 333-218308) of our report dated March 21, 2017, relating to the consolidated financial statements of Imprimis Pharmaceuticals, Inc. and subsidiaries as of December 31, 2016 and 2015 and for each of the two years in the period ended December 31, 2016, appearing in the Annual Report on Form 10-K of Imprimis Pharmaceuticals, Inc. and subsidiaries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142875</wp:posOffset>
            </wp:positionV>
            <wp:extent cx="5085715" cy="591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85715" cy="5918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lvl w:ilvl="1">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8">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3855585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2020-01-17T12:48:59Z</dcterms:created>
  <dcterms:modified xsi:type="dcterms:W3CDTF">2020-01-17T12:48:59Z</dcterms:modified>
</cp:coreProperties>
</file>