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440" w:type="dxa"/>
            <w:vAlign w:val="bottom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1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36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5411470</wp:posOffset>
            </wp:positionH>
            <wp:positionV relativeFrom="paragraph">
              <wp:posOffset>-624840</wp:posOffset>
            </wp:positionV>
            <wp:extent cx="57785" cy="6381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4072255</wp:posOffset>
            </wp:positionH>
            <wp:positionV relativeFrom="paragraph">
              <wp:posOffset>-624840</wp:posOffset>
            </wp:positionV>
            <wp:extent cx="57785" cy="638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-1775460</wp:posOffset>
            </wp:positionH>
            <wp:positionV relativeFrom="paragraph">
              <wp:posOffset>15240</wp:posOffset>
            </wp:positionV>
            <wp:extent cx="7325995" cy="5351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5351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520"/>
            <w:col w:w="8740"/>
          </w:cols>
          <w:pgMar w:left="240" w:top="221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LINDSTROM RICHARD L MD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IMPRIMIS PHARMACEUTICALS,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12264 EL CAMINO REAL, SUITE 350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Imprimis Pharmaceuticals,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IMMY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04/27/2017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" w:right="760" w:hanging="5"/>
        <w:spacing w:after="0" w:line="237" w:lineRule="auto"/>
        <w:tabs>
          <w:tab w:leader="none" w:pos="14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50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5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55"/>
            <w:col w:w="3465"/>
          </w:cols>
          <w:pgMar w:left="240" w:top="221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80" w:type="dxa"/>
            <w:vAlign w:val="bottom"/>
            <w:gridSpan w:val="6"/>
            <w:vMerge w:val="restart"/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9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92130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5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5. Amount of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ind w:left="9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4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ind w:left="9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  (D) or Indirect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4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restart"/>
          </w:tcPr>
          <w:p>
            <w:pPr>
              <w:jc w:val="right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04/27/2017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100,000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1.79</w:t>
            </w: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7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80" w:type="dxa"/>
            <w:vAlign w:val="bottom"/>
            <w:gridSpan w:val="10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1.79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04/27/2017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8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12/27/2019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100,000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Warrant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04/27/2017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Stock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1.79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04/27/2017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12/27/2019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100,000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100,000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Warrant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04/27/2017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Stock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1.79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04/27/2017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8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12/27/2019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100,000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Warrant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04/27/2017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Footnote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180" w:hanging="139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 contribution to the Lindstrom Family Limited Partnership No 2, a limited partnership of which the reporting person is the 100% owner and sole general partner.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9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non-exercisable period for the Purchase Warrant was waived by the Company in exchange for cash exercise, the original date the warrant became exercisable was June 27, 2017.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Richard Lindstrom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05/01/2017</w:t>
            </w:r>
          </w:p>
        </w:tc>
      </w:tr>
      <w:tr>
        <w:trPr>
          <w:trHeight w:val="20"/>
        </w:trPr>
        <w:tc>
          <w:tcPr>
            <w:tcW w:w="1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4060" w:firstLine="1"/>
        <w:spacing w:after="0" w:line="333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1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2177" TargetMode="External"/><Relationship Id="rId13" Type="http://schemas.openxmlformats.org/officeDocument/2006/relationships/hyperlink" Target="http://www.sec.gov/cgi-bin/browse-edgar?action=getcompany&amp;CIK=00013602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2020-01-16T02:18:12Z</dcterms:created>
  <dcterms:modified xsi:type="dcterms:W3CDTF">2020-01-16T02:18:12Z</dcterms:modified>
</cp:coreProperties>
</file>