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39"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7" w:lineRule="exact"/>
        <w:rPr>
          <w:sz w:val="24"/>
          <w:szCs w:val="24"/>
          <w:color w:val="auto"/>
        </w:rPr>
      </w:pPr>
    </w:p>
    <w:p>
      <w:pPr>
        <w:ind w:left="380"/>
        <w:spacing w:after="0" w:line="24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-241935</wp:posOffset>
            </wp:positionV>
            <wp:extent cx="134620" cy="134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4620" cy="1346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8"/>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6520" w:type="dxa"/>
            <w:vAlign w:val="bottom"/>
            <w:vMerge w:val="restart"/>
          </w:tcPr>
          <w:p>
            <w:pPr>
              <w:jc w:val="center"/>
              <w:ind w:right="234"/>
              <w:spacing w:after="0" w:line="14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8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1"/>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14"/>
              <w:spacing w:after="0" w:line="192"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6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1"/>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5458460</wp:posOffset>
            </wp:positionH>
            <wp:positionV relativeFrom="paragraph">
              <wp:posOffset>-641985</wp:posOffset>
            </wp:positionV>
            <wp:extent cx="59055" cy="6553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5320"/>
                    </a:xfrm>
                    <a:prstGeom prst="rect">
                      <a:avLst/>
                    </a:prstGeom>
                    <a:noFill/>
                  </pic:spPr>
                </pic:pic>
              </a:graphicData>
            </a:graphic>
          </wp:anchor>
        </w:drawing>
        <w:drawing>
          <wp:anchor simplePos="0" relativeHeight="251657728" behindDoc="1" locked="0" layoutInCell="0" allowOverlap="1">
            <wp:simplePos x="0" y="0"/>
            <wp:positionH relativeFrom="column">
              <wp:posOffset>4123055</wp:posOffset>
            </wp:positionH>
            <wp:positionV relativeFrom="paragraph">
              <wp:posOffset>-641985</wp:posOffset>
            </wp:positionV>
            <wp:extent cx="59055" cy="6553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532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26670</wp:posOffset>
            </wp:positionV>
            <wp:extent cx="7324090" cy="47885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4788535"/>
                    </a:xfrm>
                    <a:prstGeom prst="rect">
                      <a:avLst/>
                    </a:prstGeom>
                    <a:noFill/>
                  </pic:spPr>
                </pic:pic>
              </a:graphicData>
            </a:graphic>
          </wp:anchor>
        </w:drawing>
      </w:r>
    </w:p>
    <w:p>
      <w:pPr>
        <w:spacing w:after="0" w:line="110" w:lineRule="exact"/>
        <w:rPr>
          <w:sz w:val="24"/>
          <w:szCs w:val="24"/>
          <w:color w:val="auto"/>
        </w:rPr>
      </w:pPr>
    </w:p>
    <w:p>
      <w:pPr>
        <w:sectPr>
          <w:pgSz w:w="11900" w:h="16838" w:orient="portrait"/>
          <w:cols w:equalWidth="0" w:num="2">
            <w:col w:w="2320" w:space="380"/>
            <w:col w:w="8820"/>
          </w:cols>
          <w:pgMar w:left="240" w:top="218"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BAUM MARK L</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HARROW HEALTH, INC.</w:t>
      </w:r>
    </w:p>
    <w:p>
      <w:pPr>
        <w:spacing w:after="0" w:line="6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102 WOODMONT BLVD., SUITE 610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HARROW HEALTH,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HROW</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0"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8"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01/02/2020</w:t>
      </w:r>
    </w:p>
    <w:p>
      <w:pPr>
        <w:spacing w:after="0" w:line="20" w:lineRule="exact"/>
        <w:rPr>
          <w:sz w:val="24"/>
          <w:szCs w:val="24"/>
          <w:color w:val="auto"/>
        </w:rPr>
      </w:pPr>
      <w:r>
        <w:rPr>
          <w:sz w:val="24"/>
          <w:szCs w:val="24"/>
          <w:color w:val="auto"/>
        </w:rPr>
        <w:br w:type="column"/>
      </w:r>
    </w:p>
    <w:p>
      <w:pPr>
        <w:ind w:left="-9" w:right="680" w:firstLine="9"/>
        <w:spacing w:after="0" w:line="268"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11" w:type="dxa"/>
        <w:tblCellMar>
          <w:top w:w="0" w:type="dxa"/>
          <w:left w:w="0" w:type="dxa"/>
          <w:bottom w:w="0" w:type="dxa"/>
          <w:right w:w="0" w:type="dxa"/>
        </w:tblCellMar>
      </w:tblPr>
      <w:tr>
        <w:trPr>
          <w:trHeight w:val="223"/>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Director</w:t>
            </w:r>
          </w:p>
        </w:tc>
        <w:tc>
          <w:tcPr>
            <w:tcW w:w="118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3"/>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20"/>
              <w:spacing w:after="0"/>
              <w:rPr>
                <w:sz w:val="20"/>
                <w:szCs w:val="20"/>
                <w:color w:val="auto"/>
              </w:rPr>
            </w:pPr>
            <w:r>
              <w:rPr>
                <w:rFonts w:ascii="Arial" w:cs="Arial" w:eastAsia="Arial" w:hAnsi="Arial"/>
                <w:sz w:val="13"/>
                <w:szCs w:val="13"/>
                <w:color w:val="auto"/>
              </w:rPr>
              <w:t>Officer (give title</w:t>
            </w:r>
          </w:p>
        </w:tc>
        <w:tc>
          <w:tcPr>
            <w:tcW w:w="1180" w:type="dxa"/>
            <w:vAlign w:val="bottom"/>
          </w:tcPr>
          <w:p>
            <w:pPr>
              <w:ind w:left="360"/>
              <w:spacing w:after="0"/>
              <w:rPr>
                <w:sz w:val="20"/>
                <w:szCs w:val="20"/>
                <w:color w:val="auto"/>
              </w:rPr>
            </w:pPr>
            <w:r>
              <w:rPr>
                <w:rFonts w:ascii="Arial" w:cs="Arial" w:eastAsia="Arial" w:hAnsi="Arial"/>
                <w:sz w:val="13"/>
                <w:szCs w:val="13"/>
                <w:color w:val="auto"/>
                <w:w w:val="98"/>
              </w:rPr>
              <w:t>Other (specify</w:t>
            </w:r>
          </w:p>
        </w:tc>
        <w:tc>
          <w:tcPr>
            <w:tcW w:w="0" w:type="dxa"/>
            <w:vAlign w:val="bottom"/>
          </w:tcPr>
          <w:p>
            <w:pPr>
              <w:spacing w:after="0"/>
              <w:rPr>
                <w:sz w:val="1"/>
                <w:szCs w:val="1"/>
                <w:color w:val="auto"/>
              </w:rPr>
            </w:pPr>
          </w:p>
        </w:tc>
      </w:tr>
      <w:tr>
        <w:trPr>
          <w:trHeight w:val="122"/>
        </w:trPr>
        <w:tc>
          <w:tcPr>
            <w:tcW w:w="220" w:type="dxa"/>
            <w:vAlign w:val="bottom"/>
            <w:vMerge w:val="continue"/>
          </w:tcPr>
          <w:p>
            <w:pPr>
              <w:spacing w:after="0"/>
              <w:rPr>
                <w:sz w:val="10"/>
                <w:szCs w:val="10"/>
                <w:color w:val="auto"/>
              </w:rPr>
            </w:pPr>
          </w:p>
        </w:tc>
        <w:tc>
          <w:tcPr>
            <w:tcW w:w="1400" w:type="dxa"/>
            <w:vAlign w:val="bottom"/>
            <w:vMerge w:val="restart"/>
          </w:tcPr>
          <w:p>
            <w:pPr>
              <w:ind w:left="120"/>
              <w:spacing w:after="0"/>
              <w:rPr>
                <w:sz w:val="20"/>
                <w:szCs w:val="20"/>
                <w:color w:val="auto"/>
              </w:rPr>
            </w:pPr>
            <w:r>
              <w:rPr>
                <w:rFonts w:ascii="Arial" w:cs="Arial" w:eastAsia="Arial" w:hAnsi="Arial"/>
                <w:sz w:val="13"/>
                <w:szCs w:val="13"/>
                <w:color w:val="auto"/>
              </w:rPr>
              <w:t>below)</w:t>
            </w:r>
          </w:p>
        </w:tc>
        <w:tc>
          <w:tcPr>
            <w:tcW w:w="118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6"/>
        </w:trPr>
        <w:tc>
          <w:tcPr>
            <w:tcW w:w="22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831"/>
        <w:spacing w:after="0"/>
        <w:rPr>
          <w:sz w:val="20"/>
          <w:szCs w:val="20"/>
          <w:color w:val="auto"/>
        </w:rPr>
      </w:pPr>
      <w:r>
        <w:rPr>
          <w:rFonts w:ascii="Times New Roman" w:cs="Times New Roman" w:eastAsia="Times New Roman" w:hAnsi="Times New Roman"/>
          <w:sz w:val="17"/>
          <w:szCs w:val="17"/>
          <w:color w:val="0000FF"/>
        </w:rPr>
        <w:t>Chief Executive Officer</w:t>
      </w:r>
    </w:p>
    <w:p>
      <w:pPr>
        <w:spacing w:after="0" w:line="408" w:lineRule="exact"/>
        <w:rPr>
          <w:sz w:val="24"/>
          <w:szCs w:val="24"/>
          <w:color w:val="auto"/>
        </w:rPr>
      </w:pPr>
    </w:p>
    <w:p>
      <w:pPr>
        <w:sectPr>
          <w:pgSz w:w="11900" w:h="16838" w:orient="portrait"/>
          <w:cols w:equalWidth="0" w:num="3">
            <w:col w:w="3340" w:space="720"/>
            <w:col w:w="3269" w:space="720"/>
            <w:col w:w="3471"/>
          </w:cols>
          <w:pgMar w:left="240" w:top="218" w:right="139" w:bottom="1440" w:gutter="0" w:footer="0" w:header="0"/>
          <w:type w:val="continuous"/>
        </w:sectPr>
      </w:pPr>
    </w:p>
    <w:p>
      <w:pPr>
        <w:spacing w:after="0" w:line="212" w:lineRule="exact"/>
        <w:rPr>
          <w:sz w:val="24"/>
          <w:szCs w:val="24"/>
          <w:color w:val="auto"/>
        </w:rPr>
      </w:pPr>
    </w:p>
    <w:tbl>
      <w:tblPr>
        <w:tblLayout w:type="fixed"/>
        <w:tblInd w:w="80" w:type="dxa"/>
        <w:tblCellMar>
          <w:top w:w="0" w:type="dxa"/>
          <w:left w:w="0" w:type="dxa"/>
          <w:bottom w:w="0" w:type="dxa"/>
          <w:right w:w="0" w:type="dxa"/>
        </w:tblCellMar>
      </w:tblPr>
      <w:tr>
        <w:trPr>
          <w:trHeight w:val="178"/>
        </w:trPr>
        <w:tc>
          <w:tcPr>
            <w:tcW w:w="11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5"/>
        </w:trPr>
        <w:tc>
          <w:tcPr>
            <w:tcW w:w="40" w:type="dxa"/>
            <w:vAlign w:val="bottom"/>
          </w:tcPr>
          <w:p>
            <w:pPr>
              <w:spacing w:after="0"/>
              <w:rPr>
                <w:sz w:val="20"/>
                <w:szCs w:val="20"/>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7"/>
                <w:szCs w:val="17"/>
                <w:color w:val="0000FF"/>
              </w:rPr>
              <w:t>NASHVILLE</w:t>
            </w:r>
          </w:p>
        </w:tc>
        <w:tc>
          <w:tcPr>
            <w:tcW w:w="9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TN</w:t>
            </w:r>
          </w:p>
        </w:tc>
        <w:tc>
          <w:tcPr>
            <w:tcW w:w="168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37205</w:t>
            </w:r>
          </w:p>
        </w:tc>
      </w:tr>
      <w:tr>
        <w:trPr>
          <w:trHeight w:val="153"/>
        </w:trPr>
        <w:tc>
          <w:tcPr>
            <w:tcW w:w="4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2"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6" w:lineRule="exact"/>
        <w:rPr>
          <w:sz w:val="24"/>
          <w:szCs w:val="24"/>
          <w:color w:val="auto"/>
        </w:rPr>
      </w:pPr>
    </w:p>
    <w:p>
      <w:pPr>
        <w:ind w:left="4200"/>
        <w:spacing w:after="0"/>
        <w:tabs>
          <w:tab w:leader="none" w:pos="45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3"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Form filed by More than One Reporting</w:t>
      </w:r>
    </w:p>
    <w:p>
      <w:pPr>
        <w:spacing w:after="0" w:line="12" w:lineRule="exact"/>
        <w:rPr>
          <w:sz w:val="24"/>
          <w:szCs w:val="24"/>
          <w:color w:val="auto"/>
        </w:rPr>
      </w:pPr>
    </w:p>
    <w:p>
      <w:pPr>
        <w:ind w:left="4540"/>
        <w:spacing w:after="0"/>
        <w:rPr>
          <w:sz w:val="20"/>
          <w:szCs w:val="20"/>
          <w:color w:val="auto"/>
        </w:rPr>
      </w:pPr>
      <w:r>
        <w:rPr>
          <w:rFonts w:ascii="Arial" w:cs="Arial" w:eastAsia="Arial" w:hAnsi="Arial"/>
          <w:sz w:val="13"/>
          <w:szCs w:val="13"/>
          <w:color w:val="auto"/>
        </w:rPr>
        <w:t>Person</w:t>
      </w:r>
    </w:p>
    <w:p>
      <w:pPr>
        <w:spacing w:after="0" w:line="359" w:lineRule="exact"/>
        <w:rPr>
          <w:sz w:val="24"/>
          <w:szCs w:val="24"/>
          <w:color w:val="auto"/>
        </w:rPr>
      </w:pPr>
    </w:p>
    <w:p>
      <w:pPr>
        <w:sectPr>
          <w:pgSz w:w="11900" w:h="16838" w:orient="portrait"/>
          <w:cols w:equalWidth="0" w:num="2">
            <w:col w:w="3900" w:space="160"/>
            <w:col w:w="7460"/>
          </w:cols>
          <w:pgMar w:left="240" w:top="218"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6"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00" w:type="dxa"/>
            <w:vAlign w:val="bottom"/>
          </w:tcPr>
          <w:p>
            <w:pPr>
              <w:ind w:left="8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 of</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28"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116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Indirect</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ind w:left="8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Beneficial</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9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80" w:type="dxa"/>
            <w:vAlign w:val="bottom"/>
          </w:tcPr>
          <w:p>
            <w:pPr>
              <w:spacing w:after="0"/>
              <w:rPr>
                <w:sz w:val="6"/>
                <w:szCs w:val="6"/>
                <w:color w:val="auto"/>
              </w:rPr>
            </w:pPr>
          </w:p>
        </w:tc>
        <w:tc>
          <w:tcPr>
            <w:tcW w:w="840" w:type="dxa"/>
            <w:vAlign w:val="bottom"/>
            <w:vMerge w:val="restart"/>
          </w:tcPr>
          <w:p>
            <w:pPr>
              <w:ind w:left="100"/>
              <w:spacing w:after="0" w:line="133" w:lineRule="exact"/>
              <w:rPr>
                <w:sz w:val="20"/>
                <w:szCs w:val="20"/>
                <w:color w:val="auto"/>
              </w:rPr>
            </w:pPr>
            <w:r>
              <w:rPr>
                <w:rFonts w:ascii="Arial" w:cs="Arial" w:eastAsia="Arial" w:hAnsi="Arial"/>
                <w:sz w:val="12"/>
                <w:szCs w:val="12"/>
                <w:b w:val="1"/>
                <w:bCs w:val="1"/>
                <w:color w:val="auto"/>
              </w:rPr>
              <w:t>(Instr. 4)</w:t>
            </w: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9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60" w:type="dxa"/>
            <w:vAlign w:val="bottom"/>
            <w:vMerge w:val="continue"/>
          </w:tcPr>
          <w:p>
            <w:pPr>
              <w:spacing w:after="0"/>
              <w:rPr>
                <w:sz w:val="3"/>
                <w:szCs w:val="3"/>
                <w:color w:val="auto"/>
              </w:rPr>
            </w:pPr>
          </w:p>
        </w:tc>
        <w:tc>
          <w:tcPr>
            <w:tcW w:w="9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9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9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60" w:type="dxa"/>
            <w:vAlign w:val="bottom"/>
            <w:vMerge w:val="continue"/>
          </w:tcPr>
          <w:p>
            <w:pPr>
              <w:spacing w:after="0"/>
              <w:rPr>
                <w:sz w:val="5"/>
                <w:szCs w:val="5"/>
                <w:color w:val="auto"/>
              </w:rPr>
            </w:pPr>
          </w:p>
        </w:tc>
        <w:tc>
          <w:tcPr>
            <w:tcW w:w="9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9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60" w:type="dxa"/>
            <w:vAlign w:val="bottom"/>
            <w:tcBorders>
              <w:bottom w:val="single" w:sz="8" w:color="2C2C2C"/>
            </w:tcBorders>
          </w:tcPr>
          <w:p>
            <w:pPr>
              <w:spacing w:after="0"/>
              <w:rPr>
                <w:sz w:val="5"/>
                <w:szCs w:val="5"/>
                <w:color w:val="auto"/>
              </w:rPr>
            </w:pPr>
          </w:p>
        </w:tc>
        <w:tc>
          <w:tcPr>
            <w:tcW w:w="9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90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80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6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60" w:type="dxa"/>
            <w:vAlign w:val="bottom"/>
            <w:tcBorders>
              <w:top w:val="single" w:sz="8" w:color="808080"/>
            </w:tcBorders>
            <w:shd w:val="clear" w:color="auto" w:fill="2C2C2C"/>
          </w:tcPr>
          <w:p>
            <w:pPr>
              <w:spacing w:after="0" w:line="20" w:lineRule="exact"/>
              <w:rPr>
                <w:sz w:val="1"/>
                <w:szCs w:val="1"/>
                <w:color w:val="auto"/>
              </w:rPr>
            </w:pPr>
          </w:p>
        </w:tc>
        <w:tc>
          <w:tcPr>
            <w:tcW w:w="98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9"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80"/>
              <w:spacing w:after="0"/>
              <w:rPr>
                <w:sz w:val="20"/>
                <w:szCs w:val="20"/>
                <w:color w:val="auto"/>
              </w:rPr>
            </w:pPr>
            <w:r>
              <w:rPr>
                <w:rFonts w:ascii="Arial" w:cs="Arial" w:eastAsia="Arial" w:hAnsi="Arial"/>
                <w:sz w:val="12"/>
                <w:szCs w:val="12"/>
                <w:b w:val="1"/>
                <w:bCs w:val="1"/>
                <w:color w:val="auto"/>
              </w:rPr>
              <w:t>5. Number of</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4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Securities</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Underlying</w:t>
            </w:r>
          </w:p>
        </w:tc>
        <w:tc>
          <w:tcPr>
            <w:tcW w:w="64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 (A)</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and 4)</w:t>
            </w: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9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700" w:type="dxa"/>
            <w:vAlign w:val="bottom"/>
          </w:tcPr>
          <w:p>
            <w:pPr>
              <w:spacing w:after="0"/>
              <w:rPr>
                <w:sz w:val="6"/>
                <w:szCs w:val="6"/>
                <w:color w:val="auto"/>
              </w:rPr>
            </w:pPr>
          </w:p>
        </w:tc>
        <w:tc>
          <w:tcPr>
            <w:tcW w:w="96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6"/>
                <w:szCs w:val="6"/>
                <w:color w:val="auto"/>
              </w:rPr>
            </w:pPr>
          </w:p>
        </w:tc>
        <w:tc>
          <w:tcPr>
            <w:tcW w:w="7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700" w:type="dxa"/>
            <w:vAlign w:val="bottom"/>
          </w:tcPr>
          <w:p>
            <w:pPr>
              <w:spacing w:after="0"/>
              <w:rPr>
                <w:sz w:val="3"/>
                <w:szCs w:val="3"/>
                <w:color w:val="auto"/>
              </w:rPr>
            </w:pPr>
          </w:p>
        </w:tc>
        <w:tc>
          <w:tcPr>
            <w:tcW w:w="9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0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9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Number</w:t>
            </w:r>
          </w:p>
        </w:tc>
        <w:tc>
          <w:tcPr>
            <w:tcW w:w="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90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00" w:type="dxa"/>
            <w:vAlign w:val="bottom"/>
            <w:vMerge w:val="continue"/>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2"/>
                <w:szCs w:val="12"/>
                <w:b w:val="1"/>
                <w:bCs w:val="1"/>
                <w:color w:val="auto"/>
              </w:rPr>
              <w:t>of Shares</w:t>
            </w:r>
          </w:p>
        </w:tc>
        <w:tc>
          <w:tcPr>
            <w:tcW w:w="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Option -</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40" w:type="dxa"/>
            <w:vAlign w:val="bottom"/>
          </w:tcPr>
          <w:p>
            <w:pPr>
              <w:spacing w:after="0"/>
              <w:rPr>
                <w:sz w:val="16"/>
                <w:szCs w:val="16"/>
                <w:color w:val="auto"/>
              </w:rPr>
            </w:pPr>
          </w:p>
        </w:tc>
        <w:tc>
          <w:tcPr>
            <w:tcW w:w="70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right"/>
              <w:ind w:right="12"/>
              <w:spacing w:after="0"/>
              <w:rPr>
                <w:sz w:val="20"/>
                <w:szCs w:val="20"/>
                <w:color w:val="auto"/>
              </w:rPr>
            </w:pPr>
            <w:r>
              <w:rPr>
                <w:rFonts w:ascii="Times New Roman" w:cs="Times New Roman" w:eastAsia="Times New Roman" w:hAnsi="Times New Roman"/>
                <w:sz w:val="17"/>
                <w:szCs w:val="17"/>
                <w:color w:val="0000FF"/>
                <w:w w:val="97"/>
              </w:rPr>
              <w:t>217,500</w:t>
            </w:r>
          </w:p>
        </w:tc>
        <w:tc>
          <w:tcPr>
            <w:tcW w:w="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700" w:type="dxa"/>
            <w:vAlign w:val="bottom"/>
          </w:tcPr>
          <w:p>
            <w:pPr>
              <w:ind w:left="60"/>
              <w:spacing w:after="0" w:line="132" w:lineRule="exact"/>
              <w:rPr>
                <w:sz w:val="20"/>
                <w:szCs w:val="20"/>
                <w:color w:val="auto"/>
              </w:rPr>
            </w:pPr>
            <w:r>
              <w:rPr>
                <w:rFonts w:ascii="Times New Roman" w:cs="Times New Roman" w:eastAsia="Times New Roman" w:hAnsi="Times New Roman"/>
                <w:sz w:val="13"/>
                <w:szCs w:val="13"/>
                <w:color w:val="0000FF"/>
              </w:rPr>
              <w:t>Right to</w:t>
            </w:r>
          </w:p>
        </w:tc>
        <w:tc>
          <w:tcPr>
            <w:tcW w:w="800" w:type="dxa"/>
            <w:vAlign w:val="bottom"/>
          </w:tcPr>
          <w:p>
            <w:pPr>
              <w:jc w:val="center"/>
              <w:ind w:right="20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7.3</w:t>
            </w:r>
          </w:p>
        </w:tc>
        <w:tc>
          <w:tcPr>
            <w:tcW w:w="1120" w:type="dxa"/>
            <w:vAlign w:val="bottom"/>
          </w:tcPr>
          <w:p>
            <w:pPr>
              <w:jc w:val="right"/>
              <w:ind w:right="198"/>
              <w:spacing w:after="0" w:line="132" w:lineRule="exact"/>
              <w:rPr>
                <w:sz w:val="20"/>
                <w:szCs w:val="20"/>
                <w:color w:val="auto"/>
              </w:rPr>
            </w:pPr>
            <w:r>
              <w:rPr>
                <w:rFonts w:ascii="Times New Roman" w:cs="Times New Roman" w:eastAsia="Times New Roman" w:hAnsi="Times New Roman"/>
                <w:sz w:val="13"/>
                <w:szCs w:val="13"/>
                <w:color w:val="0000FF"/>
              </w:rPr>
              <w:t>01/02/2020</w:t>
            </w:r>
          </w:p>
        </w:tc>
        <w:tc>
          <w:tcPr>
            <w:tcW w:w="1100" w:type="dxa"/>
            <w:vAlign w:val="bottom"/>
          </w:tcPr>
          <w:p>
            <w:pPr>
              <w:spacing w:after="0"/>
              <w:rPr>
                <w:sz w:val="11"/>
                <w:szCs w:val="11"/>
                <w:color w:val="auto"/>
              </w:rPr>
            </w:pPr>
          </w:p>
        </w:tc>
        <w:tc>
          <w:tcPr>
            <w:tcW w:w="820" w:type="dxa"/>
            <w:vAlign w:val="bottom"/>
          </w:tcPr>
          <w:p>
            <w:pPr>
              <w:ind w:left="180"/>
              <w:spacing w:after="0" w:line="132" w:lineRule="exact"/>
              <w:rPr>
                <w:sz w:val="20"/>
                <w:szCs w:val="20"/>
                <w:color w:val="auto"/>
              </w:rPr>
            </w:pPr>
            <w:r>
              <w:rPr>
                <w:rFonts w:ascii="Times New Roman" w:cs="Times New Roman" w:eastAsia="Times New Roman" w:hAnsi="Times New Roman"/>
                <w:sz w:val="13"/>
                <w:szCs w:val="13"/>
                <w:color w:val="0000FF"/>
              </w:rPr>
              <w:t>A</w:t>
            </w:r>
          </w:p>
        </w:tc>
        <w:tc>
          <w:tcPr>
            <w:tcW w:w="900" w:type="dxa"/>
            <w:vAlign w:val="bottom"/>
          </w:tcPr>
          <w:p>
            <w:pPr>
              <w:jc w:val="right"/>
              <w:ind w:right="19"/>
              <w:spacing w:after="0" w:line="132" w:lineRule="exact"/>
              <w:rPr>
                <w:sz w:val="20"/>
                <w:szCs w:val="20"/>
                <w:color w:val="auto"/>
              </w:rPr>
            </w:pPr>
            <w:r>
              <w:rPr>
                <w:rFonts w:ascii="Times New Roman" w:cs="Times New Roman" w:eastAsia="Times New Roman" w:hAnsi="Times New Roman"/>
                <w:sz w:val="13"/>
                <w:szCs w:val="13"/>
                <w:color w:val="0000FF"/>
              </w:rPr>
              <w:t>217,500</w:t>
            </w:r>
          </w:p>
        </w:tc>
        <w:tc>
          <w:tcPr>
            <w:tcW w:w="800" w:type="dxa"/>
            <w:vAlign w:val="bottom"/>
            <w:vMerge w:val="continue"/>
          </w:tcPr>
          <w:p>
            <w:pPr>
              <w:spacing w:after="0"/>
              <w:rPr>
                <w:sz w:val="11"/>
                <w:szCs w:val="11"/>
                <w:color w:val="auto"/>
              </w:rPr>
            </w:pPr>
          </w:p>
        </w:tc>
        <w:tc>
          <w:tcPr>
            <w:tcW w:w="740" w:type="dxa"/>
            <w:vAlign w:val="bottom"/>
          </w:tcPr>
          <w:p>
            <w:pPr>
              <w:ind w:left="80"/>
              <w:spacing w:after="0" w:line="132" w:lineRule="exact"/>
              <w:rPr>
                <w:sz w:val="20"/>
                <w:szCs w:val="20"/>
                <w:color w:val="auto"/>
              </w:rPr>
            </w:pPr>
            <w:r>
              <w:rPr>
                <w:rFonts w:ascii="Times New Roman" w:cs="Times New Roman" w:eastAsia="Times New Roman" w:hAnsi="Times New Roman"/>
                <w:sz w:val="13"/>
                <w:szCs w:val="13"/>
                <w:color w:val="0000FF"/>
              </w:rPr>
              <w:t>01/02/2030</w:t>
            </w:r>
          </w:p>
        </w:tc>
        <w:tc>
          <w:tcPr>
            <w:tcW w:w="700" w:type="dxa"/>
            <w:vAlign w:val="bottom"/>
            <w:vMerge w:val="continue"/>
          </w:tcPr>
          <w:p>
            <w:pPr>
              <w:spacing w:after="0"/>
              <w:rPr>
                <w:sz w:val="11"/>
                <w:szCs w:val="11"/>
                <w:color w:val="auto"/>
              </w:rPr>
            </w:pPr>
          </w:p>
        </w:tc>
        <w:tc>
          <w:tcPr>
            <w:tcW w:w="640" w:type="dxa"/>
            <w:vAlign w:val="bottom"/>
            <w:vMerge w:val="continue"/>
          </w:tcPr>
          <w:p>
            <w:pPr>
              <w:spacing w:after="0"/>
              <w:rPr>
                <w:sz w:val="11"/>
                <w:szCs w:val="11"/>
                <w:color w:val="auto"/>
              </w:rPr>
            </w:pPr>
          </w:p>
        </w:tc>
        <w:tc>
          <w:tcPr>
            <w:tcW w:w="700" w:type="dxa"/>
            <w:vAlign w:val="bottom"/>
          </w:tcPr>
          <w:p>
            <w:pPr>
              <w:ind w:left="200"/>
              <w:spacing w:after="0" w:line="13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960" w:type="dxa"/>
            <w:vAlign w:val="bottom"/>
          </w:tcPr>
          <w:p>
            <w:pPr>
              <w:jc w:val="right"/>
              <w:ind w:right="199"/>
              <w:spacing w:after="0" w:line="132" w:lineRule="exact"/>
              <w:rPr>
                <w:sz w:val="20"/>
                <w:szCs w:val="20"/>
                <w:color w:val="auto"/>
              </w:rPr>
            </w:pPr>
            <w:r>
              <w:rPr>
                <w:rFonts w:ascii="Times New Roman" w:cs="Times New Roman" w:eastAsia="Times New Roman" w:hAnsi="Times New Roman"/>
                <w:sz w:val="13"/>
                <w:szCs w:val="13"/>
                <w:color w:val="0000FF"/>
              </w:rPr>
              <w:t>217,500</w:t>
            </w:r>
          </w:p>
        </w:tc>
        <w:tc>
          <w:tcPr>
            <w:tcW w:w="760" w:type="dxa"/>
            <w:vAlign w:val="bottom"/>
          </w:tcPr>
          <w:p>
            <w:pPr>
              <w:ind w:left="340"/>
              <w:spacing w:after="0" w:line="132" w:lineRule="exact"/>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ind w:left="180"/>
              <w:spacing w:after="0" w:line="146" w:lineRule="exact"/>
              <w:rPr>
                <w:sz w:val="20"/>
                <w:szCs w:val="20"/>
                <w:color w:val="auto"/>
              </w:rPr>
            </w:pPr>
            <w:r>
              <w:rPr>
                <w:rFonts w:ascii="Times New Roman" w:cs="Times New Roman" w:eastAsia="Times New Roman" w:hAnsi="Times New Roman"/>
                <w:sz w:val="13"/>
                <w:szCs w:val="13"/>
                <w:color w:val="0000FF"/>
              </w:rPr>
              <w:t>Stock</w:t>
            </w:r>
          </w:p>
        </w:tc>
        <w:tc>
          <w:tcPr>
            <w:tcW w:w="6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700" w:type="dxa"/>
            <w:vAlign w:val="bottom"/>
            <w:vMerge w:val="continue"/>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2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00" w:type="dxa"/>
            <w:vAlign w:val="bottom"/>
            <w:vMerge w:val="restart"/>
          </w:tcPr>
          <w:p>
            <w:pPr>
              <w:jc w:val="center"/>
              <w:ind w:righ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1120" w:type="dxa"/>
            <w:vAlign w:val="bottom"/>
            <w:vMerge w:val="restart"/>
          </w:tcPr>
          <w:p>
            <w:pPr>
              <w:jc w:val="right"/>
              <w:ind w:right="198"/>
              <w:spacing w:after="0"/>
              <w:rPr>
                <w:sz w:val="20"/>
                <w:szCs w:val="20"/>
                <w:color w:val="auto"/>
              </w:rPr>
            </w:pPr>
            <w:r>
              <w:rPr>
                <w:rFonts w:ascii="Times New Roman" w:cs="Times New Roman" w:eastAsia="Times New Roman" w:hAnsi="Times New Roman"/>
                <w:sz w:val="13"/>
                <w:szCs w:val="13"/>
                <w:color w:val="0000FF"/>
              </w:rPr>
              <w:t>01/02/2020</w:t>
            </w:r>
          </w:p>
        </w:tc>
        <w:tc>
          <w:tcPr>
            <w:tcW w:w="1100" w:type="dxa"/>
            <w:vAlign w:val="bottom"/>
          </w:tcPr>
          <w:p>
            <w:pPr>
              <w:spacing w:after="0"/>
              <w:rPr>
                <w:sz w:val="16"/>
                <w:szCs w:val="16"/>
                <w:color w:val="auto"/>
              </w:rPr>
            </w:pPr>
          </w:p>
        </w:tc>
        <w:tc>
          <w:tcPr>
            <w:tcW w:w="82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900" w:type="dxa"/>
            <w:vAlign w:val="bottom"/>
            <w:vMerge w:val="restart"/>
          </w:tcPr>
          <w:p>
            <w:pPr>
              <w:jc w:val="right"/>
              <w:ind w:right="39"/>
              <w:spacing w:after="0"/>
              <w:rPr>
                <w:sz w:val="20"/>
                <w:szCs w:val="20"/>
                <w:color w:val="auto"/>
              </w:rPr>
            </w:pPr>
            <w:r>
              <w:rPr>
                <w:rFonts w:ascii="Times New Roman" w:cs="Times New Roman" w:eastAsia="Times New Roman" w:hAnsi="Times New Roman"/>
                <w:sz w:val="13"/>
                <w:szCs w:val="13"/>
                <w:color w:val="0000FF"/>
              </w:rPr>
              <w:t>88,000</w:t>
            </w:r>
          </w:p>
        </w:tc>
        <w:tc>
          <w:tcPr>
            <w:tcW w:w="80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(2)</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01/02/2023</w:t>
            </w:r>
          </w:p>
        </w:tc>
        <w:tc>
          <w:tcPr>
            <w:tcW w:w="70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vMerge w:val="restart"/>
          </w:tcPr>
          <w:p>
            <w:pPr>
              <w:jc w:val="right"/>
              <w:ind w:right="52"/>
              <w:spacing w:after="0"/>
              <w:rPr>
                <w:sz w:val="20"/>
                <w:szCs w:val="20"/>
                <w:color w:val="auto"/>
              </w:rPr>
            </w:pPr>
            <w:r>
              <w:rPr>
                <w:rFonts w:ascii="Times New Roman" w:cs="Times New Roman" w:eastAsia="Times New Roman" w:hAnsi="Times New Roman"/>
                <w:sz w:val="17"/>
                <w:szCs w:val="17"/>
                <w:color w:val="0000FF"/>
              </w:rPr>
              <w:t>88,000</w:t>
            </w:r>
          </w:p>
        </w:tc>
        <w:tc>
          <w:tcPr>
            <w:tcW w:w="700" w:type="dxa"/>
            <w:vAlign w:val="bottom"/>
            <w:vMerge w:val="restart"/>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0.00</w:t>
            </w:r>
          </w:p>
        </w:tc>
        <w:tc>
          <w:tcPr>
            <w:tcW w:w="960" w:type="dxa"/>
            <w:vAlign w:val="bottom"/>
            <w:vMerge w:val="restart"/>
          </w:tcPr>
          <w:p>
            <w:pPr>
              <w:jc w:val="right"/>
              <w:ind w:right="219"/>
              <w:spacing w:after="0"/>
              <w:rPr>
                <w:sz w:val="20"/>
                <w:szCs w:val="20"/>
                <w:color w:val="auto"/>
              </w:rPr>
            </w:pPr>
            <w:r>
              <w:rPr>
                <w:rFonts w:ascii="Times New Roman" w:cs="Times New Roman" w:eastAsia="Times New Roman" w:hAnsi="Times New Roman"/>
                <w:sz w:val="13"/>
                <w:szCs w:val="13"/>
                <w:color w:val="0000FF"/>
              </w:rPr>
              <w:t>88,000</w:t>
            </w:r>
          </w:p>
        </w:tc>
        <w:tc>
          <w:tcPr>
            <w:tcW w:w="7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8"/>
        </w:trPr>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800" w:type="dxa"/>
            <w:vAlign w:val="bottom"/>
            <w:vMerge w:val="continue"/>
          </w:tcPr>
          <w:p>
            <w:pPr>
              <w:spacing w:after="0"/>
              <w:rPr>
                <w:sz w:val="10"/>
                <w:szCs w:val="10"/>
                <w:color w:val="auto"/>
              </w:rPr>
            </w:pPr>
          </w:p>
        </w:tc>
        <w:tc>
          <w:tcPr>
            <w:tcW w:w="1120" w:type="dxa"/>
            <w:vAlign w:val="bottom"/>
            <w:vMerge w:val="continue"/>
          </w:tcPr>
          <w:p>
            <w:pPr>
              <w:spacing w:after="0"/>
              <w:rPr>
                <w:sz w:val="10"/>
                <w:szCs w:val="10"/>
                <w:color w:val="auto"/>
              </w:rPr>
            </w:pPr>
          </w:p>
        </w:tc>
        <w:tc>
          <w:tcPr>
            <w:tcW w:w="1100" w:type="dxa"/>
            <w:vAlign w:val="bottom"/>
          </w:tcPr>
          <w:p>
            <w:pPr>
              <w:spacing w:after="0"/>
              <w:rPr>
                <w:sz w:val="10"/>
                <w:szCs w:val="10"/>
                <w:color w:val="auto"/>
              </w:rPr>
            </w:pPr>
          </w:p>
        </w:tc>
        <w:tc>
          <w:tcPr>
            <w:tcW w:w="82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80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7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Stock</w:t>
            </w:r>
          </w:p>
        </w:tc>
        <w:tc>
          <w:tcPr>
            <w:tcW w:w="640" w:type="dxa"/>
            <w:vAlign w:val="bottom"/>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960" w:type="dxa"/>
            <w:vAlign w:val="bottom"/>
            <w:vMerge w:val="continue"/>
          </w:tcPr>
          <w:p>
            <w:pPr>
              <w:spacing w:after="0"/>
              <w:rPr>
                <w:sz w:val="10"/>
                <w:szCs w:val="10"/>
                <w:color w:val="auto"/>
              </w:rPr>
            </w:pPr>
          </w:p>
        </w:tc>
        <w:tc>
          <w:tcPr>
            <w:tcW w:w="760" w:type="dxa"/>
            <w:vAlign w:val="bottom"/>
            <w:vMerge w:val="continue"/>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70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00" w:type="dxa"/>
            <w:vAlign w:val="bottom"/>
          </w:tcPr>
          <w:p>
            <w:pPr>
              <w:spacing w:after="0"/>
              <w:rPr>
                <w:sz w:val="4"/>
                <w:szCs w:val="4"/>
                <w:color w:val="auto"/>
              </w:rPr>
            </w:pPr>
          </w:p>
        </w:tc>
        <w:tc>
          <w:tcPr>
            <w:tcW w:w="820" w:type="dxa"/>
            <w:vAlign w:val="bottom"/>
          </w:tcPr>
          <w:p>
            <w:pPr>
              <w:spacing w:after="0"/>
              <w:rPr>
                <w:sz w:val="4"/>
                <w:szCs w:val="4"/>
                <w:color w:val="auto"/>
              </w:rPr>
            </w:pPr>
          </w:p>
        </w:tc>
        <w:tc>
          <w:tcPr>
            <w:tcW w:w="900" w:type="dxa"/>
            <w:vAlign w:val="bottom"/>
          </w:tcPr>
          <w:p>
            <w:pPr>
              <w:spacing w:after="0"/>
              <w:rPr>
                <w:sz w:val="4"/>
                <w:szCs w:val="4"/>
                <w:color w:val="auto"/>
              </w:rPr>
            </w:pPr>
          </w:p>
        </w:tc>
        <w:tc>
          <w:tcPr>
            <w:tcW w:w="800" w:type="dxa"/>
            <w:vAlign w:val="bottom"/>
          </w:tcPr>
          <w:p>
            <w:pPr>
              <w:spacing w:after="0"/>
              <w:rPr>
                <w:sz w:val="4"/>
                <w:szCs w:val="4"/>
                <w:color w:val="auto"/>
              </w:rPr>
            </w:pPr>
          </w:p>
        </w:tc>
        <w:tc>
          <w:tcPr>
            <w:tcW w:w="740" w:type="dxa"/>
            <w:vAlign w:val="bottom"/>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6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5" w:lineRule="exact"/>
        <w:rPr>
          <w:sz w:val="24"/>
          <w:szCs w:val="24"/>
          <w:color w:val="auto"/>
        </w:rPr>
      </w:pPr>
    </w:p>
    <w:p>
      <w:pPr>
        <w:ind w:left="180" w:hanging="134"/>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stock options granted under the Issuer's 2017 Stock Incentive and Awards Plan (the "Plan"). The stock options vest in equal quarterly installments over a three-year period.</w:t>
      </w:r>
    </w:p>
    <w:p>
      <w:pPr>
        <w:spacing w:after="0" w:line="48" w:lineRule="exact"/>
        <w:rPr>
          <w:rFonts w:ascii="Times New Roman" w:cs="Times New Roman" w:eastAsia="Times New Roman" w:hAnsi="Times New Roman"/>
          <w:sz w:val="13"/>
          <w:szCs w:val="13"/>
          <w:color w:val="008000"/>
        </w:rPr>
      </w:pPr>
    </w:p>
    <w:p>
      <w:pPr>
        <w:ind w:left="40" w:right="380" w:firstLine="6"/>
        <w:spacing w:after="0" w:line="269" w:lineRule="auto"/>
        <w:tabs>
          <w:tab w:leader="none" w:pos="172"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granted under the Plan. Each RSU represents a contingent right to receive one share of common stock of the Issuer upon the vesting and settlement of the RSU. The RSUs vest and settle in full on the third anniversary of the date of grant.</w:t>
      </w:r>
    </w:p>
    <w:p>
      <w:pPr>
        <w:spacing w:after="0" w:line="25"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Mark L. Baum</w:t>
            </w:r>
          </w:p>
        </w:tc>
        <w:tc>
          <w:tcPr>
            <w:tcW w:w="98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01/06/2020</w:t>
            </w:r>
          </w:p>
        </w:tc>
      </w:tr>
      <w:tr>
        <w:trPr>
          <w:trHeight w:val="20"/>
        </w:trPr>
        <w:tc>
          <w:tcPr>
            <w:tcW w:w="122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1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80" w:type="dxa"/>
            <w:vAlign w:val="bottom"/>
            <w:gridSpan w:val="2"/>
          </w:tcPr>
          <w:p>
            <w:pPr>
              <w:ind w:left="180"/>
              <w:spacing w:after="0"/>
              <w:rPr>
                <w:sz w:val="20"/>
                <w:szCs w:val="20"/>
                <w:color w:val="auto"/>
              </w:rPr>
            </w:pPr>
            <w:r>
              <w:rPr>
                <w:rFonts w:ascii="Arial" w:cs="Arial" w:eastAsia="Arial" w:hAnsi="Arial"/>
                <w:sz w:val="13"/>
                <w:szCs w:val="13"/>
                <w:color w:val="auto"/>
              </w:rPr>
              <w:t>Date</w:t>
            </w:r>
          </w:p>
        </w:tc>
      </w:tr>
    </w:tbl>
    <w:p>
      <w:pPr>
        <w:spacing w:after="0" w:line="2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4"/>
          <w:szCs w:val="24"/>
          <w:color w:val="auto"/>
        </w:rPr>
      </w:pPr>
    </w:p>
    <w:p>
      <w:pPr>
        <w:jc w:val="both"/>
        <w:ind w:left="40" w:right="3840" w:firstLine="6"/>
        <w:spacing w:after="0" w:line="316" w:lineRule="auto"/>
        <w:tabs>
          <w:tab w:leader="none" w:pos="180"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8"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74282" TargetMode="External"/><Relationship Id="rId13" Type="http://schemas.openxmlformats.org/officeDocument/2006/relationships/hyperlink" Target="http://www.sec.gov/cgi-bin/browse-edgar?action=getcompany&amp;CIK=00013602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2020-01-06T18:47:51Z</dcterms:created>
  <dcterms:modified xsi:type="dcterms:W3CDTF">2020-01-06T18:47:51Z</dcterms:modified>
</cp:coreProperties>
</file>