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333-198675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September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5715</wp:posOffset>
            </wp:positionV>
            <wp:extent cx="1123315"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2,900,000 Shares of Common Stock</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We are selling 2,900,000 </w:t>
      </w:r>
      <w:r>
        <w:rPr>
          <w:rFonts w:ascii="Arial" w:cs="Arial" w:eastAsia="Arial" w:hAnsi="Arial"/>
          <w:sz w:val="18"/>
          <w:szCs w:val="18"/>
          <w:b w:val="1"/>
          <w:bCs w:val="1"/>
          <w:color w:val="auto"/>
        </w:rPr>
        <w:t>s</w:t>
      </w:r>
      <w:r>
        <w:rPr>
          <w:rFonts w:ascii="Arial" w:cs="Arial" w:eastAsia="Arial" w:hAnsi="Arial"/>
          <w:sz w:val="18"/>
          <w:szCs w:val="18"/>
          <w:color w:val="auto"/>
        </w:rPr>
        <w:t>hares of our common stock.</w:t>
      </w:r>
    </w:p>
    <w:p>
      <w:pPr>
        <w:spacing w:after="0" w:line="229"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common stock is listed on the NASDAQ Capital Market under the symbol “IMMY.” On March 10, 2016, the last reported sales price of our common stock on the NASDAQ Capital Market was $4.09 per share. Based on 9,770,678 shares of outstanding common stock as of January 28, 2016, of which 7,381,235 were held by non-affiliates as of such date, and a per share price of $5.96 as of January 28, 2016, the last reported sales price of our common stock on the NASDAQ Capital Market on such date, the aggregate market value of our outstanding common stock held by non-affiliates is approximately $43,992,161. The aggregate amount of all securities we have offered and sold pursuant to General Instruction I.B.6 of Form S-3 during the twelve calendar month period that ends on, and includes, the date of this prospectus supplement is $10,965,959, inclusive of the shares offered hereby.</w:t>
      </w:r>
    </w:p>
    <w:p>
      <w:pPr>
        <w:spacing w:after="0" w:line="161"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 investment decision, you should carefully review and consider all of the information set forth in this prospectus supplement, the accompanying prospectus and the documents incorporated by reference herein and therein, including the risks and uncertainties described under “Risk Factors” beginning on page S-5 of this prospectus supplement and the risk factors incorporated by reference into this prospectus supplement and the accompanying prospectus.</w:t>
      </w:r>
    </w:p>
    <w:p>
      <w:pPr>
        <w:spacing w:after="0" w:line="165"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6" w:lineRule="exact"/>
        <w:rPr>
          <w:sz w:val="24"/>
          <w:szCs w:val="24"/>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Per Share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Underwriting Discount (1)(2)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0.252</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730,800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9,709,200</w:t>
            </w:r>
          </w:p>
        </w:tc>
        <w:tc>
          <w:tcPr>
            <w:tcW w:w="80" w:type="dxa"/>
            <w:vAlign w:val="bottom"/>
            <w:shd w:val="clear" w:color="auto" w:fill="CCEEFF"/>
          </w:tcPr>
          <w:p>
            <w:pPr>
              <w:spacing w:after="0"/>
              <w:rPr>
                <w:sz w:val="18"/>
                <w:szCs w:val="18"/>
                <w:color w:val="auto"/>
              </w:rPr>
            </w:pPr>
          </w:p>
        </w:tc>
      </w:tr>
    </w:tbl>
    <w:p>
      <w:pPr>
        <w:spacing w:after="0" w:line="202" w:lineRule="exact"/>
        <w:rPr>
          <w:sz w:val="24"/>
          <w:szCs w:val="24"/>
          <w:color w:val="auto"/>
        </w:rPr>
      </w:pPr>
    </w:p>
    <w:p>
      <w:pPr>
        <w:jc w:val="both"/>
        <w:ind w:left="980" w:hanging="324"/>
        <w:spacing w:after="0" w:line="25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reimburse up to $60,000 of the out-of-pocket fees and expenses of the representative of the underwriters in connection with this offering, plus a non-accountable expense allowance in the amount of 50% of any underwriting compensation payable to Sterne Agee CRT in connection with the sale of the shares in this offering. See “Underwriting” for additional information about compensation arrangements.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Notwithstanding the foregoing, we and the underwriters have agreed that the underwriters will only be entitled to a 3.0% discount (or $0.108 per share) for the participation of two investors with which we have a pre-existing relationship.</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We have granted the underwriters a 45-day option to purchase up to 435,000 additional shares of common stock from us at the public offering price, less the underwriting discount, set forth above to cover over-allotments, if any.</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underwriters expect to deliver the shares against payment through the facilities of the Depository Trust Company on or about March 16, 2016.</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Securities Corporation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Sterne Agee CRT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The date of this prospectus supplement is </w:t>
      </w:r>
      <w:r>
        <w:rPr>
          <w:rFonts w:ascii="Arial" w:cs="Arial" w:eastAsia="Arial" w:hAnsi="Arial"/>
          <w:sz w:val="18"/>
          <w:szCs w:val="18"/>
          <w:b w:val="1"/>
          <w:bCs w:val="1"/>
          <w:color w:val="auto"/>
        </w:rPr>
        <w:t>March 11</w:t>
      </w:r>
      <w:r>
        <w:rPr>
          <w:rFonts w:ascii="Arial" w:cs="Arial" w:eastAsia="Arial" w:hAnsi="Arial"/>
          <w:sz w:val="18"/>
          <w:szCs w:val="18"/>
          <w:color w:val="auto"/>
        </w:rPr>
        <w:t>,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8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0" w:type="dxa"/>
            <w:vAlign w:val="bottom"/>
            <w:gridSpan w:val="18"/>
          </w:tcPr>
          <w:p>
            <w:pPr>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80" w:type="dxa"/>
            <w:vAlign w:val="bottom"/>
            <w:gridSpan w:val="17"/>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S-i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tcBorders>
              <w:top w:val="single" w:sz="8" w:color="0000EE"/>
            </w:tcBorders>
            <w:gridSpan w:val="13"/>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PROSPECTUS SUPPLEMENT SUMMARY</w:t>
              </w:r>
            </w:hyperlink>
          </w:p>
        </w:tc>
        <w:tc>
          <w:tcPr>
            <w:tcW w:w="6960" w:type="dxa"/>
            <w:vAlign w:val="bottom"/>
            <w:tcBorders>
              <w:top w:val="single" w:sz="8" w:color="CCEEFF"/>
            </w:tcBorders>
            <w:gridSpan w:val="4"/>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RISK FACTORS</w:t>
              </w:r>
            </w:hyperlink>
          </w:p>
        </w:tc>
        <w:tc>
          <w:tcPr>
            <w:tcW w:w="9140" w:type="dxa"/>
            <w:vAlign w:val="bottom"/>
            <w:tcBorders>
              <w:bottom w:val="single" w:sz="8" w:color="CCEEFF"/>
            </w:tcBorders>
            <w:gridSpan w:val="14"/>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3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DILUTION</w:t>
              </w:r>
            </w:hyperlink>
          </w:p>
        </w:tc>
        <w:tc>
          <w:tcPr>
            <w:tcW w:w="8820" w:type="dxa"/>
            <w:vAlign w:val="bottom"/>
            <w:tcBorders>
              <w:top w:val="single" w:sz="8" w:color="CCEEFF"/>
            </w:tcBorders>
            <w:gridSpan w:val="11"/>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UNDERWRITING</w:t>
              </w:r>
            </w:hyperlink>
          </w:p>
        </w:tc>
        <w:tc>
          <w:tcPr>
            <w:tcW w:w="9000" w:type="dxa"/>
            <w:vAlign w:val="bottom"/>
            <w:tcBorders>
              <w:bottom w:val="single" w:sz="8" w:color="CCEEFF"/>
            </w:tcBorders>
            <w:gridSpan w:val="13"/>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3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EXPERTS</w:t>
              </w:r>
            </w:hyperlink>
          </w:p>
        </w:tc>
        <w:tc>
          <w:tcPr>
            <w:tcW w:w="9620" w:type="dxa"/>
            <w:vAlign w:val="bottom"/>
            <w:tcBorders>
              <w:bottom w:val="single" w:sz="8" w:color="CCEEFF"/>
            </w:tcBorders>
            <w:gridSpan w:val="16"/>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INCORPORATION OF CERTAIN DOCUMENTS BY REFERENCE</w:t>
              </w:r>
            </w:hyperlink>
          </w:p>
        </w:tc>
        <w:tc>
          <w:tcPr>
            <w:tcW w:w="3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400" w:type="dxa"/>
            <w:vAlign w:val="bottom"/>
            <w:gridSpan w:val="18"/>
          </w:tcPr>
          <w:p>
            <w:pPr>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80" w:type="dxa"/>
            <w:vAlign w:val="bottom"/>
            <w:tcBorders>
              <w:bottom w:val="single" w:sz="8" w:color="0000EE"/>
            </w:tcBorders>
            <w:gridSpan w:val="8"/>
            <w:shd w:val="clear" w:color="auto" w:fill="CCEEFF"/>
          </w:tcPr>
          <w:p>
            <w:pPr>
              <w:spacing w:after="0" w:line="136" w:lineRule="exact"/>
              <w:rPr>
                <w:rFonts w:ascii="Arial" w:cs="Arial" w:eastAsia="Arial" w:hAnsi="Arial"/>
                <w:sz w:val="15"/>
                <w:szCs w:val="15"/>
                <w:color w:val="0000EE"/>
              </w:rPr>
            </w:pPr>
            <w:hyperlink w:anchor="page24">
              <w:r>
                <w:rPr>
                  <w:rFonts w:ascii="Arial" w:cs="Arial" w:eastAsia="Arial" w:hAnsi="Arial"/>
                  <w:sz w:val="15"/>
                  <w:szCs w:val="15"/>
                  <w:color w:val="0000EE"/>
                </w:rPr>
                <w:t>PROSPECTUS SUMMARY</w:t>
              </w:r>
            </w:hyperlink>
          </w:p>
        </w:tc>
        <w:tc>
          <w:tcPr>
            <w:tcW w:w="8300" w:type="dxa"/>
            <w:vAlign w:val="bottom"/>
            <w:tcBorders>
              <w:bottom w:val="single" w:sz="8" w:color="CCEEFF"/>
            </w:tcBorders>
            <w:gridSpan w:val="9"/>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FORWARD-LOOKING STATEMENTS</w:t>
              </w:r>
            </w:hyperlink>
          </w:p>
        </w:tc>
        <w:tc>
          <w:tcPr>
            <w:tcW w:w="7460" w:type="dxa"/>
            <w:vAlign w:val="bottom"/>
            <w:tcBorders>
              <w:bottom w:val="single" w:sz="8" w:color="CCEEFF"/>
            </w:tcBorders>
            <w:gridSpan w:val="7"/>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DILUTION</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DESCRIPTION OF CAPITAL STOCK</w:t>
              </w:r>
            </w:hyperlink>
          </w:p>
        </w:tc>
        <w:tc>
          <w:tcPr>
            <w:tcW w:w="752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DEPOSITARY SHARES</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THE WARRANTS</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THE DEBT SECURITIES</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PLAN OF DISTRIBUTION</w:t>
              </w:r>
            </w:hyperlink>
          </w:p>
        </w:tc>
        <w:tc>
          <w:tcPr>
            <w:tcW w:w="834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EXPERTS</w:t>
              </w:r>
            </w:hyperlink>
          </w:p>
        </w:tc>
        <w:tc>
          <w:tcPr>
            <w:tcW w:w="9620" w:type="dxa"/>
            <w:vAlign w:val="bottom"/>
            <w:tcBorders>
              <w:bottom w:val="single" w:sz="8" w:color="CCEEFF"/>
            </w:tcBorders>
            <w:gridSpan w:val="16"/>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DOCUMENTS BY REFERENCE</w:t>
              </w:r>
            </w:hyperlink>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53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prospectus supplement and the accompanying base prospectus is part of a registration statement that we filed with the Securities and Exchange Commission (the ”SEC”) utilizing a “shelf” registration process. Each time we conduct an offering to sell securities under the accompanying base prospectus we will provide a prospectus supplement that will contain specific information about the terms of that offering, including the price, the amount of securities being offered and the plan of distribution. The shelf registration statement was initially filed with the SEC on September 10, 2014, and was declared effective by the SEC on September 29, 2014. This prospectus supplement describes the specific details regarding this offering and may add, update or change information contained in the accompanying base prospectus. The accompanying base prospectus provides general information about us and our securities, some of which, such as the section entitled “Plan of Distribution,” may not apply to this offering. This prospectus supplement and the accompanying base prospectus are an offer to sell only the securities offered hereby, but only under circumstances and in jurisdictions where it is lawful to do so. We are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information in this prospectus supplement is inconsistent with the accompanying base prospectus or the information incorporated by reference with an earlier date, you should rely on this prospectus supplement. This prospectus supplement, together with the base prospectus, the documents incorporated by reference into this prospectus supplement and the accompanying base prospectus and any free writing prospectus we have authorized for use in connection with this offering include all material information relating to this offering. We have not, and the underwriters have not, authorized anyone to provide you with different or additional information and you must not rely on any unauthorized information or representations. You should assume that the information appearing in this prospectus supplement, the accompanying base prospectus, the documents incorporated by reference in this prospectus supplement and the accompanying base prospectus and any free writing prospectus we have authorized for use in connection with this offering is accurate only as of the respective dates of those documents. Our business, financial condition, results of operations and prospects may have changed since those dates.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You should carefully read this prospectus supplement, the accompanying base prospectus and the information and documents incorporated herein by reference herein and therein, as well as any free writing prospectus we have authorized for use in connection with this offering, before making an investment decision. See “Incorporation of Certain Documents by Reference” and “Where You Can Find More Information” in this prospectus supplement and in the accompanying base prospectus</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and the accompanying base prospectus contain and incorporate by reference certain market data and industry statistics and forecasts that are based on Company-sponsored studies, independent industry publications and other publicly available information. Although we believe these sources are reliable, we do not guarantee the accuracy or completeness of this information and we have not verified any of this data. Further, many of these statements involve risks and uncertainties and are subject to change based on various factors, including those discussed under “Risk Factors” in this prospectus supplement and the accompanying base prospectus and under similar headings in the documents incorporated by reference herein and therein. Accordingly, investors should not place undue reliance on this information.</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Unless otherwise stated or the context requires otherwise, all references in this prospectus supplement to the “Company,” “we,” “us,” “our” and “Imprimis” refer to Imprimis Pharmaceuticals, Inc., a Delaware corporation, and its consolidated subsidiaries. We own the registered trademarks or trademark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 Imprimis Cares!™, SSP Technology™, Go Dropless™,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Dropless Cataract Surgery™, Dropless Cataract Therapy™, Dropless Therapy</w:t>
      </w:r>
      <w:r>
        <w:rPr>
          <w:rFonts w:ascii="Arial" w:cs="Arial" w:eastAsia="Arial" w:hAnsi="Arial"/>
          <w:sz w:val="30"/>
          <w:szCs w:val="30"/>
          <w:color w:val="auto"/>
          <w:vertAlign w:val="superscript"/>
        </w:rPr>
        <w:t>®</w:t>
      </w:r>
      <w:r>
        <w:rPr>
          <w:rFonts w:ascii="Arial" w:cs="Arial" w:eastAsia="Arial" w:hAnsi="Arial"/>
          <w:sz w:val="18"/>
          <w:szCs w:val="18"/>
          <w:color w:val="auto"/>
        </w:rPr>
        <w:t>, Defeat IC™, HLA Therapy™, Triple Drop™, PPS-DR™, Trimix-LP™, Stericheck™, Trimoxi™, Pred-Moxi™, Pred-Moxi-Ketor™, Pred-Moxi-Brom™, Pred-Ketor™, Dex-Moxi ™, Combination Drop Therapy™, Compounded Alternative™, Compounded Choice™, Custom Compounding Choice™ and ED Free™. All other trademarks, trade names and service marks included or incorporated by reference into this prospectus supplement, the accompanying base prospectus and any applicable free writing prospectus are the property of their respective owners.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unless otherwise stated or the context requires otherwise, all information in this prospectus supplement assumes that the option to purchase up to 435,000 additional shares of common stock that we have granted to the underwriters is not exercised.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520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52094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prospectus summary highlights information contained elsewhere in this prospectus supplement, the accompanying base prospectus and the documents incorporated by reference herein and therein. This summary does not contain all of the information that you should consider before deciding to invest in our securities. You should read this entire prospectus supplement and the accompanying base prospectus carefully, including the section entitled “Risk Factors” beginning on page S-5 and our consolidated financial statements and the related notes and the other information incorporated by reference into this prospectus supplement and the accompanying base prospectus, before making an investment decision.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 xml:space="preserve">We are a national leader in the development, production and dispensing of innovative proprietary compounded pharmaceuticals that we aim to make available to physicians and patients at affordable prices. Under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program, we own, market and dispense a portfolio of lower-cost compounded therapeutic alternatives to higher-priced U.S. Food and Drug Administration (the “FDA”)-approved drugs in several therapeutic areas, including ophthalmology, urology, otolaryngology and infectious diseases. We believe our proprietary formulations may offer competitive advantages and serve unmet needs in the marketplace. Our proprietary ophthalmic compounded formulations, led by our Dropless</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combination topical eye drops, compete in the multi-billion dollar market for ophthalmic antibiotic and anti-inflammatory drugs. These formulations, which are comprised of FDA-approved active pharmaceutical ingredients, are uniquely designed to address patient compliance issues and provide other medical and economic benefits to physicians and patients. Our urology business, led by our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Defeat IC</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campaign, includes a patented compounded formulation for patients suffering from interstitial cystitis and customizable compounded formulations of pentosan polysulfate sodium delayed release (PPS-DR™) as a lower-cost therapeutic alternative to an off-patent oral drug,</w:t>
      </w:r>
    </w:p>
    <w:p>
      <w:pPr>
        <w:spacing w:after="0" w:line="2"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Elmiron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Our otolaryngology business includes topical compounded sinus formulations, delivery systems and patented packaging. We have also introduced lower-cost compounded therapeutic alternatives for Daraprim® and Thiola®, which are FDA-approved drugs that have recently experienced price increases. We plan to expand our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program by introducing additional customizable compounded drug formulations for patient populations that may not have available alternatives to increasingly expensive FDA-approved medications. Our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program aligns with our corporate mission, vision and values of providing physicians and their patients high-quality individualized compounded medications at accessible prices.</w:t>
      </w:r>
    </w:p>
    <w:p>
      <w:pPr>
        <w:spacing w:after="0" w:line="2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are also developing our </w:t>
      </w:r>
      <w:r>
        <w:rPr>
          <w:rFonts w:ascii="Arial" w:cs="Arial" w:eastAsia="Arial" w:hAnsi="Arial"/>
          <w:sz w:val="16"/>
          <w:szCs w:val="16"/>
          <w:i w:val="1"/>
          <w:iCs w:val="1"/>
          <w:color w:val="auto"/>
        </w:rPr>
        <w:t>Custom Compounding Choice™</w:t>
      </w:r>
      <w:r>
        <w:rPr>
          <w:rFonts w:ascii="Arial" w:cs="Arial" w:eastAsia="Arial" w:hAnsi="Arial"/>
          <w:sz w:val="16"/>
          <w:szCs w:val="16"/>
          <w:color w:val="auto"/>
        </w:rPr>
        <w:t xml:space="preserve"> business, which is focused on developing and dispensing a portfolio of non-proprietary compounded drugs for humans and animals in therapeutic areas that may be overlooked by commercial pharmaceutical companies. We also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5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own four compounding pharmacies, based in New Jersey, California, Texas and Pennsylvania, through which we make, dispense and sell our proprietary compounded formulations and other non-proprietary products. In this prospectus supplement, we refer to each of our compounding pharmacies as an “ImprimisRx compounding pharmacy.”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We pursue a development pathway for potential formulation candidates that involves working collaboratively with these inventors to identify and evaluate intellectual property related to the formulation, assess relevant markets for the formulation, and seek to validate the clinical experience relating to the formulation with the objective of investing in commercialization activities. Although our business is focused on a compounding commercialization strategy, we may also consider other commercialization pathways, including pursuing FDA approval to market and sell a drug formulation or technology.</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our inception on July 24, 1998. In addition, we have an accumulated deficit of approximately $53 million at September 30, 2015. Beginning on April 1, 2014, when we acquired our first ImprimisRx compounding pharmacy, we began generating revenue from sales by our pharmacies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0"/>
          </w:cols>
          <w:pgMar w:left="540" w:top="931" w:right="639" w:bottom="1440" w:gutter="0" w:footer="0" w:header="0"/>
        </w:sectPr>
      </w:pPr>
    </w:p>
    <w:bookmarkStart w:id="4" w:name="page5"/>
    <w:bookmarkEnd w:id="4"/>
    <w:p>
      <w:pPr>
        <w:ind w:left="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6097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097270"/>
                    </a:xfrm>
                    <a:prstGeom prst="rect">
                      <a:avLst/>
                    </a:prstGeom>
                    <a:noFill/>
                  </pic:spPr>
                </pic:pic>
              </a:graphicData>
            </a:graphic>
          </wp:anchor>
        </w:drawing>
        <w:t>Recent Developments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Preliminary Financial Results for the Quarter and Year Ended December 31, 2015</w:t>
      </w:r>
    </w:p>
    <w:p>
      <w:pPr>
        <w:spacing w:after="0" w:line="225" w:lineRule="exact"/>
        <w:rPr>
          <w:sz w:val="20"/>
          <w:szCs w:val="20"/>
          <w:color w:val="auto"/>
        </w:rPr>
      </w:pPr>
    </w:p>
    <w:p>
      <w:pPr>
        <w:jc w:val="both"/>
        <w:ind w:left="280" w:right="260" w:firstLine="648"/>
        <w:spacing w:after="0" w:line="255" w:lineRule="auto"/>
        <w:rPr>
          <w:sz w:val="20"/>
          <w:szCs w:val="20"/>
          <w:color w:val="auto"/>
        </w:rPr>
      </w:pPr>
      <w:r>
        <w:rPr>
          <w:rFonts w:ascii="Arial" w:cs="Arial" w:eastAsia="Arial" w:hAnsi="Arial"/>
          <w:sz w:val="18"/>
          <w:szCs w:val="18"/>
          <w:color w:val="auto"/>
        </w:rPr>
        <w:t>We recently completed our 2015 fiscal year. Based on available information as of the date of this prospectus supplement, we estimate that, for the quarter ended December 31, 2015, our revenue will be approximately $3.5 million, our net loss will be between $4.7 million and $5.1 million, and adjusted EBITDA will be a loss between $2.5 million and $2.9 million, and for the year ended December 31, 2015, our revenue will be approximately $9.7 million and our net loss will be between $15.5 million and $15.9 million. All estimated results disclosed herein are preliminary, are subject to the completion of the audit of our December 31, 2015 consolidated financial statements, and are not necessarily indicative of the results to be expected for future periods.</w:t>
      </w:r>
    </w:p>
    <w:p>
      <w:pPr>
        <w:spacing w:after="0" w:line="193" w:lineRule="exact"/>
        <w:rPr>
          <w:sz w:val="20"/>
          <w:szCs w:val="20"/>
          <w:color w:val="auto"/>
        </w:rPr>
      </w:pPr>
    </w:p>
    <w:p>
      <w:pPr>
        <w:jc w:val="both"/>
        <w:ind w:left="280" w:right="260" w:firstLine="648"/>
        <w:spacing w:after="0" w:line="268" w:lineRule="auto"/>
        <w:rPr>
          <w:sz w:val="20"/>
          <w:szCs w:val="20"/>
          <w:color w:val="auto"/>
        </w:rPr>
      </w:pPr>
      <w:r>
        <w:rPr>
          <w:rFonts w:ascii="Arial" w:cs="Arial" w:eastAsia="Arial" w:hAnsi="Arial"/>
          <w:sz w:val="17"/>
          <w:szCs w:val="17"/>
          <w:color w:val="auto"/>
        </w:rPr>
        <w:t>In addition to our results of operations determined in accordance with accounting principles generally accepted in the United States of America (“GAAP”), such as revenue and net loss, management also utilizes adjusted EBITDA, an unaudited financial measure that is not calculated in accordance with GAAP, to evaluate our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our operations that, when viewed with GAAP results, provides a more complete understanding of our results of operations and the factors and trends affecting its business. Management believes adjusted EBITDA provides meaningful supplemental information regarding our performance because (i) it allows for greater transparency with respect to key metrics used by management in its financial and operational decision-making; (ii) it excludes the impact of non-cash or, when specified, non-recurring items that are not directly attributable to our core operating performance and that may obscure trends in our core operating performance; and (iii) it is used by institutional investors and the analyst community to help analyze our results. However, adjusted EBITDA should be considered as a supplement to, and not as a substitute for, or superior to, the corresponding measures calculated in accordance with GAAP. Further, non-GAAP financial measures we use and the manner in which we calculate them may differ from the non-GAAP financial measures or the calculations of the same non-GAAP financial measures used by other companies, including our competitors.</w:t>
      </w:r>
    </w:p>
    <w:p>
      <w:pPr>
        <w:spacing w:after="0" w:line="188" w:lineRule="exact"/>
        <w:rPr>
          <w:sz w:val="20"/>
          <w:szCs w:val="20"/>
          <w:color w:val="auto"/>
        </w:rPr>
      </w:pPr>
    </w:p>
    <w:p>
      <w:pPr>
        <w:jc w:val="both"/>
        <w:ind w:left="280" w:right="260" w:firstLine="648"/>
        <w:spacing w:after="0" w:line="257" w:lineRule="auto"/>
        <w:rPr>
          <w:sz w:val="20"/>
          <w:szCs w:val="20"/>
          <w:color w:val="auto"/>
        </w:rPr>
      </w:pPr>
      <w:r>
        <w:rPr>
          <w:rFonts w:ascii="Arial" w:cs="Arial" w:eastAsia="Arial" w:hAnsi="Arial"/>
          <w:sz w:val="18"/>
          <w:szCs w:val="18"/>
          <w:color w:val="auto"/>
        </w:rPr>
        <w:t>We define adjusted EBITDA as net income (loss) excluding the effects of interest, taxes, depreciation, amortization, stock-based compensation, other income (expense) and, if any and when specified, non-recurring income or expense items. We believe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jc w:val="both"/>
        <w:ind w:left="280" w:right="280" w:firstLine="648"/>
        <w:spacing w:after="0" w:line="277" w:lineRule="auto"/>
        <w:rPr>
          <w:sz w:val="20"/>
          <w:szCs w:val="20"/>
          <w:color w:val="auto"/>
        </w:rPr>
      </w:pPr>
      <w:r>
        <w:rPr>
          <w:rFonts w:ascii="Arial" w:cs="Arial" w:eastAsia="Arial" w:hAnsi="Arial"/>
          <w:sz w:val="18"/>
          <w:szCs w:val="18"/>
          <w:color w:val="auto"/>
        </w:rPr>
        <w:t>The following is a reconciliation of estimated adjusted EBITDA, a non-GAAP measure, to the most comparable GAAP measure, net loss, for the three months ended December 31, 2015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5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(4,700) to (5,100)</w:t>
            </w:r>
          </w:p>
        </w:tc>
      </w:tr>
      <w:tr>
        <w:trPr>
          <w:trHeight w:val="216"/>
        </w:trPr>
        <w:tc>
          <w:tcPr>
            <w:tcW w:w="4600" w:type="dxa"/>
            <w:vAlign w:val="bottom"/>
          </w:tcPr>
          <w:p>
            <w:pPr>
              <w:ind w:left="132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2"/>
          </w:tcPr>
          <w:p>
            <w:pPr>
              <w:jc w:val="right"/>
              <w:ind w:right="3500"/>
              <w:spacing w:after="0"/>
              <w:rPr>
                <w:sz w:val="20"/>
                <w:szCs w:val="20"/>
                <w:color w:val="auto"/>
              </w:rPr>
            </w:pPr>
            <w:r>
              <w:rPr>
                <w:rFonts w:ascii="Arial" w:cs="Arial" w:eastAsia="Arial" w:hAnsi="Arial"/>
                <w:sz w:val="18"/>
                <w:szCs w:val="18"/>
                <w:color w:val="auto"/>
              </w:rPr>
              <w:t>1,120</w:t>
            </w:r>
          </w:p>
        </w:tc>
      </w:tr>
      <w:tr>
        <w:trPr>
          <w:trHeight w:val="216"/>
        </w:trPr>
        <w:tc>
          <w:tcPr>
            <w:tcW w:w="4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3500"/>
              <w:spacing w:after="0"/>
              <w:rPr>
                <w:sz w:val="20"/>
                <w:szCs w:val="20"/>
                <w:color w:val="auto"/>
              </w:rPr>
            </w:pPr>
            <w:r>
              <w:rPr>
                <w:rFonts w:ascii="Arial" w:cs="Arial" w:eastAsia="Arial" w:hAnsi="Arial"/>
                <w:sz w:val="18"/>
                <w:szCs w:val="18"/>
                <w:color w:val="auto"/>
              </w:rPr>
              <w:t>80</w:t>
            </w:r>
          </w:p>
        </w:tc>
      </w:tr>
      <w:tr>
        <w:trPr>
          <w:trHeight w:val="216"/>
        </w:trPr>
        <w:tc>
          <w:tcPr>
            <w:tcW w:w="4600" w:type="dxa"/>
            <w:vAlign w:val="bottom"/>
          </w:tcPr>
          <w:p>
            <w:pPr>
              <w:ind w:left="1320"/>
              <w:spacing w:after="0"/>
              <w:rPr>
                <w:sz w:val="20"/>
                <w:szCs w:val="20"/>
                <w:color w:val="auto"/>
              </w:rPr>
            </w:pPr>
            <w:r>
              <w:rPr>
                <w:rFonts w:ascii="Arial" w:cs="Arial" w:eastAsia="Arial" w:hAnsi="Arial"/>
                <w:sz w:val="18"/>
                <w:szCs w:val="18"/>
                <w:color w:val="auto"/>
              </w:rPr>
              <w:t>Amortization</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2"/>
          </w:tcPr>
          <w:p>
            <w:pPr>
              <w:jc w:val="right"/>
              <w:ind w:right="3500"/>
              <w:spacing w:after="0"/>
              <w:rPr>
                <w:sz w:val="20"/>
                <w:szCs w:val="20"/>
                <w:color w:val="auto"/>
              </w:rPr>
            </w:pPr>
            <w:r>
              <w:rPr>
                <w:rFonts w:ascii="Arial" w:cs="Arial" w:eastAsia="Arial" w:hAnsi="Arial"/>
                <w:sz w:val="18"/>
                <w:szCs w:val="18"/>
                <w:color w:val="auto"/>
              </w:rPr>
              <w:t>90</w:t>
            </w:r>
          </w:p>
        </w:tc>
      </w:tr>
      <w:tr>
        <w:trPr>
          <w:trHeight w:val="216"/>
        </w:trPr>
        <w:tc>
          <w:tcPr>
            <w:tcW w:w="4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Interest (income) expense, net</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3500"/>
              <w:spacing w:after="0"/>
              <w:rPr>
                <w:sz w:val="20"/>
                <w:szCs w:val="20"/>
                <w:color w:val="auto"/>
              </w:rPr>
            </w:pPr>
            <w:r>
              <w:rPr>
                <w:rFonts w:ascii="Arial" w:cs="Arial" w:eastAsia="Arial" w:hAnsi="Arial"/>
                <w:sz w:val="18"/>
                <w:szCs w:val="18"/>
                <w:color w:val="auto"/>
              </w:rPr>
              <w:t>430</w:t>
            </w:r>
          </w:p>
        </w:tc>
      </w:tr>
      <w:tr>
        <w:trPr>
          <w:trHeight w:val="216"/>
        </w:trPr>
        <w:tc>
          <w:tcPr>
            <w:tcW w:w="4600" w:type="dxa"/>
            <w:vAlign w:val="bottom"/>
          </w:tcPr>
          <w:p>
            <w:pPr>
              <w:ind w:left="1320"/>
              <w:spacing w:after="0"/>
              <w:rPr>
                <w:sz w:val="20"/>
                <w:szCs w:val="20"/>
                <w:color w:val="auto"/>
              </w:rPr>
            </w:pPr>
            <w:r>
              <w:rPr>
                <w:rFonts w:ascii="Arial" w:cs="Arial" w:eastAsia="Arial" w:hAnsi="Arial"/>
                <w:sz w:val="18"/>
                <w:szCs w:val="18"/>
                <w:color w:val="auto"/>
              </w:rPr>
              <w:t>Other (income) expense, net</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2"/>
          </w:tcPr>
          <w:p>
            <w:pPr>
              <w:jc w:val="right"/>
              <w:ind w:right="35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350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1320"/>
              <w:spacing w:after="0"/>
              <w:rPr>
                <w:sz w:val="20"/>
                <w:szCs w:val="20"/>
                <w:color w:val="auto"/>
              </w:rPr>
            </w:pPr>
            <w:r>
              <w:rPr>
                <w:rFonts w:ascii="Arial" w:cs="Arial" w:eastAsia="Arial" w:hAnsi="Arial"/>
                <w:sz w:val="18"/>
                <w:szCs w:val="18"/>
                <w:color w:val="auto"/>
              </w:rPr>
              <w:t>Non-recurring expense(1)</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80" w:type="dxa"/>
            <w:vAlign w:val="bottom"/>
            <w:gridSpan w:val="2"/>
          </w:tcPr>
          <w:p>
            <w:pPr>
              <w:jc w:val="right"/>
              <w:ind w:right="3500"/>
              <w:spacing w:after="0"/>
              <w:rPr>
                <w:sz w:val="20"/>
                <w:szCs w:val="20"/>
                <w:color w:val="auto"/>
              </w:rPr>
            </w:pPr>
            <w:r>
              <w:rPr>
                <w:rFonts w:ascii="Arial" w:cs="Arial" w:eastAsia="Arial" w:hAnsi="Arial"/>
                <w:sz w:val="18"/>
                <w:szCs w:val="18"/>
                <w:color w:val="auto"/>
              </w:rPr>
              <w:t>440</w:t>
            </w:r>
          </w:p>
        </w:tc>
      </w:tr>
      <w:tr>
        <w:trPr>
          <w:trHeight w:val="230"/>
        </w:trPr>
        <w:tc>
          <w:tcPr>
            <w:tcW w:w="4600" w:type="dxa"/>
            <w:vAlign w:val="bottom"/>
            <w:tcBorders>
              <w:top w:val="single" w:sz="8" w:color="CCEEFF"/>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Adjusted EBITDA</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 to (2,940)</w:t>
            </w:r>
          </w:p>
        </w:tc>
        <w:tc>
          <w:tcPr>
            <w:tcW w:w="35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246620" cy="728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22" w:lineRule="exact"/>
        <w:rPr>
          <w:sz w:val="20"/>
          <w:szCs w:val="20"/>
          <w:color w:val="auto"/>
        </w:rPr>
      </w:pPr>
    </w:p>
    <w:p>
      <w:pPr>
        <w:jc w:val="both"/>
        <w:ind w:left="1440" w:right="260" w:hanging="520"/>
        <w:spacing w:after="0" w:line="264" w:lineRule="auto"/>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Non-recurring expense items included certain offering-related expenses, certain expenses related to our acquisition of our Pennsylvania compounding pharmacy, and expenses related to restructuring our sales and marketing departments, including severance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25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253865"/>
                    </a:xfrm>
                    <a:prstGeom prst="rect">
                      <a:avLst/>
                    </a:prstGeom>
                    <a:noFill/>
                  </pic:spPr>
                </pic:pic>
              </a:graphicData>
            </a:graphic>
          </wp:anchor>
        </w:drawing>
        <w:t>Introduction of Alternatives to FDA-Approved Thiola</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and Daraprim</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 xml:space="preserve">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in February 2016 we introduced new patent-pending tiopronin and potassium citrate delayed release compounded formulations that may be prescribed by physicians as a lower-cost therapeutic alternative to FDA-approved Thiola</w:t>
      </w:r>
      <w:r>
        <w:rPr>
          <w:rFonts w:ascii="Arial" w:cs="Arial" w:eastAsia="Arial" w:hAnsi="Arial"/>
          <w:sz w:val="26"/>
          <w:szCs w:val="26"/>
          <w:color w:val="auto"/>
          <w:vertAlign w:val="superscript"/>
        </w:rPr>
        <w:t>®</w:t>
      </w:r>
      <w:r>
        <w:rPr>
          <w:rFonts w:ascii="Arial" w:cs="Arial" w:eastAsia="Arial" w:hAnsi="Arial"/>
          <w:sz w:val="16"/>
          <w:szCs w:val="16"/>
          <w:color w:val="auto"/>
        </w:rPr>
        <w:t>, which is commonly prescribed for the prevention of cystine kidney stone formation in patients who do not respond to dietary changes and increased fluids. This follows our October 2015 introduction of a customizable compounded formulation of pyrimethamine and leucovorin available for physicians to consider</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prescribing for their patients as a lower-cost therapeutic alternative to FDA-approved Daraprim</w:t>
      </w:r>
      <w:r>
        <w:rPr>
          <w:rFonts w:ascii="Arial" w:cs="Arial" w:eastAsia="Arial" w:hAnsi="Arial"/>
          <w:sz w:val="28"/>
          <w:szCs w:val="28"/>
          <w:color w:val="auto"/>
          <w:vertAlign w:val="superscript"/>
        </w:rPr>
        <w:t>®</w:t>
      </w:r>
      <w:r>
        <w:rPr>
          <w:rFonts w:ascii="Arial" w:cs="Arial" w:eastAsia="Arial" w:hAnsi="Arial"/>
          <w:sz w:val="17"/>
          <w:szCs w:val="17"/>
          <w:color w:val="auto"/>
        </w:rPr>
        <w:t>, which is commonly prescribed for toxoplasmosis. We have also introduced customizable compounded formulations of pentosan polysulfate sodium delayed release (PPS-DR™) for physicians to consider prescribing for interstitial cystitis patients as a lower-cost therapeutic alternative to an off-patent oral drug, Elmiron</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Outsourcing Facilities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disclosed, we have commenced construction to build our New Jersey-based and our Texas-based ImprimisRx compounding pharmacies into outsourcing facilities under Section 503B of the U.S. Food Drug and Cosmetic Act, which are required to be registered with the FDA. These facilities must comply with certain specified requirements, including adherence to current good manufacturing practices, and are permitted to compound large quantities of certain sterile drug formulations without a prescription and distribute these formulations out-of-state without limitation. From time to time during the construction process, we have experienced temporary and intermittent delays in developing these facilities into outsourcing facilities, and we expect them to be registered as outsourcing facilities near the beginning of the second quarter of 2016 for our Texas-based ImprimisRx compounding pharmacy and near the end of the second quarter of 2016 for our New Jersey-based ImprimisRx compounding pharmacy. Further, we have incurred and expect to continue to incur greater than anticipated expenses developing these facilities into outsourcing facilities. We currently estimate that our capital expenditures to build and equip these outsourcing facilities will be approximately $4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principal executive offices are located at 12264 El Camino Real, Suite 350, San Diego, California 92130 and our telephone number at such offices is (858) 704-4040. Our website address is www.imprimispharma.com. Information contained on our website is not part of this prospectus supplement.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540" w:top="939" w:right="5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169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169150"/>
                    </a:xfrm>
                    <a:prstGeom prst="rect">
                      <a:avLst/>
                    </a:prstGeom>
                    <a:noFill/>
                  </pic:spPr>
                </pic:pic>
              </a:graphicData>
            </a:graphic>
          </wp:anchor>
        </w:drawing>
        <w:t>The Offering</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is a brief summary of some of the terms of the offering and is qualified in its entirety by reference to the more detailed information appearing elsewhere in this prospectus supplement and the accompanying base prospectus. For a more complete description of the terms of our common stock, see “Description of Our Capital Stock” in the accompanying base prospectus.</w:t>
      </w:r>
    </w:p>
    <w:p>
      <w:pPr>
        <w:sectPr>
          <w:pgSz w:w="11900" w:h="16838" w:orient="portrait"/>
          <w:cols w:equalWidth="0" w:num="1">
            <w:col w:w="10840"/>
          </w:cols>
          <w:pgMar w:left="540" w:top="931" w:right="51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2,900,000 shares of our common stock (3,335,000 shares if the underwriters exercise their over-allotment option in full).</w:t>
      </w:r>
    </w:p>
    <w:p>
      <w:pPr>
        <w:spacing w:after="0" w:line="170" w:lineRule="exact"/>
        <w:rPr>
          <w:sz w:val="20"/>
          <w:szCs w:val="20"/>
          <w:color w:val="auto"/>
        </w:rPr>
      </w:pPr>
    </w:p>
    <w:p>
      <w:pPr>
        <w:sectPr>
          <w:pgSz w:w="11900" w:h="16838" w:orient="portrait"/>
          <w:cols w:equalWidth="0" w:num="2">
            <w:col w:w="3420" w:space="720"/>
            <w:col w:w="6700"/>
          </w:cols>
          <w:pgMar w:left="540" w:top="931" w:right="519" w:bottom="1440" w:gutter="0" w:footer="0" w:header="0"/>
          <w:type w:val="continuous"/>
        </w:sectPr>
      </w:pPr>
    </w:p>
    <w:p>
      <w:pPr>
        <w:spacing w:after="0"/>
        <w:rPr>
          <w:sz w:val="20"/>
          <w:szCs w:val="20"/>
          <w:color w:val="auto"/>
        </w:rPr>
      </w:pPr>
      <w:r>
        <w:rPr>
          <w:rFonts w:ascii="Arial" w:cs="Arial" w:eastAsia="Arial" w:hAnsi="Arial"/>
          <w:sz w:val="16"/>
          <w:szCs w:val="16"/>
          <w:color w:val="auto"/>
        </w:rPr>
        <w:t>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$3.60 per share of common stock.</w:t>
      </w:r>
    </w:p>
    <w:p>
      <w:pPr>
        <w:spacing w:after="0" w:line="200" w:lineRule="exact"/>
        <w:rPr>
          <w:sz w:val="20"/>
          <w:szCs w:val="20"/>
          <w:color w:val="auto"/>
        </w:rPr>
      </w:pPr>
    </w:p>
    <w:p>
      <w:pPr>
        <w:sectPr>
          <w:pgSz w:w="11900" w:h="16838" w:orient="portrait"/>
          <w:cols w:equalWidth="0" w:num="2">
            <w:col w:w="3420" w:space="720"/>
            <w:col w:w="6700"/>
          </w:cols>
          <w:pgMar w:left="540" w:top="931" w:right="5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12,670,678 shares (13,105,678 shares if the underwriters exercise their over-allotment option in full).</w:t>
      </w:r>
    </w:p>
    <w:p>
      <w:pPr>
        <w:spacing w:after="0" w:line="170" w:lineRule="exact"/>
        <w:rPr>
          <w:sz w:val="20"/>
          <w:szCs w:val="20"/>
          <w:color w:val="auto"/>
        </w:rPr>
      </w:pPr>
    </w:p>
    <w:p>
      <w:pPr>
        <w:sectPr>
          <w:pgSz w:w="11900" w:h="16838" w:orient="portrait"/>
          <w:cols w:equalWidth="0" w:num="2">
            <w:col w:w="3680" w:space="460"/>
            <w:col w:w="6700"/>
          </w:cols>
          <w:pgMar w:left="540" w:top="931" w:right="51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We estimate that our net proceeds from this offering will be approximately $9,650,000 (or approximately $11,100,000 if the underwriters exercise their over-allotment option in full), after deducting the underwriting discount and the estimated offering expenses payable by us. We expect to use the net proceeds from this offering for working capital and general corporate purposes, which will include, among other things, expenditures associated with our efforts to develop our compounding pharmacies in Texas and New Jersey into outsourcing facilities. See “Use of Proceeds” on page S-11.</w:t>
      </w:r>
    </w:p>
    <w:p>
      <w:pPr>
        <w:spacing w:after="0" w:line="174" w:lineRule="exact"/>
        <w:rPr>
          <w:sz w:val="20"/>
          <w:szCs w:val="20"/>
          <w:color w:val="auto"/>
        </w:rPr>
      </w:pPr>
    </w:p>
    <w:p>
      <w:pPr>
        <w:sectPr>
          <w:pgSz w:w="11900" w:h="16838" w:orient="portrait"/>
          <w:cols w:equalWidth="0" w:num="2">
            <w:col w:w="3420" w:space="720"/>
            <w:col w:w="6700"/>
          </w:cols>
          <w:pgMar w:left="540" w:top="931" w:right="51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spacing w:after="0" w:line="303" w:lineRule="auto"/>
        <w:rPr>
          <w:sz w:val="20"/>
          <w:szCs w:val="20"/>
          <w:color w:val="auto"/>
        </w:rPr>
      </w:pPr>
      <w:r>
        <w:rPr>
          <w:rFonts w:ascii="Arial" w:cs="Arial" w:eastAsia="Arial" w:hAnsi="Arial"/>
          <w:sz w:val="16"/>
          <w:szCs w:val="16"/>
          <w:b w:val="1"/>
          <w:bCs w:val="1"/>
          <w:color w:val="auto"/>
        </w:rPr>
        <w:t>Investing in our common stock involves significant risks. See “Risk Factors” beginning on page S-5 and the other information included or incorporated by reference in this prospectus supplement and the accompanying base prospectus for a discussion of factors you should carefully consider before deciding to invest in our common stock.</w:t>
      </w:r>
    </w:p>
    <w:p>
      <w:pPr>
        <w:spacing w:after="0" w:line="155" w:lineRule="exact"/>
        <w:rPr>
          <w:sz w:val="20"/>
          <w:szCs w:val="20"/>
          <w:color w:val="auto"/>
        </w:rPr>
      </w:pPr>
    </w:p>
    <w:p>
      <w:pPr>
        <w:sectPr>
          <w:pgSz w:w="11900" w:h="16838" w:orient="portrait"/>
          <w:cols w:equalWidth="0" w:num="2">
            <w:col w:w="3420" w:space="720"/>
            <w:col w:w="6700"/>
          </w:cols>
          <w:pgMar w:left="540" w:top="931" w:right="519" w:bottom="1440" w:gutter="0" w:footer="0" w:header="0"/>
          <w:type w:val="continuous"/>
        </w:sect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“IMMY”</w:t>
      </w:r>
    </w:p>
    <w:p>
      <w:pPr>
        <w:spacing w:after="0" w:line="200" w:lineRule="exact"/>
        <w:rPr>
          <w:sz w:val="20"/>
          <w:szCs w:val="20"/>
          <w:color w:val="auto"/>
        </w:rPr>
      </w:pPr>
    </w:p>
    <w:p>
      <w:pPr>
        <w:sectPr>
          <w:pgSz w:w="11900" w:h="16838" w:orient="portrait"/>
          <w:cols w:equalWidth="0" w:num="2">
            <w:col w:w="3420" w:space="720"/>
            <w:col w:w="6700"/>
          </w:cols>
          <w:pgMar w:left="540" w:top="931" w:right="519" w:bottom="1440" w:gutter="0" w:footer="0" w:header="0"/>
          <w:type w:val="continuous"/>
        </w:sectPr>
      </w:pPr>
    </w:p>
    <w:p>
      <w:pPr>
        <w:spacing w:after="0" w:line="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number of shares of our common stock expected to be outstanding after this offering is based on 9,770,678 shares of common stock outstanding as of February 29, 2016, and excludes the following:</w:t>
      </w:r>
    </w:p>
    <w:p>
      <w:pPr>
        <w:spacing w:after="0" w:line="170" w:lineRule="exact"/>
        <w:rPr>
          <w:sz w:val="20"/>
          <w:szCs w:val="20"/>
          <w:color w:val="auto"/>
        </w:rPr>
      </w:pPr>
    </w:p>
    <w:p>
      <w:pPr>
        <w:ind w:left="960" w:right="20" w:hanging="32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1,542,376 shares of common stock issuable upon exercise of options outstanding as of February 29, 2016, which have a weighted average exercise price of $7.05 per share, of which 700,265 shares were exercisable as of February 29, 2016;</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1,483,492 shares of common stock issuable upon the vesting of restricted stock units as of February 29, 2016;</w:t>
      </w:r>
    </w:p>
    <w:p>
      <w:pPr>
        <w:spacing w:after="0" w:line="225" w:lineRule="exact"/>
        <w:rPr>
          <w:rFonts w:ascii="Arial" w:cs="Arial" w:eastAsia="Arial" w:hAnsi="Arial"/>
          <w:sz w:val="18"/>
          <w:szCs w:val="18"/>
          <w:color w:val="auto"/>
        </w:rPr>
      </w:pPr>
    </w:p>
    <w:p>
      <w:pPr>
        <w:ind w:left="960" w:hanging="32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1,340,029 shares of common stock reserved for issuance and available for future grant under our equity incentive plans as of February 29, 2016;</w:t>
      </w:r>
    </w:p>
    <w:p>
      <w:pPr>
        <w:spacing w:after="0" w:line="170" w:lineRule="exact"/>
        <w:rPr>
          <w:rFonts w:ascii="Arial" w:cs="Arial" w:eastAsia="Arial" w:hAnsi="Arial"/>
          <w:sz w:val="18"/>
          <w:szCs w:val="18"/>
          <w:color w:val="auto"/>
        </w:rPr>
      </w:pPr>
    </w:p>
    <w:p>
      <w:pPr>
        <w:jc w:val="both"/>
        <w:ind w:left="960" w:hanging="320"/>
        <w:spacing w:after="0" w:line="279"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240,688 shares of common stock issuable upon exercise of warrants outstanding as of February 29, 2016, which have a weighted average exercise price of $6.40 per share and all of which were exercisable as of February 29, 2016. Pursuant to certain anti-dilution provisions in an outstanding warrant to purchase up to 125,000 of these shares of common stock, upon the closing of this offering, the exercise price of such warrant will adjust to $3.60 per share, the price per share to the public in this offering; and</w:t>
      </w:r>
    </w:p>
    <w:p>
      <w:pPr>
        <w:spacing w:after="0" w:line="171" w:lineRule="exact"/>
        <w:rPr>
          <w:rFonts w:ascii="Arial" w:cs="Arial" w:eastAsia="Arial" w:hAnsi="Arial"/>
          <w:sz w:val="17"/>
          <w:szCs w:val="17"/>
          <w:color w:val="auto"/>
        </w:rPr>
      </w:pPr>
    </w:p>
    <w:p>
      <w:pPr>
        <w:jc w:val="both"/>
        <w:ind w:left="960" w:hanging="320"/>
        <w:spacing w:after="0" w:line="25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508,475 shares of common stock issuable upon conversion of a convertible note outstanding as of February 29, 2016, which was convertible into shares of common stock at a conversion price of $5.90 per share as of February 29, 2016. Pursuant to certain anti-dilution provisions in the convertible note, upon the closing of this offering, the conversion price of the convertible note will adjust to $3.60 per share, the price per share to the public in this offering, and 833,333 shares of common stock will be issuable upon conversion of the convertible note.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540" w:top="931" w:right="51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Before purchasing our common stock, you should read and consider carefully the following risk factors as well as all other information contained and incorporated by reference in this prospectus supplement and the accompanying base prospectus, including our consolidated financial statements and the related notes. Each of these risk factors, either alone or taken together, could adversely affect our business, operating results and financial condition, as well as adversely affect the value of an investment in our common stock. There may be additional risks that we do not presently know of or that we currently believe are immaterial, which could also impair our business and financial position. If any of the events described below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 offering, you will suffer immediate and substantial dilution of $3.02 per share in the net tangible book value of the common stock you purchase in this offering. See “Dilution” on page S-12 for a more detailed discussion of the dilution you will incur if you purchase shares of our common stock in this offering.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 and we may not use these proceeds effectively or in a manner with which you agree.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anticipate using the net proceeds from this offering for working capital and general corporate purposes. We have not reserved or allocated amounts for specific purposes, and we cannot specify with certainty how or when we will use any of the net proceeds. Our management will have broad discretion in the application of the net proceeds we receive from this offering, and you will not have the opportunity, as part of your investment decision, to assess whether the proceeds are being used effectively or in a manner with which you agree. The net proceeds may be used for corporate purposes that do not increase our operating results or market value. Until the net proceeds are used, they may be placed in investments that do not produce income or that lose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in the past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has in the past been, and may in the future be, highly volatile and subject to wide fluctuations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working capital financing when needed;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risks affecting our business discussed in these risk factors and the other risk factors incorporated herein by reference.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any contractual restrictions, such as those contained in our May 2015 loan agreement and related January 2016 note purchase agreement and convertible note with IMMY Funding LLC, an affiliate of Life Sciences Alternative Funding LLC,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sale of substantial amounts of our common stock in the public market, or the perception that such sales could occur, could cause the market price of our common stock to fall. Such sales could occur upon the expiration of any statutory holding period, such as under Rule 144 under the Securities Act of 1933, as amended (the ”Securities Act”), applicable to outstanding shares, upon expiration of any lock-up periods applicable to outstanding shares, such as those described in this prospectus supplement under “Underwriting—Lock-Up,” upon our issuance of shares upon the exercise of outstanding options or warrants, or upon our issuance of shares pursuant to our Controlled Equity Offering™ sales agreement with Cantor Fitzgerald &amp; Co. or any other offerings of our equity securities that we may elect to pursue, such as this offering.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their significant stock ownership, some of our existing stockholders are able to exert control over us and our significant corporate decisions.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March 11, 2016, approximately 18% of our common stock that would be outstanding following such issuances. In addition, four individual stockholders collectively own, or have the right to acquire within 60 days after March 11, 2016, an additional approximately 35%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numerous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numerous risks, all of which you should consider carefully before making a decision to invest in our common stock. These risks include, among others, those listed below, which are more fully described in the reports we periodically file with the SEC and which are incorporated herein by reference. See “Incorporation of Certain Documents by Reference” and “Where You Can Find More Information” in this prospectus supplement for further information.</w:t>
      </w:r>
    </w:p>
    <w:p>
      <w:pPr>
        <w:spacing w:after="0" w:line="18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losses in every year of our operations and we may never become profitable.</w:t>
      </w:r>
    </w:p>
    <w:p>
      <w:pPr>
        <w:spacing w:after="0" w:line="225"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aim to sell certain of our proprietary formulations primarily through a unified network of compounding pharmacies. To pursue this goal, we have acquired our four ImprimisRx compounding pharmacies and we have commenced construction efforts on two of these pharmacies, our Texas- and New Jersey-based facilities, in order for these locations to satisfy the requirements to register with the FDA as outsourcing facilities, although we have experienced delays and increased costs in these construction efforts. In spite of our efforts, we may not be successful in developing these facilities into outsourcing facilities, integrating our compounding pharmacies into our operations, or otherwise establishing a unified network of compounding pharmacies, which could materially harm our business plans and our prospects.</w:t>
      </w:r>
    </w:p>
    <w:p>
      <w:pPr>
        <w:spacing w:after="0" w:line="164"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limited experience commercializing our formulations or acquiring, building or operating compounding pharmacies or other prescription dispensing facilities. We have only been pursuing our business as a pharmaceutical company since December 2011, and we have only been pursuing our focus on compounded formulations and compounding pharmacies since November 2013.</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dependent on market acceptance of compounding pharmacies and compounded formulations, which contain FDA-approved ingredients but are not themselves approved by the FDA. As a result, physicians may be unwilling to prescribe, and patients may be unwilling to use, our proprietary customizable compounded formulations.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receive sufficient revenue through our ImprimisRx compounding pharmacies or other compounding pharmacies with which we may partner to fund our operations and recover our development costs.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compounding pharmacy business is significantly impacted by state and federal pharmacy, healthcare and other statutes and regulations, which may be costly to comply with and which are subject to 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both"/>
        <w:ind w:left="324" w:hanging="324"/>
        <w:spacing w:after="0" w:line="264"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ImprimisRx compounding pharmacies or any other pharmacy or outsourcing facility with which we partner fails to comply with the Controlled Substances Act, the Food Drug and Cosmetic Act or state statutes and regulations, the pharmacy could be required to cease operations or become subject to restrictions that could adversely affect our business.</w:t>
      </w:r>
    </w:p>
    <w:p>
      <w:pPr>
        <w:spacing w:after="0" w:line="181"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pharmaceutical and pharmacy industries are highly competitive, and as a result there are many competitive risks related to marketing and selling our proprietary formulations and operating our compounding pharmacy business.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revenues will be diminished if we fail to obtain acceptable prices or an adequate level of reimbursement from third-party payors.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do not successfully identify and acquire rights to potential formulations and successfully integrate them into our operations, our growth opportunities may be limited.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successfully develop and commercialize our proprietary formulations or any other assets we may acquire.</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establish, train and maintain an effective sales and marketing infrastructure, we will not be able to commercialize our proprietary formulations successfully.</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 the past and may in the future participate in strategic transactions that could impact our liquidity, increase our expenses and distract our management.</w:t>
      </w:r>
    </w:p>
    <w:p>
      <w:pPr>
        <w:spacing w:after="0" w:line="170"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incurred significant indebtedness, including our $10 million loan agreement with and $3 million convertible note issued to IMMY Funding LLC, which will require substantial cash to service and which subjects us to certain financial requirements and business restrictions.</w:t>
      </w:r>
    </w:p>
    <w:p>
      <w:pPr>
        <w:spacing w:after="0" w:line="123" w:lineRule="exact"/>
        <w:rPr>
          <w:rFonts w:ascii="Arial" w:cs="Arial" w:eastAsia="Arial" w:hAnsi="Arial"/>
          <w:sz w:val="16"/>
          <w:szCs w:val="16"/>
          <w:color w:val="auto"/>
        </w:rPr>
      </w:pPr>
    </w:p>
    <w:p>
      <w:pPr>
        <w:jc w:val="both"/>
        <w:ind w:left="324" w:hanging="324"/>
        <w:spacing w:after="0" w:line="312" w:lineRule="auto"/>
        <w:tabs>
          <w:tab w:leader="none" w:pos="324"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not be able to correctly estimate our future operating expenses or capital expenditures. For example, we have incurred and expect to continue to incur greater than anticipated expenses developing our Texas- and New Jersey-based pharmacy facilities into outsourcing facilities and registering them as such with the FDA. Our inability to correctly estimate our expenses could lead to cash shortfalls.</w:t>
      </w:r>
    </w:p>
    <w:p>
      <w:pPr>
        <w:spacing w:after="0" w:line="146" w:lineRule="exact"/>
        <w:rPr>
          <w:rFonts w:ascii="Arial" w:cs="Arial" w:eastAsia="Arial" w:hAnsi="Arial"/>
          <w:sz w:val="16"/>
          <w:szCs w:val="16"/>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need additional capital in order to continue operating our business, and such additional funds may not be available when needed, on acceptable terms, or at all.</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cybersecurity or other systems failures.</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seek FDA approval to market and sell any of our proprietary formulations, we may be unable to demonstrate the necessary safety and efficacy to obtain such FDA approval.</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the completion of, or the termination of, any clinical or non-clinical trials for any product candidates for which we may seek FDA approval could adversely affect our business.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protect our proprietary rights in the U.S. or abroad, we may not be able to prevent others from using our intellectual property, which may reduce the competitiveness and value of the related assets.</w:t>
      </w:r>
    </w:p>
    <w:p>
      <w:pPr>
        <w:spacing w:after="0" w:line="170"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proprietary formulations and technologies could potentially conflict with the rights of others, which may result in legal actions or force us to alter our products, cease or limit our operations relating to the affected products, or seek to obtain a license in order to continue manufacturing the affected products, which may not be available on acceptable terms or at all.</w:t>
      </w:r>
    </w:p>
    <w:p>
      <w:pPr>
        <w:spacing w:after="0" w:line="18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11" w:name="page12"/>
    <w:bookmarkEnd w:id="11"/>
    <w:p>
      <w:pPr>
        <w:ind w:left="324" w:hanging="324"/>
        <w:spacing w:after="0"/>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controls, we may not be able to accurately report our financial results.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on our Chief Executive Officer, Mark L. Baum, for the continued growth and development of our Company.</w:t>
      </w:r>
    </w:p>
    <w:p>
      <w:pPr>
        <w:spacing w:after="0" w:line="225"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attract and retain key personnel and outside consultants, we may be unable to maintain or expand our business. We depend upon consultants and other third party service providers for key aspects of our business, which we may be unable to sufficiently manage.</w:t>
      </w:r>
    </w:p>
    <w:p>
      <w:pPr>
        <w:spacing w:after="0" w:line="12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base prospectus and the documents we have filed with the SEC that are incorporated by reference herein and therein contain forward-looking statements within the meaning of Section 27A of the Securities Act and Section 21E of the Securities Exchange Act of 1934, as amended (the ”Exchange Act”). In addition, from time to time we or our representatives have made or will make forward-looking statements in various other filings that we make with the SEC or in other documents, including press releases or other similar announcements. Forward-looking statements concern our current plans, intentions, beliefs, expectations and statements of future economic performance. Statements containing terms such as “will,” “may,” “believe,” “do not believe,” “plan,” “expect,” “intend,” “estimate,” “anticipate” and other phrases of similar meaning are considered to be forward-looking statements.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Forward-looking statements are based on our assumptions and are subject to known and unknown risks and uncertainties that could cause actual results to differ materially from those reflected in or implied by these forward-looking statements. Factors that might cause actual results to differ include, among others, those set forth under “Risk Factors” in this prospectus supplement and those discussed in “Management’s Discussion and Analysis of Financial Condition and Results of Operation” in our most recent Annual Report on Form 10-K and subsequent Quarterly Reports on Form 10-Q and in our future periodic reports filed with the SEC, all of which are incorporated by reference herein. Readers are cautioned not to place undue reliance on any forward-looking statements contained in this prospectus supplement, the accompanying base prospectus or the documents we have filed with the SEC that are incorporated by reference herein and therein, which reflect management’s views and opinions only as of their respective dates. We assume no obligation to update forward-looking statements to reflect actual results, changes in assumptions or changes in other factors affecting such forward-looking statements, except to the extent required by applicable securities laws. You are advised, however, to consult any additional disclosures we have made or will make in the filings we make with the SEC, including reports on Forms 10-K, 10-Q and 8-K. All subsequent forward-looking statements attributable to us or persons acting on our behalf are expressly qualified in their entirety by the cautionary statements contained in this prospectus supplement, the accompanying base prospectus or any related issuer free writing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estimate that our net proceeds from this offering will be approximately $9,650,000 (or approximately $11,100,000 if the underwriters exercise their over-allotment option in full), after deducting the underwriting discount and estimated offering expenses payable by us.</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use the net proceeds from this offering for working capital and general corporate purposes, which may include, among other things, expenditures associated with our efforts to develop our compounding pharmacies in Texas and New Jersey into outsourcing facilities. We may also decide to use a portion of any net proceeds for other purposes, including the potential acquisition of, or investment in, product candidates, technologies, formulations or companies that complement our business, although we have no current understandings, commitments, or agreements to do so.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Amounts and timing of our actual expenditures will depend on numerous factors, including our pharmacy development and formulation commercialization efforts, as well as the amount of cash we use in our operations. Our management will have broad discretion in applying the net proceeds from this offering.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the funds are used, we intend to invest the net proceeds from this offering in interest-bearing money market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common stock, you will experience immediate dilution to the extent of the difference between the price per share you pay in this offering and the net tangible book value per share of our common stock after this offering.</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net tangible book value (deficit) as of September 30, 2015 was approximately $(2,345,000), or approximately $(0.24) per share. Net tangible book value (deficit) is determined by subtracting our total liabilities from our total tangible assets, and net tangible book value (deficit) per share is determined by dividing our net tangible book value (deficit) by the number of outstanding shares of our common stock. After giving effect to the sale of 2,900,000 shares of our common stock in this offering at the public offering price of $3.60 per share, and after deducting the underwriting discount and estimated offering expenses payable by us, our adjusted net tangible book value (deficit) as of September 30, 2015 would have been approximately $7,305,000, or approximately $0.58 per share. This represents an immediate increase in net tangible book value (deficit) of approximately $0.82 per share to our existing stockholders and an immediate dilution in net tangible book value (deficit) of approximately $3.02 per share to investors participating in this offering. The following table illustrates this calculation on a per share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 of common stock</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tangible book value (deficit) per share as of September 30, 2015</w:t>
            </w: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investors participating in this offering</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197"/>
        </w:trPr>
        <w:tc>
          <w:tcPr>
            <w:tcW w:w="748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Adjusted net tangible book value (deficit) per share after giving effect to this offering</w:t>
            </w:r>
          </w:p>
        </w:tc>
        <w:tc>
          <w:tcPr>
            <w:tcW w:w="13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CCEEFF"/>
            </w:tcBorders>
            <w:gridSpan w:val="2"/>
          </w:tcPr>
          <w:p>
            <w:pPr>
              <w:jc w:val="right"/>
              <w:ind w:right="345"/>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0.58</w:t>
            </w:r>
          </w:p>
        </w:tc>
      </w:tr>
      <w:tr>
        <w:trPr>
          <w:trHeight w:val="216"/>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7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underwriters exercise in full their option to purchase an additional 435,000 shares of common stock at the public offering price of $3.60 per share, our adjusted net tangible book value (deficit) as of September 30, 2015, after giving effect to this offering, would have been approximately $0.67 per share, representing an increase in net tangible book value (deficit) of approximately $0.91 per share to existing stockholders and immediate dilution in net tangible book value (deficit) of approximately $2.93 per share to investors participating in this offering.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 are based on 9,681,646 shares of common stock issued and outstanding as of September 30, 2015 and exclude:</w:t>
      </w:r>
    </w:p>
    <w:p>
      <w:pPr>
        <w:spacing w:after="0" w:line="248"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1,563,213 shares of common stock issuable upon exercise of options outstanding as of September 30, 2015, which have a weighted average exercise price of $7.05 per share, of which 613,121 shares were exercisable as of September 30, 2015;</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1,498,237 shares of common stock issuable upon the vesting of restricted stock units as of September 30, 2015;</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1,334,192 shares of common stock reserved for issuance and available for future grant under our equity incentive plans as of September 30, 2015;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240,688 shares of common stock issuable upon exercise of warrants outstanding as of September 30, 2015, which have a weighted average exercise price of $7.41 per share, of which 240,688 shares were exercisable as of September 30, 2015.</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above illustration of dilution per share to investors participating in this offering assumes no exercise of outstanding options or warrants to purchase our common stock and no vesting of outstanding restricted stock units. The exercise of outstanding options or warrants having an exercise price less than the offering price and the vesting of restricted stock units would increase dilution to investors participating in this offering. In addition, we may choose to raise additional capital depending on market conditions, our capital requirements and strategic considerations, even if we believe we have sufficient funds for our current or future operating plans. To the extent that additional capital is raised through our sale of equity or convertible debt securities, the issuance of these securities could result in further dilution to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an underwriting agreement with National Securities Corporation, as representative of the underwriters, pursuant to which the underwriters have agreed to purchase from us, severally and not jointly, an aggregate of 2,900,000 shares of our common stock to be sold in this offering, at the public offering price set forth on the cover page of this prospectus supplement, less the underwriting discount.</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of</w:t>
            </w:r>
          </w:p>
        </w:tc>
      </w:tr>
      <w:tr>
        <w:trPr>
          <w:trHeight w:val="241"/>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Underwriter</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National Securities Corporation</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Sterne Agee CRT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580,000</w:t>
            </w:r>
          </w:p>
        </w:tc>
        <w:tc>
          <w:tcPr>
            <w:tcW w:w="80" w:type="dxa"/>
            <w:vAlign w:val="bottom"/>
            <w:tcBorders>
              <w:bottom w:val="single" w:sz="8" w:color="CCEEFF"/>
            </w:tcBorders>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agreed to indemnify the underwriters and their officers, directors, principals, employees, affiliates and shareholders against certain liabilities, including civil liabilities under the Securities Act resulting from this offering and to contribute to payments the underwriters may be required to make in respect of such liabilities.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underwriters have advised us that they propose to initially offer the shares of common stock to the public at $3.60 per share. After the initial offering of the shares, the underwriters may from time to time vary the offering price and other selling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 to Purchase Additional Shares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have granted to the underwriters an option to purchase up to 435,000 additional shares of common stock from us at the same price to the public, less the same underwriting discount, as set forth in the table on the cover page of this prospectus supplement. The underwriters may exercise this option any time during the 45-day period after the date of this prospectus supplement, but only to cover over-allotments, if any, including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of our officers and directors have entered into a lock-up agreement with respect to shares of our common stock and other of our securities that they beneficially own, including securities that are convertible into shares of common stock and securities that are exchangeable or exercisable for shares of common stock. This means that, subject to certain exceptions, for a period of 120 days following the date of this prospectus supplement, such persons may not offer, sell, pledge or otherwise dispose of these securities without the prior written consent of National Securities Corporation. In addition, we have agreed, subject to certain exceptions, for a period of 120 days following the date of this prospectus supplement, not to offer, sell, pledge or otherwise dispose of shares of our common stock and other of our securities, including securities that are convertible into shares of common stock and securities that are exchangeable or exercisable for shares of common stock, without the prior written consent of National Securities Corporation.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 and Expenses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 summarizes the per share underwriting discount to the public offering price of the shares offered pursuant to this prospectus supplement. These amounts are shown assuming both no exercise and full exercise of the over-allotment option. We have also agreed to pay up to $60,000 of the out-of-pocket fees and expenses of the underwriters, which include the fees and expenses of counsel to the underwriters, plus a non-accountable expense allowance in the amount of 50% of any underwriting compensation payable to Sterne Agee CRT in connection with the sale of the shares in this offering. The fees and expenses of the underwriters that we have agreed to reimburse are not included in the underwriting discount set forth in the table below. The underwriting discount was determined through arms’ length negotiations between us and the underwriters.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tbl>
      <w:tblPr>
        <w:tblLayout w:type="fixed"/>
        <w:tblInd w:w="58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0"/>
              </w:rPr>
              <w:t>Without Exercise</w:t>
            </w:r>
          </w:p>
        </w:tc>
        <w:tc>
          <w:tcPr>
            <w:tcW w:w="120" w:type="dxa"/>
            <w:vAlign w:val="bottom"/>
          </w:tcPr>
          <w:p>
            <w:pPr>
              <w:spacing w:after="0"/>
              <w:rPr>
                <w:sz w:val="17"/>
                <w:szCs w:val="17"/>
                <w:color w:val="auto"/>
              </w:rPr>
            </w:pPr>
          </w:p>
        </w:tc>
        <w:tc>
          <w:tcPr>
            <w:tcW w:w="15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With Exercise</w:t>
            </w:r>
          </w:p>
        </w:tc>
        <w:tc>
          <w:tcPr>
            <w:tcW w:w="100" w:type="dxa"/>
            <w:vAlign w:val="bottom"/>
          </w:tcPr>
          <w:p>
            <w:pPr>
              <w:spacing w:after="0"/>
              <w:rPr>
                <w:sz w:val="17"/>
                <w:szCs w:val="17"/>
                <w:color w:val="auto"/>
              </w:rPr>
            </w:pPr>
          </w:p>
        </w:tc>
      </w:tr>
      <w:tr>
        <w:trPr>
          <w:trHeight w:val="216"/>
        </w:trPr>
        <w:tc>
          <w:tcPr>
            <w:tcW w:w="5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of Option to</w:t>
            </w:r>
          </w:p>
        </w:tc>
        <w:tc>
          <w:tcPr>
            <w:tcW w:w="12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of Option to</w:t>
            </w:r>
          </w:p>
        </w:tc>
      </w:tr>
      <w:tr>
        <w:trPr>
          <w:trHeight w:val="216"/>
        </w:trPr>
        <w:tc>
          <w:tcPr>
            <w:tcW w:w="5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Purchase</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Purchase</w:t>
            </w:r>
          </w:p>
        </w:tc>
      </w:tr>
      <w:tr>
        <w:trPr>
          <w:trHeight w:val="216"/>
        </w:trPr>
        <w:tc>
          <w:tcPr>
            <w:tcW w:w="5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r>
      <w:tr>
        <w:trPr>
          <w:trHeight w:val="241"/>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0"/>
                <w:szCs w:val="20"/>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Common Shares</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 Shares</w:t>
            </w:r>
          </w:p>
        </w:tc>
      </w:tr>
      <w:tr>
        <w:trPr>
          <w:trHeight w:val="21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 for common stock to be paid by us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0.252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730,800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840,420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foregoing, we and the underwriters have agreed that the underwriters will only be entitled to a 3.0% discount (or $0.108 per share) for the participation of two investors with which we have a pre-existing relationship.</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estimate that the total expenses of the offering, excluding the underwriting discount, will be approximately $180,000 without the exercise of the over-allotment option and $190,000 assuming the full exercise of the over-allotment option. This includes $60,000 of the out-of-pocket fees and expenses of the underwriters, plus a non-accountable expense allowance in the amount of 50% of any underwriting compensation payable to Sterne Agee CRT in connection with the sale of the shares in this offering. These expenses are payable by us.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After deducting fees due to the underwriters and our estimated offering expenses, we expect our net proceeds from this offering to be approximately $9,650,000 without the exercise of the over-allotment option and $11,100,000 assuming the full exercise of the over-allotment option.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facilitate the offering, the underwriters may engage in transactions that stabilize, maintain or otherwise affect the price of the common stock during and after the offering. Specifically, the underwriters may over-allot or otherwise create a short position in the common stock for their own account by selling more shares of common stock than have been sold to them by us. The underwriters may elect to cover any such short position by purchasing shares of common stock in the open market or by exercising the over-allotment option granted to the underwriters. In addition, the underwriters may stabilize or maintain the price of the common stock by bidding for or purchasing shares of common stock in the open market and may impose penalty bids. If penalty bids are imposed, selling concessions allowed to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Capital Market, or otherwise and, if commenced, may be discontinued at any time. Neither we nor the underwriters make any representation or prediction as to the effect that the transactions described above may have on the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this offering, the underwriters (and any dealers that are members of the selling group) may also engage in passive market making transactions in our common stock. Passive market making consists of displaying bids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prospectus supplement in electronic format may be made available on the websites maintained by the underwriters and the underwriters may distribute prospectuses electronically. In those cases, prospective investors may view offering terms and a prospectus online and place orders online or through their financial advisors. Other than the prospectus in electronic format, the information on these websites is not part of this prospectus supplement, the accompanying prospectus or the registration statement of which this prospectus supplement and the accompanying prospectus form a part, has not been approved or endorsed by us or the underwriters, and should not be relied upon by investors.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 Relationships with the Underwriters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From time to time in the ordinary course of business, the underwriters and their respective affiliates may in the future perform various commercial banking, financial advisory, investment banking and other financial services for us for which it will receive customary fees and reimbursement of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validity of the securities offered by this prospectus supplement will be passed upon for us by Golenbock Eiseman Assor Bell &amp; Peskoe LLP, New York, New York. Greenberg Traurig, LLP, Irvine, California, is acting as counsel for the representative of the underwriters in connection with this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of Imprimis Pharmaceuticals, Inc. and its subsidiary included in the Company’s Annual Report on Form 10-K for the year ended December 31, 2014 have been audited by KMJ Corbin &amp; Company LLP, an independent registered public accounting firm, as stated in their report which is incorporated by reference herein, and has been so incorporated in reliance upon such report and upon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it. This means that we can disclose important information to you in this prospectus by referring you to another document. The information incorporated by reference herein is considered to be a part of this prospectus supplement. We incorporate by reference the documents listed below that we have previously filed with the SEC (excluding any portions of any document that are not deemed “filed” pursuant to the General Instructions of Form 8-K):</w:t>
      </w:r>
    </w:p>
    <w:p>
      <w:pPr>
        <w:spacing w:after="0" w:line="187" w:lineRule="exact"/>
        <w:rPr>
          <w:sz w:val="20"/>
          <w:szCs w:val="20"/>
          <w:color w:val="auto"/>
        </w:rPr>
      </w:pPr>
    </w:p>
    <w:p>
      <w:pPr>
        <w:jc w:val="both"/>
        <w:ind w:left="98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December 31, 2014 filed with the SEC on March 12, 2015 (and any portions of our Definitive Proxy Statement on Schedule 14A filed on April 10, 2015 that are incorporated by reference into such Annual Report on Form 10-K);</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2015, June 30, 2015 and September 30, 2015 filed with the SEC on May 13, 2015, August 12, 2015, and November 12, 2015, respectively;</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5, 2015, January 6, 2015, February 2, 2015, May 12, 2015, May 15, 2015, July 16, 2015, August 5, 2015, August 12, 2015, September 2, 2015, September 29, 2015, October 20, 2015, November 27, 2015, December 28, 2015, January 25, 2016, and March 11, 2016, and the amendments to our Current Reports on Form 8-K filed with the SEC on March 12, 2015 and August 6, 2015; and</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including any amendments or reports filed for the purpose of updating such description.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 contained in a previously filed document is deemed to be modified or superseded for purposes of this prospectus supplement to the extent that a statement contained in this prospectus supplement or in a subsequently filed document incorporated by reference herein modifies or supersedes the statement.</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prospectus supplement is delivered, upon written or oral request of that person, a copy of any or all of the documents we are incorporating by reference into this prospectus supplement, other than exhibits to those documents unless such exhibits are specifically incorporated by reference into those documents. Such written requests should be addressed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filed with the SEC a registration statement under the Securities Act (SEC File No. 333-198675) that registers the securities offered hereby. The registration statement, including the exhibits and schedules attached thereto and the information incorporated by reference therein, contains additional relevant information about the securities and our Company, which we are allowed to omit from this prospectus supplement pursuant to the rules and regulations of the SEC. In addition, 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website at www.sec.gov. Copies of certain information filed by us with the SEC are also available on our website at www.imprimispharma.com. We have not incorporated by reference into this prospectus supplement the information on our website and it is not a part of this document.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PROSPECTUS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$75,000,000</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IMPRIMIS PHARMACEUTICALS,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4060" w:hanging="162"/>
        <w:spacing w:after="0"/>
        <w:tabs>
          <w:tab w:leader="none" w:pos="4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4060" w:hanging="162"/>
        <w:spacing w:after="0"/>
        <w:tabs>
          <w:tab w:leader="none" w:pos="4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4060" w:hanging="162"/>
        <w:spacing w:after="0"/>
        <w:tabs>
          <w:tab w:leader="none" w:pos="4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4060" w:hanging="162"/>
        <w:spacing w:after="0"/>
        <w:tabs>
          <w:tab w:leader="none" w:pos="4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4060" w:hanging="162"/>
        <w:spacing w:after="0"/>
        <w:tabs>
          <w:tab w:leader="none" w:pos="4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September 18, 2014, the closing price of our common stock on the NASDAQCM was $8.22 per share.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3 for information you should consider before investing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September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80" w:type="dxa"/>
            <w:vAlign w:val="bottom"/>
            <w:tcBorders>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24">
              <w:r>
                <w:rPr>
                  <w:rFonts w:ascii="Arial" w:cs="Arial" w:eastAsia="Arial" w:hAnsi="Arial"/>
                  <w:sz w:val="15"/>
                  <w:szCs w:val="15"/>
                  <w:color w:val="0000EE"/>
                </w:rPr>
                <w:t>PROSPECTUS SUMMARY</w:t>
              </w:r>
            </w:hyperlink>
          </w:p>
        </w:tc>
        <w:tc>
          <w:tcPr>
            <w:tcW w:w="8300" w:type="dxa"/>
            <w:vAlign w:val="bottom"/>
            <w:tcBorders>
              <w:bottom w:val="single" w:sz="8" w:color="CCEEFF"/>
            </w:tcBorders>
            <w:gridSpan w:val="7"/>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FORWARD-LOOKING STATEMENTS</w:t>
              </w:r>
            </w:hyperlink>
          </w:p>
        </w:tc>
        <w:tc>
          <w:tcPr>
            <w:tcW w:w="7460" w:type="dxa"/>
            <w:vAlign w:val="bottom"/>
            <w:tcBorders>
              <w:bottom w:val="single" w:sz="8" w:color="CCEEFF"/>
            </w:tcBorders>
            <w:gridSpan w:val="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DILUTION</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DESCRIPTION OF CAPITAL STOCK</w:t>
              </w:r>
            </w:hyperlink>
          </w:p>
        </w:tc>
        <w:tc>
          <w:tcPr>
            <w:tcW w:w="7520" w:type="dxa"/>
            <w:vAlign w:val="bottom"/>
            <w:tcBorders>
              <w:bottom w:val="single" w:sz="8" w:color="CCEEFF"/>
            </w:tcBorders>
            <w:gridSpan w:val="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DEPOSITARY SHARES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THE WARRANTS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THE DEBT SECURITIES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PLAN OF DISTRIBUTION</w:t>
              </w:r>
            </w:hyperlink>
          </w:p>
        </w:tc>
        <w:tc>
          <w:tcPr>
            <w:tcW w:w="834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EXPERTS</w:t>
              </w:r>
            </w:hyperlink>
          </w:p>
        </w:tc>
        <w:tc>
          <w:tcPr>
            <w:tcW w:w="9620" w:type="dxa"/>
            <w:vAlign w:val="bottom"/>
            <w:tcBorders>
              <w:bottom w:val="single" w:sz="8" w:color="CCEEFF"/>
            </w:tcBorders>
            <w:gridSpan w:val="1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1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DOCUMENTS BY REFERENCE</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3,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competitive advantages over commercially available formulations or which serve substantially unmet needs in the marketplace. Although we hope to market and sell each of our proprietary drug formulations, we are currently focused on developing our proprietary ophthalmology formulation business. We also sell non-proprietary sterile and topical drug formulations. We fulfill prescription orders for our drug formulations through Pharmacy Creations, our New Jersey-based pharmacy, which is licensed to distribute our drug formulations in 32 states. We are in the process of expanding our prescription fulfillment and distribution capabilities with the goal of owning or otherwise having access to multiple facilities licensed in each of the 50 states in the United States. 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$36.7 million at June 30, 2014. Beginning on April 1, 2014 we began generating revenue from certain of our proprietary drug formulations and other pharmacy formulations; however we expect to incur further losses as we integrate and develop our new pharmacy operations, evaluate other programs and continue the development of our formulations.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(the “merger agreement”) by and among Transdel Pharmaceuticals, Inc., Transdel Pharmaceuticals Holdings, Inc., a privately held Nevada corporation (“Transdel Holdings”), and Trans-Pharma Acquisition Corp., a newly formed, wholly-owned Delaware subsidiary of Transdel Pharmaceuticals, Inc. (“Acquisition Sub”). Upon closing of the merger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changed our name to Imprimis Pharmaceuticals, Inc. and effected a one-for-eight reverse split of our issued and outstanding common stock, and on February 7, 2013 we effected a one-for-five reverse split of our issued and outstanding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currently traded on The NASDAQ Capital Market under the symbol IMMY. Our executive offices are located at 12264 El Camino Real, Suite 350, San Diego, CA 92130 and our telephone number at such office is (858) 704-4040. Our website address is www.imprimispharma.com. Information contained on our website is not deemed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Moreover, we do not anticipate paying periodic cash dividends on our common stock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effected a one-for-eight reverse split of our issued and outstanding common stock, and on February 7, 2013 we amended our Certificate of Incorporation to effect a reverse split of our issued and outstanding common stock at a ratio of one-for-five.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stated below, all information regarding share amounts of common stock and prices per share of common stock described below reflects the reverse stock splits.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issued and outstanding common stock. On February 7, 2013, we further amended our Amended and Restated Certificate of Incorporation to effect a one for five reverse stock split of our issued and outstanding common stock. On September 10, 2014, we amended and restated our Certificate of Incorporation to decrease the number of authorized shares of our common stock from 395,000,000 to 90,000,000. Our authorized capital stock now consists of 95,000,000 shares, 90,000,000 of which are designated as common stock, par value $0.001 per share, and 5,000,000 of which are designated as preferred stock, par value $0.001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2014, we had outstanding 9,173,304 shares of common stock held by 142 stockholders of record. In addition, as of June 30, 2014, there are outstanding (i) options to acquire 1,314,467 shares of our common stock with a weighted average exercise price of $5.66 per share, all of which are held by current or former employees, directors and consultants, (ii) warrants to purchase 814,722 shares of common stock with a weighted average exercise price of $5.94 per share, and (iii) 1,289,960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4, 2014, 10 shares of preferred stock have been designed as Series A Convertible Preferred Stock, none of which are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our option, we may elect to offer fractional shares of preferred stock, rather than full shares of preferred stock. If we do elect to offer fractional shares of preferred stock, we will issue receipts for depositary shares and each of these depositary shares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01" w:lineRule="auto"/>
        <w:tabs>
          <w:tab w:leader="none" w:pos="9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18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 the end of two years after such payment was due, will be repaid to us thereafter. The holder may look only to us for such payment.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6" w:lineRule="exact"/>
        <w:rPr>
          <w:sz w:val="20"/>
          <w:szCs w:val="20"/>
          <w:color w:val="auto"/>
        </w:rPr>
      </w:pPr>
    </w:p>
    <w:p>
      <w:pPr>
        <w:jc w:val="both"/>
        <w:ind w:left="9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Morrison &amp; Foerster, LLP, San Diego, California.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Imprimis Pharmaceuticals, Inc. appearing in the Company’s Annual Report on Form 10-K for the fiscal year ended December 31, 2013, filed with the SEC on March 28, 2014, as amended by the amendment filed with the SEC on April 30, 2014,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4"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filed with the SEC on March 28, 2014 as amended by the amendment filed with the SEC on April 30, 2014;</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2014 and June 30, 2014, filed with the SEC on May 15, 2014 and August 13, 2014, respectively;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11, 2014, April 3, 2014 (as amended by the Current Report on Form 8-K/A filed with the SEC on June 13, 2014), September 3, 2014, and September 8, 2014 (as amended by the Current Report on Form 8-K/A filed with the SEC on September 9, 2014).</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2489835</wp:posOffset>
            </wp:positionH>
            <wp:positionV relativeFrom="page">
              <wp:posOffset>431800</wp:posOffset>
            </wp:positionV>
            <wp:extent cx="2581275" cy="1166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58127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2,900,000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176530</wp:posOffset>
            </wp:positionV>
            <wp:extent cx="36188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154940</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Securities Corporation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Sterne Agee CRT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lvl w:ilvl="1">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2020-01-19T21:36:18Z</dcterms:created>
  <dcterms:modified xsi:type="dcterms:W3CDTF">2020-01-19T21:36:18Z</dcterms:modified>
</cp:coreProperties>
</file>