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As 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333-239669</w:t>
      </w:r>
    </w:p>
    <w:p>
      <w:pPr>
        <w:spacing w:after="0" w:line="207"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CC062A"/>
        </w:rPr>
        <w:t>The information in this preliminary prospectus supplement and the accompanying prospectus is not complete and may be changed. This preliminary prospectus supplement and the accompanying prospectus are not an offer to sell these securities, and they are not soliciting an offer to buy these securities in any jurisdiction where the offer or sale thereof is not permitted.</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CC062A"/>
        </w:rPr>
        <w:t>SUBJECT TO COMPLETION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CC062A"/>
        </w:rPr>
        <w:t>PRELIMINARY PROSPECTUS SUPPLEMENT DATED JUNE 14, 2021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13, 2020)</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$17,500,000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161290</wp:posOffset>
            </wp:positionV>
            <wp:extent cx="145732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220"/>
        <w:spacing w:after="0"/>
        <w:rPr>
          <w:sz w:val="20"/>
          <w:szCs w:val="20"/>
          <w:color w:val="auto"/>
        </w:rPr>
      </w:pPr>
      <w:r>
        <w:rPr>
          <w:rFonts w:ascii="Arial" w:cs="Arial" w:eastAsia="Arial" w:hAnsi="Arial"/>
          <w:sz w:val="32"/>
          <w:szCs w:val="32"/>
          <w:b w:val="1"/>
          <w:bCs w:val="1"/>
          <w:color w:val="auto"/>
        </w:rPr>
        <w:t>Harrow Health, Inc.</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8.625% Senior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offering $17,500,000 principal amount of our 8.625% senior notes due 2026 (the “Notes”) as described in this prospectus supplement and the accompanying prospectus. Interest on the Notes will accrue from April 20, 2021 and will be paid quarterly in arrears on January 31, April 30, July 31 and October 31 of each year, commencing on July 31, 2021, and at maturity. The Notes will mature on April 30, 2026. We may redeem the Notes for cash in whole or in part at any time at our option on or after February 1, 2026 and prior to maturity, at a price equal to 100% of their principal amount, plus accrued and unpaid interest to, but excluding, the date of redemption. See “Description of the Notes — Optional Redemption.” The Notes will be issued in denominations of $25 and in integral multiples in excess thereof.</w:t>
      </w:r>
    </w:p>
    <w:p>
      <w:pPr>
        <w:spacing w:after="0" w:line="192" w:lineRule="exact"/>
        <w:rPr>
          <w:sz w:val="24"/>
          <w:szCs w:val="24"/>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new Notes are being offered as additional notes under the indenture dated April 20, 2021, as supplemented by the First Supplemental Indenture dated April 20, 2021 (the “indenture”), pursuant to which we previously issued $55,000,000 in aggregate principal amount of 8.625% Senior Notes due 2026 (the “existing notes”). Unless the context otherwise requires, the term “Notes” refers to both the new Notes, the existing notes and any other additional notes we may issue in the future. The new Notes constitute a further issuance of, and will be fungible with, the existing notes (and will bear the same CUSIP number as the existing notes) and form a single class of debt securities with the existing notes for all purposes under the indenture governing the notes. Immediately after giving effect to the issuance of the new Notes by this prospectus, we will have $ in aggregate principal amount of our 8.625% Senior Notes due 2026 outstanding.</w:t>
      </w:r>
    </w:p>
    <w:p>
      <w:pPr>
        <w:spacing w:after="0" w:line="195" w:lineRule="exact"/>
        <w:rPr>
          <w:sz w:val="24"/>
          <w:szCs w:val="24"/>
          <w:color w:val="auto"/>
        </w:rPr>
      </w:pPr>
    </w:p>
    <w:p>
      <w:pPr>
        <w:jc w:val="both"/>
        <w:ind w:right="20" w:firstLine="432"/>
        <w:spacing w:after="0" w:line="311" w:lineRule="auto"/>
        <w:rPr>
          <w:sz w:val="20"/>
          <w:szCs w:val="20"/>
          <w:color w:val="auto"/>
        </w:rPr>
      </w:pPr>
      <w:r>
        <w:rPr>
          <w:rFonts w:ascii="Arial" w:cs="Arial" w:eastAsia="Arial" w:hAnsi="Arial"/>
          <w:sz w:val="16"/>
          <w:szCs w:val="16"/>
          <w:color w:val="auto"/>
        </w:rPr>
        <w:t>The Notes will be our senior unsecured obligations and will rank equal in right of payment with all of our existing and future senior unsecured and unsubordinated indebtedness, including the existing notes. The Notes will be effectively subordinated in right of payment to all of our existing and future secured indebtedness, and the Notes will be structurally subordinated to all existing and future indebtedness (including trade payables) of our subsidiaries.</w:t>
      </w:r>
    </w:p>
    <w:p>
      <w:pPr>
        <w:spacing w:after="0" w:line="145" w:lineRule="exact"/>
        <w:rPr>
          <w:sz w:val="24"/>
          <w:szCs w:val="24"/>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Investing in the Notes involves a high degree of risk. You should carefully consider the risks described under “Risk Factors” beginning on page S-5 of this prospectus supplement and in the documents incorporated by reference in this prospectus supplement and the accompanying prospectus.</w:t>
      </w:r>
    </w:p>
    <w:p>
      <w:pPr>
        <w:spacing w:after="0" w:line="176" w:lineRule="exact"/>
        <w:rPr>
          <w:sz w:val="24"/>
          <w:szCs w:val="24"/>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The existing notes are listed, and the new Notes are expected to be listed, on the Nasdaq Global Market (“NASDAQ”) under the symbol “HROWL”.</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On June 11, 2021, the last reported sale price of the existing notes on the Nasdaq Global Market was $26.17.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340"/>
        </w:trPr>
        <w:tc>
          <w:tcPr>
            <w:tcW w:w="4740" w:type="dxa"/>
            <w:vAlign w:val="bottom"/>
            <w:tcBorders>
              <w:bottom w:val="single" w:sz="8" w:color="CCEEFF"/>
            </w:tcBorders>
          </w:tcPr>
          <w:p>
            <w:pPr>
              <w:spacing w:after="0"/>
              <w:rPr>
                <w:sz w:val="24"/>
                <w:szCs w:val="24"/>
                <w:color w:val="auto"/>
              </w:rPr>
            </w:pPr>
          </w:p>
        </w:tc>
        <w:tc>
          <w:tcPr>
            <w:tcW w:w="224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Per Note</w:t>
            </w:r>
          </w:p>
        </w:tc>
        <w:tc>
          <w:tcPr>
            <w:tcW w:w="3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Total</w:t>
            </w:r>
            <w:r>
              <w:rPr>
                <w:rFonts w:ascii="Arial" w:cs="Arial" w:eastAsia="Arial" w:hAnsi="Arial"/>
                <w:sz w:val="29"/>
                <w:szCs w:val="29"/>
                <w:color w:val="auto"/>
                <w:vertAlign w:val="superscript"/>
              </w:rPr>
              <w:t>(1)</w:t>
            </w:r>
          </w:p>
        </w:tc>
        <w:tc>
          <w:tcPr>
            <w:tcW w:w="100" w:type="dxa"/>
            <w:vAlign w:val="bottom"/>
            <w:tcBorders>
              <w:bottom w:val="single" w:sz="8" w:color="CCEEFF"/>
            </w:tcBorders>
          </w:tcPr>
          <w:p>
            <w:pPr>
              <w:spacing w:after="0"/>
              <w:rPr>
                <w:sz w:val="24"/>
                <w:szCs w:val="24"/>
                <w:color w:val="auto"/>
              </w:rPr>
            </w:pPr>
          </w:p>
        </w:tc>
      </w:tr>
      <w:tr>
        <w:trPr>
          <w:trHeight w:val="243"/>
        </w:trPr>
        <w:tc>
          <w:tcPr>
            <w:tcW w:w="47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Public offering price</w:t>
            </w:r>
            <w:r>
              <w:rPr>
                <w:rFonts w:ascii="Arial" w:cs="Arial" w:eastAsia="Arial" w:hAnsi="Arial"/>
                <w:sz w:val="28"/>
                <w:szCs w:val="28"/>
                <w:color w:val="auto"/>
                <w:vertAlign w:val="superscript"/>
              </w:rPr>
              <w:t>(2)</w:t>
            </w:r>
          </w:p>
        </w:tc>
        <w:tc>
          <w:tcPr>
            <w:tcW w:w="4160" w:type="dxa"/>
            <w:vAlign w:val="bottom"/>
            <w:gridSpan w:val="2"/>
            <w:shd w:val="clear" w:color="auto" w:fill="CCEEFF"/>
          </w:tcPr>
          <w:p>
            <w:pPr>
              <w:jc w:val="right"/>
              <w:ind w:right="173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17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57"/>
        </w:trPr>
        <w:tc>
          <w:tcPr>
            <w:tcW w:w="4740" w:type="dxa"/>
            <w:vAlign w:val="bottom"/>
          </w:tcPr>
          <w:p>
            <w:pPr>
              <w:spacing w:after="0" w:line="256"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(3)</w:t>
            </w:r>
          </w:p>
        </w:tc>
        <w:tc>
          <w:tcPr>
            <w:tcW w:w="4160" w:type="dxa"/>
            <w:vAlign w:val="bottom"/>
            <w:gridSpan w:val="2"/>
          </w:tcPr>
          <w:p>
            <w:pPr>
              <w:jc w:val="right"/>
              <w:ind w:right="173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17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56"/>
        </w:trPr>
        <w:tc>
          <w:tcPr>
            <w:tcW w:w="4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 to us</w:t>
            </w:r>
            <w:r>
              <w:rPr>
                <w:rFonts w:ascii="Arial" w:cs="Arial" w:eastAsia="Arial" w:hAnsi="Arial"/>
                <w:sz w:val="29"/>
                <w:szCs w:val="29"/>
                <w:color w:val="auto"/>
                <w:vertAlign w:val="superscript"/>
              </w:rPr>
              <w:t>(3)</w:t>
            </w:r>
          </w:p>
        </w:tc>
        <w:tc>
          <w:tcPr>
            <w:tcW w:w="4160" w:type="dxa"/>
            <w:vAlign w:val="bottom"/>
            <w:gridSpan w:val="2"/>
            <w:shd w:val="clear" w:color="auto" w:fill="CCEEFF"/>
          </w:tcPr>
          <w:p>
            <w:pPr>
              <w:jc w:val="right"/>
              <w:ind w:right="173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17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no exercise of the option described below.</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July 31, 2021, the next interest payment date, we will pay interest on the new Notes from April 20, 2021.</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also agreed to pay a structuring fee to B. Riley Securities, Inc. See “Underwriting (Conflicts of Interest)” for a description of all underwriting compensation payable in connection with this offering.</w:t>
      </w:r>
    </w:p>
    <w:p>
      <w:pPr>
        <w:sectPr>
          <w:pgSz w:w="11900" w:h="16838" w:orient="portrait"/>
          <w:cols w:equalWidth="0" w:num="1">
            <w:col w:w="11240"/>
          </w:cols>
          <w:pgMar w:left="320" w:top="445" w:right="339" w:bottom="0" w:gutter="0" w:footer="0" w:header="0"/>
        </w:sectPr>
      </w:pPr>
    </w:p>
    <w:p>
      <w:pPr>
        <w:spacing w:after="0" w:line="185"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We have granted the underwriters an option to purchase up to an additional $ date of this prospectus supplement.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aggregate principal amount of the Notes within 30 days from the</w:t>
      </w:r>
    </w:p>
    <w:p>
      <w:pPr>
        <w:spacing w:after="0" w:line="463" w:lineRule="exact"/>
        <w:rPr>
          <w:sz w:val="24"/>
          <w:szCs w:val="24"/>
          <w:color w:val="auto"/>
        </w:rPr>
      </w:pPr>
    </w:p>
    <w:p>
      <w:pPr>
        <w:sectPr>
          <w:pgSz w:w="11900" w:h="16838" w:orient="portrait"/>
          <w:cols w:equalWidth="0" w:num="2">
            <w:col w:w="6080" w:space="420"/>
            <w:col w:w="4740"/>
          </w:cols>
          <w:pgMar w:left="320" w:top="445" w:right="339" w:bottom="0" w:gutter="0" w:footer="0" w:header="0"/>
          <w:type w:val="continuous"/>
        </w:sectPr>
      </w:pPr>
    </w:p>
    <w:p>
      <w:pPr>
        <w:ind w:left="440"/>
        <w:spacing w:after="0"/>
        <w:rPr>
          <w:sz w:val="20"/>
          <w:szCs w:val="20"/>
          <w:color w:val="auto"/>
        </w:rPr>
      </w:pPr>
      <w:r>
        <w:rPr>
          <w:rFonts w:ascii="Arial" w:cs="Arial" w:eastAsia="Arial" w:hAnsi="Arial"/>
          <w:sz w:val="17"/>
          <w:szCs w:val="17"/>
          <w:color w:val="auto"/>
        </w:rPr>
        <w:t>The underwriters expect to deliver the Notes to purchasers in book-entry form through the facilities of The Depository Trust Company for the</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w w:val="96"/>
              </w:rPr>
              <w:t>accounts of its participants on or about</w:t>
            </w:r>
          </w:p>
        </w:tc>
        <w:tc>
          <w:tcPr>
            <w:tcW w:w="700" w:type="dxa"/>
            <w:vAlign w:val="bottom"/>
          </w:tcPr>
          <w:p>
            <w:pPr>
              <w:jc w:val="right"/>
              <w:spacing w:after="0"/>
              <w:rPr>
                <w:sz w:val="20"/>
                <w:szCs w:val="20"/>
                <w:color w:val="auto"/>
              </w:rPr>
            </w:pPr>
            <w:r>
              <w:rPr>
                <w:rFonts w:ascii="Arial" w:cs="Arial" w:eastAsia="Arial" w:hAnsi="Arial"/>
                <w:sz w:val="18"/>
                <w:szCs w:val="18"/>
                <w:color w:val="auto"/>
              </w:rPr>
              <w:t>, 2021.</w:t>
            </w:r>
          </w:p>
        </w:tc>
      </w:tr>
    </w:tbl>
    <w:p>
      <w:pPr>
        <w:sectPr>
          <w:pgSz w:w="11900" w:h="16838" w:orient="portrait"/>
          <w:cols w:equalWidth="0" w:num="1">
            <w:col w:w="11240"/>
          </w:cols>
          <w:pgMar w:left="320" w:top="445"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4720"/>
              <w:spacing w:after="0"/>
              <w:rPr>
                <w:sz w:val="20"/>
                <w:szCs w:val="20"/>
                <w:color w:val="auto"/>
              </w:rPr>
            </w:pPr>
            <w:r>
              <w:rPr>
                <w:rFonts w:ascii="Arial" w:cs="Arial" w:eastAsia="Arial" w:hAnsi="Arial"/>
                <w:sz w:val="18"/>
                <w:szCs w:val="18"/>
                <w:i w:val="1"/>
                <w:iCs w:val="1"/>
                <w:color w:val="auto"/>
              </w:rPr>
              <w:t>Book-Running Managers</w:t>
            </w:r>
          </w:p>
        </w:tc>
        <w:tc>
          <w:tcPr>
            <w:tcW w:w="4380" w:type="dxa"/>
            <w:vAlign w:val="bottom"/>
          </w:tcPr>
          <w:p>
            <w:pPr>
              <w:spacing w:after="0"/>
              <w:rPr>
                <w:sz w:val="20"/>
                <w:szCs w:val="20"/>
                <w:color w:val="auto"/>
              </w:rPr>
            </w:pPr>
          </w:p>
        </w:tc>
      </w:tr>
      <w:tr>
        <w:trPr>
          <w:trHeight w:val="469"/>
        </w:trPr>
        <w:tc>
          <w:tcPr>
            <w:tcW w:w="6860" w:type="dxa"/>
            <w:vAlign w:val="bottom"/>
          </w:tcPr>
          <w:p>
            <w:pPr>
              <w:ind w:left="1920"/>
              <w:spacing w:after="0"/>
              <w:rPr>
                <w:sz w:val="20"/>
                <w:szCs w:val="20"/>
                <w:color w:val="auto"/>
              </w:rPr>
            </w:pPr>
            <w:r>
              <w:rPr>
                <w:rFonts w:ascii="Arial" w:cs="Arial" w:eastAsia="Arial" w:hAnsi="Arial"/>
                <w:sz w:val="22"/>
                <w:szCs w:val="22"/>
                <w:b w:val="1"/>
                <w:bCs w:val="1"/>
                <w:color w:val="auto"/>
              </w:rPr>
              <w:t>B. Riley Securities</w:t>
            </w:r>
          </w:p>
        </w:tc>
        <w:tc>
          <w:tcPr>
            <w:tcW w:w="4380" w:type="dxa"/>
            <w:vAlign w:val="bottom"/>
          </w:tcPr>
          <w:p>
            <w:pPr>
              <w:jc w:val="right"/>
              <w:ind w:right="1621"/>
              <w:spacing w:after="0"/>
              <w:rPr>
                <w:sz w:val="20"/>
                <w:szCs w:val="20"/>
                <w:color w:val="auto"/>
              </w:rPr>
            </w:pPr>
            <w:r>
              <w:rPr>
                <w:rFonts w:ascii="Arial" w:cs="Arial" w:eastAsia="Arial" w:hAnsi="Arial"/>
                <w:sz w:val="22"/>
                <w:szCs w:val="22"/>
                <w:b w:val="1"/>
                <w:bCs w:val="1"/>
                <w:color w:val="auto"/>
              </w:rPr>
              <w:t>Ladenburg Thalmann</w:t>
            </w:r>
          </w:p>
        </w:tc>
      </w:tr>
      <w:tr>
        <w:trPr>
          <w:trHeight w:val="422"/>
        </w:trPr>
        <w:tc>
          <w:tcPr>
            <w:tcW w:w="6860" w:type="dxa"/>
            <w:vAlign w:val="bottom"/>
          </w:tcPr>
          <w:p>
            <w:pPr>
              <w:ind w:left="3680"/>
              <w:spacing w:after="0"/>
              <w:rPr>
                <w:sz w:val="20"/>
                <w:szCs w:val="20"/>
                <w:color w:val="auto"/>
              </w:rPr>
            </w:pPr>
            <w:r>
              <w:rPr>
                <w:rFonts w:ascii="Arial" w:cs="Arial" w:eastAsia="Arial" w:hAnsi="Arial"/>
                <w:sz w:val="18"/>
                <w:szCs w:val="18"/>
                <w:color w:val="auto"/>
                <w:w w:val="94"/>
              </w:rPr>
              <w:t>The date of this prospectus supplement is</w:t>
            </w:r>
          </w:p>
        </w:tc>
        <w:tc>
          <w:tcPr>
            <w:tcW w:w="4380" w:type="dxa"/>
            <w:vAlign w:val="bottom"/>
          </w:tcPr>
          <w:p>
            <w:pPr>
              <w:jc w:val="right"/>
              <w:ind w:right="3581"/>
              <w:spacing w:after="0"/>
              <w:rPr>
                <w:sz w:val="20"/>
                <w:szCs w:val="20"/>
                <w:color w:val="auto"/>
              </w:rPr>
            </w:pPr>
            <w:r>
              <w:rPr>
                <w:rFonts w:ascii="Arial" w:cs="Arial" w:eastAsia="Arial" w:hAnsi="Arial"/>
                <w:sz w:val="18"/>
                <w:szCs w:val="18"/>
                <w:color w:val="auto"/>
              </w:rPr>
              <w:t>, 2021.</w:t>
            </w:r>
          </w:p>
        </w:tc>
      </w:tr>
      <w:tr>
        <w:trPr>
          <w:trHeight w:val="439"/>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4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Prospectus Supplement</w:t>
            </w:r>
          </w:p>
        </w:tc>
        <w:tc>
          <w:tcPr>
            <w:tcW w:w="4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2"/>
        </w:trPr>
        <w:tc>
          <w:tcPr>
            <w:tcW w:w="10600" w:type="dxa"/>
            <w:vAlign w:val="bottom"/>
            <w:tcBorders>
              <w:top w:val="single" w:sz="8" w:color="CCEEFF"/>
            </w:tcBorders>
            <w:gridSpan w:val="22"/>
            <w:shd w:val="clear" w:color="auto" w:fill="CCEEFF"/>
          </w:tcPr>
          <w:p>
            <w:pPr>
              <w:spacing w:after="0" w:line="142" w:lineRule="exact"/>
              <w:rPr>
                <w:rFonts w:ascii="Arial" w:cs="Arial" w:eastAsia="Arial" w:hAnsi="Arial"/>
                <w:sz w:val="16"/>
                <w:szCs w:val="16"/>
                <w:color w:val="0000EE"/>
              </w:rPr>
            </w:pPr>
            <w:hyperlink w:anchor="page4">
              <w:r>
                <w:rPr>
                  <w:rFonts w:ascii="Arial" w:cs="Arial" w:eastAsia="Arial" w:hAnsi="Arial"/>
                  <w:sz w:val="16"/>
                  <w:szCs w:val="16"/>
                  <w:color w:val="0000EE"/>
                </w:rPr>
                <w:t>ABOUT THIS PROSPECTUS SUPPLEMENT</w:t>
              </w:r>
            </w:hyperlink>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SPECIAL NOTE REGARDING FORWARD-LOOKING STATEMENTS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PROSPECTUS SUPPLEMENT SUMMARY</w:t>
              </w:r>
            </w:hyperlink>
          </w:p>
        </w:tc>
        <w:tc>
          <w:tcPr>
            <w:tcW w:w="730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8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CAPITALIZATION</w:t>
              </w:r>
            </w:hyperlink>
          </w:p>
        </w:tc>
        <w:tc>
          <w:tcPr>
            <w:tcW w:w="9020" w:type="dxa"/>
            <w:vAlign w:val="bottom"/>
            <w:tcBorders>
              <w:top w:val="single" w:sz="8" w:color="CCEEFF"/>
            </w:tcBorders>
            <w:gridSpan w:val="17"/>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DESCRIPTION OF THE NOTES</w:t>
              </w:r>
            </w:hyperlink>
          </w:p>
        </w:tc>
        <w:tc>
          <w:tcPr>
            <w:tcW w:w="812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CERTAIN MATERIAL U.S. FEDERAL INCOME TAX CONSIDERATIONS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UNDERWRITING (CONFLICTS OF INTEREST)</w:t>
              </w:r>
            </w:hyperlink>
          </w:p>
        </w:tc>
        <w:tc>
          <w:tcPr>
            <w:tcW w:w="688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LEGAL MATTERS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EXPERTS</w:t>
              </w:r>
            </w:hyperlink>
          </w:p>
        </w:tc>
        <w:tc>
          <w:tcPr>
            <w:tcW w:w="982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INCORPORATION OF CERTAIN DOCUMENTS BY REFERENCE</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5540" w:type="dxa"/>
            <w:vAlign w:val="bottom"/>
            <w:tcBorders>
              <w:top w:val="single" w:sz="8" w:color="CCEEFF"/>
            </w:tcBorders>
            <w:gridSpan w:val="4"/>
          </w:tcPr>
          <w:p>
            <w:pPr>
              <w:jc w:val="center"/>
              <w:ind w:right="4420"/>
              <w:spacing w:after="0"/>
              <w:rPr>
                <w:sz w:val="20"/>
                <w:szCs w:val="20"/>
                <w:color w:val="auto"/>
              </w:rPr>
            </w:pPr>
            <w:r>
              <w:rPr>
                <w:rFonts w:ascii="Arial" w:cs="Arial" w:eastAsia="Arial" w:hAnsi="Arial"/>
                <w:sz w:val="18"/>
                <w:szCs w:val="18"/>
                <w:b w:val="1"/>
                <w:bCs w:val="1"/>
                <w:color w:val="auto"/>
                <w:w w:val="85"/>
              </w:rPr>
              <w:t>Prospectus</w:t>
            </w:r>
          </w:p>
        </w:tc>
        <w:tc>
          <w:tcPr>
            <w:tcW w:w="6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2100" w:type="dxa"/>
            <w:vAlign w:val="bottom"/>
            <w:tcBorders>
              <w:top w:val="single" w:sz="8" w:color="CCEEFF"/>
              <w:bottom w:val="single" w:sz="8" w:color="0000EE"/>
            </w:tcBorders>
            <w:gridSpan w:val="7"/>
            <w:shd w:val="clear" w:color="auto" w:fill="CCEEFF"/>
          </w:tcPr>
          <w:p>
            <w:pPr>
              <w:spacing w:after="0" w:line="136" w:lineRule="exact"/>
              <w:rPr>
                <w:rFonts w:ascii="Arial" w:cs="Arial" w:eastAsia="Arial" w:hAnsi="Arial"/>
                <w:sz w:val="15"/>
                <w:szCs w:val="15"/>
                <w:color w:val="0000EE"/>
              </w:rPr>
            </w:pPr>
            <w:hyperlink w:anchor="page36">
              <w:r>
                <w:rPr>
                  <w:rFonts w:ascii="Arial" w:cs="Arial" w:eastAsia="Arial" w:hAnsi="Arial"/>
                  <w:sz w:val="15"/>
                  <w:szCs w:val="15"/>
                  <w:color w:val="0000EE"/>
                </w:rPr>
                <w:t>PROSPECTUS SUMMARY</w:t>
              </w:r>
            </w:hyperlink>
          </w:p>
        </w:tc>
        <w:tc>
          <w:tcPr>
            <w:tcW w:w="8500" w:type="dxa"/>
            <w:vAlign w:val="bottom"/>
            <w:tcBorders>
              <w:top w:val="single" w:sz="8" w:color="CCEEFF"/>
              <w:bottom w:val="single" w:sz="8" w:color="CCEEFF"/>
            </w:tcBorders>
            <w:gridSpan w:val="15"/>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FORWARD-LOOKING STATEMENTS</w:t>
              </w:r>
            </w:hyperlink>
          </w:p>
        </w:tc>
        <w:tc>
          <w:tcPr>
            <w:tcW w:w="76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DILUTION</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DIVIDEND POLICY</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DESCRIPTION OF CAPITAL STOCK</w:t>
              </w:r>
            </w:hyperlink>
          </w:p>
        </w:tc>
        <w:tc>
          <w:tcPr>
            <w:tcW w:w="772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THE DEPOSITARY SHARES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THE WARRANTS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8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THE UNITS</w:t>
              </w:r>
            </w:hyperlink>
          </w:p>
        </w:tc>
        <w:tc>
          <w:tcPr>
            <w:tcW w:w="772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THE DEBT SECURITIES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2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718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6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91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INCORPORATION OF CERTAIN DOCUMENTS BY REFERENCE</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6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55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This prospectus supplement is a supplement to the accompanying prospectus. This prospectus supplement and the accompanying prospectus are part of a registration statement that we filed with the Securities and Exchange Commission, or SEC, utilizing a shelf registration process. This prospectus supplement provides you with specific information about this offering, including the price and terms of the Notes being offered and the risk of investing in our securities. The accompanying prospectus provides more general information, some of which may not apply to this offering. This prospectus supplement also adds to, updates and changes information contained in the accompanying prospectus. To the extent the information in this prospectus supplement is different from that in the accompanying prospectus, you should rely on the information in this prospectus supplement. You should read this prospectus supplement, the accompanying prospectus, and any related free writing prospectus together with the additional information described in the sections entitled “Incorporation of Certain Documents by Reference” and “Where You Can Find More Information” of this prospectus supplement.</w:t>
      </w:r>
    </w:p>
    <w:p>
      <w:pPr>
        <w:spacing w:after="0" w:line="161"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b w:val="1"/>
          <w:bCs w:val="1"/>
          <w:color w:val="auto"/>
        </w:rPr>
        <w:t>We have not, and the underwriters have not, authorized any person to provide you with any information other than that contained in or incorporated by reference into this prospectus supplement and the accompanying prospectus or that is contained in any free writing prospectus issued by or on behalf of us or to which we have referred you. Neither we nor the underwriters take any responsibility for, and can provide no assurances as to the reliability of, any other information that others may give to you. This prospectus supplement, the accompanying prospectus and any applicable free writing prospectus is not an offer to sell, nor is it seeking an offer to buy, these securities in any state where the offer or sale is not permitted. The information in this prospectus supplement and the accompanying prospectus is complete and accurate as of the date on the front cover of this prospectus supplement, but the information and our business, cash flows, condition (financial and otherwise), liquidity, prospects and results of operations may have changed since that date.</w:t>
      </w:r>
    </w:p>
    <w:p>
      <w:pPr>
        <w:spacing w:after="0" w:line="176"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investing in our securities.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This prospectus supplement and the accompanying prospectus contain and incorporate by reference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Generally, the words “anticipate,” “believe,” “continue,” “expect,” “intend,” “estimate,” “project,” “plan” and similar expressions identify forward-looking statements. In particular, statements about our expectations, beliefs, plans, objectives, assumptions or future events or performance contain forward-looking statements.</w:t>
      </w:r>
    </w:p>
    <w:p>
      <w:pPr>
        <w:spacing w:after="0" w:line="192"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our most recent Annual Report on Form 10-K, our recent Quarterly Report on Form 10-Q and other documents that we file from time to time with the SEC that are incorporated by reference in this prospectus supplement and the accompanying prospectus.</w:t>
      </w:r>
    </w:p>
    <w:p>
      <w:pPr>
        <w:spacing w:after="0" w:line="184"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This list of risks and uncertainties, however, is only a summary of some of the most important factors and is not intended to be exhaustive. Given these risks and uncertainties, you are cautioned not to place undue reliance on such forward-looking statements. These risks and uncertainties may cause our actual future results to be materially different than those expressed in our forward-looking statements. These forward-looking statements are made only as of the date of this prospectus supplement. Except as otherwise required by applicable law, we do not undertake and expressly disclaim any obligation to update any such statements or to publicly announce the results of any revisions to any such statements to reflect future events or developments. All subsequent written and oral forward-looking statements attributable to us, or to persons acting on our behalf, are expressly qualified in their entirety by these cautionary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299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7875" cy="7299325"/>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i w:val="1"/>
          <w:iCs w:val="1"/>
          <w:color w:val="auto"/>
        </w:rPr>
        <w:t>This summary highlights selected information appearing elsewhere in or incorporated by reference in this prospectus supplement and the accompanying prospectus. This summary is not complete and does not contain all of the information that you should consider when making your investment decision. You should carefully read the entire prospectus supplement, the accompanying prospectus and the information incorporated herein by reference, including the section entitled “Risk Factors” beginning on page S-5 of this prospectus supplement and the “Risk Factors” section in the accompanying prospectus, in our Annual Report on Form 10-K for the year ended December 31, 2020, in our Quarterly Report on Form 10-Q for the quarter ended March 31, 2021 and in our other reports that we file with the SEC.</w:t>
      </w:r>
    </w:p>
    <w:p>
      <w:pPr>
        <w:spacing w:after="0" w:line="17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i w:val="1"/>
          <w:iCs w:val="1"/>
          <w:color w:val="auto"/>
        </w:rPr>
        <w:t>In this prospectus supplement, unless the context requires otherwise, references to “Harrow,” the “Company,” “we,” “us” and “our” refer to Harrow Health, Inc., together with its consolidated subsidiaries.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specialize in the development, production and sale of innovative medications that offer unique competitive advantages and serve unmet needs in the marketplace through our subsidiaries and deconsolidated companies. We own and operate one of the nation’s leading ophthalmic pharmaceutical businesses, ImprimisRx. In addition to wholly owning ImprimisRx, we also have non-controlling equity positions in Eton Pharmaceuticals, Inc., or Eton, Surface Ophthalmics, Inc., or Surface, and Melt Pharmaceuticals, Inc., or Melt, all companies that began as our subsidiaries. We also recently launched a new business called Visionology and are exploring opportunities to launch other subsidiaries. We own royalty rights in various drug candidates being developed by Surface and Melt.</w:t>
      </w:r>
    </w:p>
    <w:p>
      <w:pPr>
        <w:spacing w:after="0" w:line="192"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ImprimisRx is our ophthalmology focused pharmaceutical compounding business. We offer to over 10,000 physician customers and their patients medically necessary prescription drugs to meet their needs that are otherwise unmet by commercially available drugs. We make our formulations available at prices that are, in most cases, lower than non-customized commercial drugs. Our current ophthalmic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preservative-free formulations. Depending on the formulation, the regulations of a specific state, and ultimately the needs of the patient, ImprimisRx products may be dispensed as patient-specific medications from our 503A pharmacy, or for in-office use, made according to federal current good manufacturing practices (or cGMPs) or other U.S. Food and Drug Administration, or FDA, guidance documents, in our FDA-registered New Jersey outsourcing facility, or NJOF.</w:t>
      </w:r>
    </w:p>
    <w:p>
      <w:pPr>
        <w:spacing w:after="0" w:line="16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Federal Food, Drug &amp; Cosmetic Act, or the FDCA. The other New Jersey facility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have ownership interests in Eton, Surface and Melt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new drug application, or NDA, where at least some of the information required for approval comes from studies not conducted by or for the applicant and for which the applicant has not obtained a right of reference. We expect any new subsidiaries to be focused on eye care.</w:t>
      </w:r>
    </w:p>
    <w:p>
      <w:pPr>
        <w:spacing w:after="0" w:line="188"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Prior to 2020, we incurred significant operating losses and negative cash flows from operations since July 24, 1998 (inception). As of March 31, 2021, we had an accumulated deficit of approximately $77.2 million. Our current projections indicate that we will have operating income and/or net income during 2021; however, these projections may not be correct and our plans could change. Also, we could incur increasing operating losses in the foreseeable future for our commercialization activities, research and development and our pharmaceutical compounding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compounding operations, our ability to generate the revenues necessary to achieve profitability will depend on many factors, including those discussed in “Risk Factors” section of this prospectus supplement.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2361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2361565"/>
                    </a:xfrm>
                    <a:prstGeom prst="rect">
                      <a:avLst/>
                    </a:prstGeom>
                    <a:noFill/>
                  </pic:spPr>
                </pic:pic>
              </a:graphicData>
            </a:graphic>
          </wp:anchor>
        </w:drawing>
        <w:t>Company Information</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6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7"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 xml:space="preserve">During the summer of 2019, we relocated our executive office previously based in San Diego, California to its current location at 102 Woodmont Blvd., Suite 610, Nashville, Tennessee and our telephone number at such office is (615) 733-4730. Our website address is </w:t>
      </w:r>
      <w:r>
        <w:rPr>
          <w:rFonts w:ascii="Arial" w:cs="Arial" w:eastAsia="Arial" w:hAnsi="Arial"/>
          <w:sz w:val="17"/>
          <w:szCs w:val="17"/>
          <w:i w:val="1"/>
          <w:iCs w:val="1"/>
          <w:color w:val="auto"/>
        </w:rPr>
        <w:t>harrowinc.com</w:t>
      </w:r>
      <w:r>
        <w:rPr>
          <w:rFonts w:ascii="Arial" w:cs="Arial" w:eastAsia="Arial" w:hAnsi="Arial"/>
          <w:sz w:val="17"/>
          <w:szCs w:val="17"/>
          <w:color w:val="auto"/>
        </w:rPr>
        <w:t>. Information contained on our website is not deemed part of this prospectus supplement or the accompanying prospectus and is not incorporated in this prospectus supplement, the accompanying prospectus or any other document that we file with the SEC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8627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8627745"/>
                    </a:xfrm>
                    <a:prstGeom prst="rect">
                      <a:avLst/>
                    </a:prstGeom>
                    <a:noFill/>
                  </pic:spPr>
                </pic:pic>
              </a:graphicData>
            </a:graphic>
          </wp:anchor>
        </w:drawing>
        <w:t>The Offering</w:t>
      </w:r>
    </w:p>
    <w:p>
      <w:pPr>
        <w:spacing w:after="0" w:line="229" w:lineRule="exact"/>
        <w:rPr>
          <w:sz w:val="20"/>
          <w:szCs w:val="20"/>
          <w:color w:val="auto"/>
        </w:rPr>
      </w:pPr>
    </w:p>
    <w:p>
      <w:pPr>
        <w:ind w:left="160" w:right="160" w:firstLine="441"/>
        <w:spacing w:after="0" w:line="277" w:lineRule="auto"/>
        <w:rPr>
          <w:sz w:val="20"/>
          <w:szCs w:val="20"/>
          <w:color w:val="auto"/>
        </w:rPr>
      </w:pPr>
      <w:r>
        <w:rPr>
          <w:rFonts w:ascii="Arial" w:cs="Arial" w:eastAsia="Arial" w:hAnsi="Arial"/>
          <w:sz w:val="18"/>
          <w:szCs w:val="18"/>
          <w:i w:val="1"/>
          <w:iCs w:val="1"/>
          <w:color w:val="auto"/>
        </w:rPr>
        <w:t>The following is a brief summary of certain material terms of the Notes. For more complete information about the Notes, see “Description of the Notes” below.</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4520" w:type="dxa"/>
            <w:vAlign w:val="bottom"/>
          </w:tcPr>
          <w:p>
            <w:pPr>
              <w:ind w:left="460"/>
              <w:spacing w:after="0"/>
              <w:rPr>
                <w:sz w:val="20"/>
                <w:szCs w:val="20"/>
                <w:color w:val="auto"/>
              </w:rPr>
            </w:pPr>
            <w:r>
              <w:rPr>
                <w:rFonts w:ascii="Arial" w:cs="Arial" w:eastAsia="Arial" w:hAnsi="Arial"/>
                <w:sz w:val="18"/>
                <w:szCs w:val="18"/>
                <w:color w:val="auto"/>
              </w:rPr>
              <w:t>Harrow Health, Inc.</w:t>
            </w:r>
          </w:p>
        </w:tc>
        <w:tc>
          <w:tcPr>
            <w:tcW w:w="5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b w:val="1"/>
                <w:bCs w:val="1"/>
                <w:color w:val="auto"/>
              </w:rPr>
              <w:t>Title of the Securities:</w:t>
            </w:r>
          </w:p>
        </w:tc>
        <w:tc>
          <w:tcPr>
            <w:tcW w:w="4520" w:type="dxa"/>
            <w:vAlign w:val="bottom"/>
          </w:tcPr>
          <w:p>
            <w:pPr>
              <w:ind w:left="460"/>
              <w:spacing w:after="0"/>
              <w:rPr>
                <w:sz w:val="20"/>
                <w:szCs w:val="20"/>
                <w:color w:val="auto"/>
              </w:rPr>
            </w:pPr>
            <w:r>
              <w:rPr>
                <w:rFonts w:ascii="Arial" w:cs="Arial" w:eastAsia="Arial" w:hAnsi="Arial"/>
                <w:sz w:val="18"/>
                <w:szCs w:val="18"/>
                <w:color w:val="auto"/>
              </w:rPr>
              <w:t>8.625% Senior Notes due 2026</w:t>
            </w: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0"/>
        </w:trPr>
        <w:tc>
          <w:tcPr>
            <w:tcW w:w="3360" w:type="dxa"/>
            <w:vAlign w:val="bottom"/>
          </w:tcPr>
          <w:p>
            <w:pPr>
              <w:spacing w:after="0"/>
              <w:rPr>
                <w:sz w:val="24"/>
                <w:szCs w:val="24"/>
                <w:color w:val="auto"/>
              </w:rPr>
            </w:pP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4"/>
              </w:rPr>
              <w:t>The new Notes are being offered as additional notes under the indenture pursuant to which we</w:t>
            </w:r>
          </w:p>
        </w:tc>
      </w:tr>
      <w:tr>
        <w:trPr>
          <w:trHeight w:val="216"/>
        </w:trPr>
        <w:tc>
          <w:tcPr>
            <w:tcW w:w="3360" w:type="dxa"/>
            <w:vAlign w:val="bottom"/>
          </w:tcPr>
          <w:p>
            <w:pPr>
              <w:spacing w:after="0"/>
              <w:rPr>
                <w:sz w:val="18"/>
                <w:szCs w:val="18"/>
                <w:color w:val="auto"/>
              </w:rPr>
            </w:pP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2"/>
              </w:rPr>
              <w:t>previously issued $55,000,000 in aggregate principal amount of 8.625% Senior Notes due 2026.</w:t>
            </w:r>
          </w:p>
        </w:tc>
      </w:tr>
      <w:tr>
        <w:trPr>
          <w:trHeight w:val="216"/>
        </w:trPr>
        <w:tc>
          <w:tcPr>
            <w:tcW w:w="3360" w:type="dxa"/>
            <w:vAlign w:val="bottom"/>
          </w:tcPr>
          <w:p>
            <w:pPr>
              <w:spacing w:after="0"/>
              <w:rPr>
                <w:sz w:val="18"/>
                <w:szCs w:val="18"/>
                <w:color w:val="auto"/>
              </w:rPr>
            </w:pP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1"/>
              </w:rPr>
              <w:t>Unless the context otherwise requires, the term “Notes” refers to both the new Notes, the existing</w:t>
            </w:r>
          </w:p>
        </w:tc>
      </w:tr>
      <w:tr>
        <w:trPr>
          <w:trHeight w:val="216"/>
        </w:trPr>
        <w:tc>
          <w:tcPr>
            <w:tcW w:w="3360" w:type="dxa"/>
            <w:vAlign w:val="bottom"/>
          </w:tcPr>
          <w:p>
            <w:pPr>
              <w:spacing w:after="0"/>
              <w:rPr>
                <w:sz w:val="18"/>
                <w:szCs w:val="18"/>
                <w:color w:val="auto"/>
              </w:rPr>
            </w:pP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6"/>
              </w:rPr>
              <w:t>notes and any other additional notes we may issue in the future. The new Notes constitute a</w:t>
            </w:r>
          </w:p>
        </w:tc>
      </w:tr>
      <w:tr>
        <w:trPr>
          <w:trHeight w:val="216"/>
        </w:trPr>
        <w:tc>
          <w:tcPr>
            <w:tcW w:w="3360" w:type="dxa"/>
            <w:vAlign w:val="bottom"/>
          </w:tcPr>
          <w:p>
            <w:pPr>
              <w:spacing w:after="0"/>
              <w:rPr>
                <w:sz w:val="18"/>
                <w:szCs w:val="18"/>
                <w:color w:val="auto"/>
              </w:rPr>
            </w:pP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4"/>
              </w:rPr>
              <w:t>further issuance of, and will be fungible with, the existing notes (and will bear the same CUSIP</w:t>
            </w:r>
          </w:p>
        </w:tc>
      </w:tr>
      <w:tr>
        <w:trPr>
          <w:trHeight w:val="216"/>
        </w:trPr>
        <w:tc>
          <w:tcPr>
            <w:tcW w:w="3360" w:type="dxa"/>
            <w:vAlign w:val="bottom"/>
          </w:tcPr>
          <w:p>
            <w:pPr>
              <w:spacing w:after="0"/>
              <w:rPr>
                <w:sz w:val="18"/>
                <w:szCs w:val="18"/>
                <w:color w:val="auto"/>
              </w:rPr>
            </w:pP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1"/>
              </w:rPr>
              <w:t>number as the existing notes) and form a single class of debt securities with the existing notes for</w:t>
            </w:r>
          </w:p>
        </w:tc>
      </w:tr>
      <w:tr>
        <w:trPr>
          <w:trHeight w:val="216"/>
        </w:trPr>
        <w:tc>
          <w:tcPr>
            <w:tcW w:w="3360" w:type="dxa"/>
            <w:vAlign w:val="bottom"/>
          </w:tcPr>
          <w:p>
            <w:pPr>
              <w:spacing w:after="0"/>
              <w:rPr>
                <w:sz w:val="18"/>
                <w:szCs w:val="18"/>
                <w:color w:val="auto"/>
              </w:rPr>
            </w:pP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8"/>
              </w:rPr>
              <w:t>all purposes under the indenture governing the notes. Immediately after giving effect to the</w:t>
            </w:r>
          </w:p>
        </w:tc>
      </w:tr>
      <w:tr>
        <w:trPr>
          <w:trHeight w:val="216"/>
        </w:trPr>
        <w:tc>
          <w:tcPr>
            <w:tcW w:w="3360" w:type="dxa"/>
            <w:vAlign w:val="bottom"/>
          </w:tcPr>
          <w:p>
            <w:pPr>
              <w:spacing w:after="0"/>
              <w:rPr>
                <w:sz w:val="18"/>
                <w:szCs w:val="18"/>
                <w:color w:val="auto"/>
              </w:rPr>
            </w:pPr>
          </w:p>
        </w:tc>
        <w:tc>
          <w:tcPr>
            <w:tcW w:w="5020" w:type="dxa"/>
            <w:vAlign w:val="bottom"/>
            <w:gridSpan w:val="2"/>
          </w:tcPr>
          <w:p>
            <w:pPr>
              <w:ind w:left="460"/>
              <w:spacing w:after="0"/>
              <w:rPr>
                <w:sz w:val="20"/>
                <w:szCs w:val="20"/>
                <w:color w:val="auto"/>
              </w:rPr>
            </w:pPr>
            <w:r>
              <w:rPr>
                <w:rFonts w:ascii="Arial" w:cs="Arial" w:eastAsia="Arial" w:hAnsi="Arial"/>
                <w:sz w:val="18"/>
                <w:szCs w:val="18"/>
                <w:color w:val="auto"/>
                <w:w w:val="93"/>
              </w:rPr>
              <w:t>issuance of the new Notes by this prospectus, we will have $</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w w:val="97"/>
              </w:rPr>
              <w:t>in aggregate principal amount of</w:t>
            </w:r>
          </w:p>
        </w:tc>
      </w:tr>
      <w:tr>
        <w:trPr>
          <w:trHeight w:val="216"/>
        </w:trPr>
        <w:tc>
          <w:tcPr>
            <w:tcW w:w="3360" w:type="dxa"/>
            <w:vAlign w:val="bottom"/>
          </w:tcPr>
          <w:p>
            <w:pPr>
              <w:spacing w:after="0"/>
              <w:rPr>
                <w:sz w:val="18"/>
                <w:szCs w:val="18"/>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w w:val="95"/>
              </w:rPr>
              <w:t>our 8.625% Senior Notes due 2026 outstanding (or $</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w w:val="99"/>
              </w:rPr>
              <w:t>if the underwriters’ option to purchase</w:t>
            </w:r>
          </w:p>
        </w:tc>
      </w:tr>
      <w:tr>
        <w:trPr>
          <w:trHeight w:val="230"/>
        </w:trPr>
        <w:tc>
          <w:tcPr>
            <w:tcW w:w="3360" w:type="dxa"/>
            <w:vAlign w:val="bottom"/>
          </w:tcPr>
          <w:p>
            <w:pPr>
              <w:spacing w:after="0"/>
              <w:rPr>
                <w:sz w:val="20"/>
                <w:szCs w:val="20"/>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rPr>
              <w:t>up to $ additional Notes is exercised in full).</w:t>
            </w:r>
          </w:p>
        </w:tc>
        <w:tc>
          <w:tcPr>
            <w:tcW w:w="5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b w:val="1"/>
                <w:bCs w:val="1"/>
                <w:color w:val="auto"/>
              </w:rPr>
              <w:t>Aggregate Principal Amount Offered:</w:t>
            </w:r>
          </w:p>
        </w:tc>
        <w:tc>
          <w:tcPr>
            <w:tcW w:w="4520" w:type="dxa"/>
            <w:vAlign w:val="bottom"/>
          </w:tcPr>
          <w:p>
            <w:pPr>
              <w:jc w:val="right"/>
              <w:ind w:right="3070"/>
              <w:spacing w:after="0"/>
              <w:rPr>
                <w:sz w:val="20"/>
                <w:szCs w:val="20"/>
                <w:color w:val="auto"/>
              </w:rPr>
            </w:pPr>
            <w:r>
              <w:rPr>
                <w:rFonts w:ascii="Arial" w:cs="Arial" w:eastAsia="Arial" w:hAnsi="Arial"/>
                <w:sz w:val="18"/>
                <w:szCs w:val="18"/>
                <w:color w:val="auto"/>
              </w:rPr>
              <w:t>$17,500,000</w:t>
            </w: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18"/>
        </w:trPr>
        <w:tc>
          <w:tcPr>
            <w:tcW w:w="3360" w:type="dxa"/>
            <w:vAlign w:val="bottom"/>
          </w:tcPr>
          <w:p>
            <w:pPr>
              <w:spacing w:after="0"/>
              <w:rPr>
                <w:sz w:val="20"/>
                <w:szCs w:val="20"/>
                <w:color w:val="auto"/>
              </w:rPr>
            </w:pPr>
            <w:r>
              <w:rPr>
                <w:rFonts w:ascii="Arial" w:cs="Arial" w:eastAsia="Arial" w:hAnsi="Arial"/>
                <w:sz w:val="18"/>
                <w:szCs w:val="18"/>
                <w:b w:val="1"/>
                <w:bCs w:val="1"/>
                <w:color w:val="auto"/>
              </w:rPr>
              <w:t>Option to Purchase Additional Notes:</w:t>
            </w:r>
          </w:p>
        </w:tc>
        <w:tc>
          <w:tcPr>
            <w:tcW w:w="6800" w:type="dxa"/>
            <w:vAlign w:val="bottom"/>
            <w:gridSpan w:val="3"/>
          </w:tcPr>
          <w:p>
            <w:pPr>
              <w:ind w:left="460"/>
              <w:spacing w:after="0"/>
              <w:rPr>
                <w:sz w:val="20"/>
                <w:szCs w:val="20"/>
                <w:color w:val="auto"/>
              </w:rPr>
            </w:pPr>
            <w:r>
              <w:rPr>
                <w:rFonts w:ascii="Arial" w:cs="Arial" w:eastAsia="Arial" w:hAnsi="Arial"/>
                <w:sz w:val="18"/>
                <w:szCs w:val="18"/>
                <w:color w:val="auto"/>
              </w:rPr>
              <w:t>The underwriters may also purchase from the Company up to an additional $</w:t>
            </w:r>
          </w:p>
        </w:tc>
        <w:tc>
          <w:tcPr>
            <w:tcW w:w="760" w:type="dxa"/>
            <w:vAlign w:val="bottom"/>
          </w:tcPr>
          <w:p>
            <w:pPr>
              <w:jc w:val="right"/>
              <w:spacing w:after="0"/>
              <w:rPr>
                <w:sz w:val="20"/>
                <w:szCs w:val="20"/>
                <w:color w:val="auto"/>
              </w:rPr>
            </w:pPr>
            <w:r>
              <w:rPr>
                <w:rFonts w:ascii="Arial" w:cs="Arial" w:eastAsia="Arial" w:hAnsi="Arial"/>
                <w:sz w:val="18"/>
                <w:szCs w:val="18"/>
                <w:color w:val="auto"/>
                <w:w w:val="91"/>
              </w:rPr>
              <w:t>aggregate</w:t>
            </w:r>
          </w:p>
        </w:tc>
      </w:tr>
      <w:tr>
        <w:trPr>
          <w:trHeight w:val="230"/>
        </w:trPr>
        <w:tc>
          <w:tcPr>
            <w:tcW w:w="3360" w:type="dxa"/>
            <w:vAlign w:val="bottom"/>
          </w:tcPr>
          <w:p>
            <w:pPr>
              <w:spacing w:after="0"/>
              <w:rPr>
                <w:sz w:val="20"/>
                <w:szCs w:val="20"/>
                <w:color w:val="auto"/>
              </w:rPr>
            </w:pPr>
          </w:p>
        </w:tc>
        <w:tc>
          <w:tcPr>
            <w:tcW w:w="6800" w:type="dxa"/>
            <w:vAlign w:val="bottom"/>
            <w:gridSpan w:val="3"/>
          </w:tcPr>
          <w:p>
            <w:pPr>
              <w:ind w:left="460"/>
              <w:spacing w:after="0"/>
              <w:rPr>
                <w:sz w:val="20"/>
                <w:szCs w:val="20"/>
                <w:color w:val="auto"/>
              </w:rPr>
            </w:pPr>
            <w:r>
              <w:rPr>
                <w:rFonts w:ascii="Arial" w:cs="Arial" w:eastAsia="Arial" w:hAnsi="Arial"/>
                <w:sz w:val="18"/>
                <w:szCs w:val="18"/>
                <w:color w:val="auto"/>
                <w:w w:val="91"/>
              </w:rPr>
              <w:t>principal amount of the Notes, within 30 days of the date of the prospectus supplement.</w:t>
            </w:r>
          </w:p>
        </w:tc>
        <w:tc>
          <w:tcPr>
            <w:tcW w:w="76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b w:val="1"/>
                <w:bCs w:val="1"/>
                <w:color w:val="auto"/>
              </w:rPr>
              <w:t>Initial Public Offering Price:</w:t>
            </w:r>
          </w:p>
        </w:tc>
        <w:tc>
          <w:tcPr>
            <w:tcW w:w="4520" w:type="dxa"/>
            <w:vAlign w:val="bottom"/>
          </w:tcPr>
          <w:p>
            <w:pPr>
              <w:ind w:lef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b w:val="1"/>
                <w:bCs w:val="1"/>
                <w:color w:val="auto"/>
              </w:rPr>
              <w:t>Issue Date:</w:t>
            </w:r>
          </w:p>
        </w:tc>
        <w:tc>
          <w:tcPr>
            <w:tcW w:w="4520" w:type="dxa"/>
            <w:vAlign w:val="bottom"/>
          </w:tcPr>
          <w:p>
            <w:pPr>
              <w:jc w:val="right"/>
              <w:ind w:right="3070"/>
              <w:spacing w:after="0"/>
              <w:rPr>
                <w:sz w:val="20"/>
                <w:szCs w:val="20"/>
                <w:color w:val="auto"/>
              </w:rPr>
            </w:pPr>
            <w:r>
              <w:rPr>
                <w:rFonts w:ascii="Arial" w:cs="Arial" w:eastAsia="Arial" w:hAnsi="Arial"/>
                <w:sz w:val="18"/>
                <w:szCs w:val="18"/>
                <w:color w:val="auto"/>
              </w:rPr>
              <w:t>, 2021</w:t>
            </w: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4520" w:type="dxa"/>
            <w:vAlign w:val="bottom"/>
          </w:tcPr>
          <w:p>
            <w:pPr>
              <w:ind w:left="460"/>
              <w:spacing w:after="0"/>
              <w:rPr>
                <w:sz w:val="20"/>
                <w:szCs w:val="20"/>
                <w:color w:val="auto"/>
              </w:rPr>
            </w:pPr>
            <w:r>
              <w:rPr>
                <w:rFonts w:ascii="Arial" w:cs="Arial" w:eastAsia="Arial" w:hAnsi="Arial"/>
                <w:sz w:val="18"/>
                <w:szCs w:val="18"/>
                <w:color w:val="auto"/>
              </w:rPr>
              <w:t>April 30, 2026</w:t>
            </w: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18"/>
        </w:trPr>
        <w:tc>
          <w:tcPr>
            <w:tcW w:w="3360" w:type="dxa"/>
            <w:vAlign w:val="bottom"/>
          </w:tcPr>
          <w:p>
            <w:pPr>
              <w:spacing w:after="0"/>
              <w:rPr>
                <w:sz w:val="20"/>
                <w:szCs w:val="20"/>
                <w:color w:val="auto"/>
              </w:rPr>
            </w:pPr>
            <w:r>
              <w:rPr>
                <w:rFonts w:ascii="Arial" w:cs="Arial" w:eastAsia="Arial" w:hAnsi="Arial"/>
                <w:sz w:val="18"/>
                <w:szCs w:val="18"/>
                <w:b w:val="1"/>
                <w:bCs w:val="1"/>
                <w:color w:val="auto"/>
              </w:rPr>
              <w:t>Interest:</w:t>
            </w: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2"/>
              </w:rPr>
              <w:t>8.625% per year, payable quarterly in arrears on January 31, April 30, July 31 and October 31 of</w:t>
            </w:r>
          </w:p>
        </w:tc>
      </w:tr>
      <w:tr>
        <w:trPr>
          <w:trHeight w:val="216"/>
        </w:trPr>
        <w:tc>
          <w:tcPr>
            <w:tcW w:w="3360" w:type="dxa"/>
            <w:vAlign w:val="bottom"/>
          </w:tcPr>
          <w:p>
            <w:pPr>
              <w:spacing w:after="0"/>
              <w:rPr>
                <w:sz w:val="18"/>
                <w:szCs w:val="18"/>
                <w:color w:val="auto"/>
              </w:rPr>
            </w:pP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3"/>
              </w:rPr>
              <w:t>each year, commencing on July 31, 2021, and at maturity. If an interest payment date falls on a</w:t>
            </w:r>
          </w:p>
        </w:tc>
      </w:tr>
      <w:tr>
        <w:trPr>
          <w:trHeight w:val="216"/>
        </w:trPr>
        <w:tc>
          <w:tcPr>
            <w:tcW w:w="3360" w:type="dxa"/>
            <w:vAlign w:val="bottom"/>
          </w:tcPr>
          <w:p>
            <w:pPr>
              <w:spacing w:after="0"/>
              <w:rPr>
                <w:sz w:val="18"/>
                <w:szCs w:val="18"/>
                <w:color w:val="auto"/>
              </w:rPr>
            </w:pP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1"/>
              </w:rPr>
              <w:t>day other than a business day, the applicable interest payment will be made on the next business</w:t>
            </w:r>
          </w:p>
        </w:tc>
      </w:tr>
      <w:tr>
        <w:trPr>
          <w:trHeight w:val="230"/>
        </w:trPr>
        <w:tc>
          <w:tcPr>
            <w:tcW w:w="3360" w:type="dxa"/>
            <w:vAlign w:val="bottom"/>
          </w:tcPr>
          <w:p>
            <w:pPr>
              <w:spacing w:after="0"/>
              <w:rPr>
                <w:sz w:val="20"/>
                <w:szCs w:val="20"/>
                <w:color w:val="auto"/>
              </w:rPr>
            </w:pPr>
          </w:p>
        </w:tc>
        <w:tc>
          <w:tcPr>
            <w:tcW w:w="6800" w:type="dxa"/>
            <w:vAlign w:val="bottom"/>
            <w:gridSpan w:val="3"/>
          </w:tcPr>
          <w:p>
            <w:pPr>
              <w:ind w:left="460"/>
              <w:spacing w:after="0"/>
              <w:rPr>
                <w:sz w:val="20"/>
                <w:szCs w:val="20"/>
                <w:color w:val="auto"/>
              </w:rPr>
            </w:pPr>
            <w:r>
              <w:rPr>
                <w:rFonts w:ascii="Arial" w:cs="Arial" w:eastAsia="Arial" w:hAnsi="Arial"/>
                <w:sz w:val="18"/>
                <w:szCs w:val="18"/>
                <w:color w:val="auto"/>
              </w:rPr>
              <w:t>day and no additional interest will accrue as a result of such delayed payment.</w:t>
            </w:r>
          </w:p>
        </w:tc>
        <w:tc>
          <w:tcPr>
            <w:tcW w:w="76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4520" w:type="dxa"/>
            <w:vAlign w:val="bottom"/>
          </w:tcPr>
          <w:p>
            <w:pPr>
              <w:ind w:left="460"/>
              <w:spacing w:after="0"/>
              <w:rPr>
                <w:sz w:val="20"/>
                <w:szCs w:val="20"/>
                <w:color w:val="auto"/>
              </w:rPr>
            </w:pPr>
            <w:r>
              <w:rPr>
                <w:rFonts w:ascii="Arial" w:cs="Arial" w:eastAsia="Arial" w:hAnsi="Arial"/>
                <w:sz w:val="18"/>
                <w:szCs w:val="18"/>
                <w:color w:val="auto"/>
              </w:rPr>
              <w:t>None.</w:t>
            </w: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18"/>
        </w:trPr>
        <w:tc>
          <w:tcPr>
            <w:tcW w:w="3360" w:type="dxa"/>
            <w:vAlign w:val="bottom"/>
          </w:tcPr>
          <w:p>
            <w:pPr>
              <w:spacing w:after="0"/>
              <w:rPr>
                <w:sz w:val="20"/>
                <w:szCs w:val="20"/>
                <w:color w:val="auto"/>
              </w:rPr>
            </w:pPr>
            <w:r>
              <w:rPr>
                <w:rFonts w:ascii="Arial" w:cs="Arial" w:eastAsia="Arial" w:hAnsi="Arial"/>
                <w:sz w:val="18"/>
                <w:szCs w:val="18"/>
                <w:b w:val="1"/>
                <w:bCs w:val="1"/>
                <w:color w:val="auto"/>
              </w:rPr>
              <w:t>Ranking:</w:t>
            </w: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5"/>
              </w:rPr>
              <w:t>The Notes will be senior unsecured obligations of the Company, and will rank equal in right of</w:t>
            </w:r>
          </w:p>
        </w:tc>
      </w:tr>
      <w:tr>
        <w:trPr>
          <w:trHeight w:val="216"/>
        </w:trPr>
        <w:tc>
          <w:tcPr>
            <w:tcW w:w="3360" w:type="dxa"/>
            <w:vAlign w:val="bottom"/>
          </w:tcPr>
          <w:p>
            <w:pPr>
              <w:spacing w:after="0"/>
              <w:rPr>
                <w:sz w:val="18"/>
                <w:szCs w:val="18"/>
                <w:color w:val="auto"/>
              </w:rPr>
            </w:pP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6"/>
              </w:rPr>
              <w:t>payment  with  all  of  its  other  existing  and  future  senior  unsecured  and  unsubordinated</w:t>
            </w:r>
          </w:p>
        </w:tc>
      </w:tr>
      <w:tr>
        <w:trPr>
          <w:trHeight w:val="216"/>
        </w:trPr>
        <w:tc>
          <w:tcPr>
            <w:tcW w:w="3360" w:type="dxa"/>
            <w:vAlign w:val="bottom"/>
          </w:tcPr>
          <w:p>
            <w:pPr>
              <w:spacing w:after="0"/>
              <w:rPr>
                <w:sz w:val="18"/>
                <w:szCs w:val="18"/>
                <w:color w:val="auto"/>
              </w:rPr>
            </w:pP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2"/>
              </w:rPr>
              <w:t>indebtedness, including the existing notes. The Notes will be effectively subordinated to all of our</w:t>
            </w:r>
          </w:p>
        </w:tc>
      </w:tr>
      <w:tr>
        <w:trPr>
          <w:trHeight w:val="216"/>
        </w:trPr>
        <w:tc>
          <w:tcPr>
            <w:tcW w:w="3360" w:type="dxa"/>
            <w:vAlign w:val="bottom"/>
          </w:tcPr>
          <w:p>
            <w:pPr>
              <w:spacing w:after="0"/>
              <w:rPr>
                <w:sz w:val="18"/>
                <w:szCs w:val="18"/>
                <w:color w:val="auto"/>
              </w:rPr>
            </w:pP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3"/>
              </w:rPr>
              <w:t>existing and future secured indebtedness to the extent of the value of the assets securing such</w:t>
            </w:r>
          </w:p>
        </w:tc>
      </w:tr>
      <w:tr>
        <w:trPr>
          <w:trHeight w:val="216"/>
        </w:trPr>
        <w:tc>
          <w:tcPr>
            <w:tcW w:w="3360" w:type="dxa"/>
            <w:vAlign w:val="bottom"/>
          </w:tcPr>
          <w:p>
            <w:pPr>
              <w:spacing w:after="0"/>
              <w:rPr>
                <w:sz w:val="18"/>
                <w:szCs w:val="18"/>
                <w:color w:val="auto"/>
              </w:rPr>
            </w:pP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2"/>
              </w:rPr>
              <w:t>indebtedness. The Notes will be structurally subordinated to all existing and future indebtedness</w:t>
            </w:r>
          </w:p>
        </w:tc>
      </w:tr>
      <w:tr>
        <w:trPr>
          <w:trHeight w:val="230"/>
        </w:trPr>
        <w:tc>
          <w:tcPr>
            <w:tcW w:w="3360" w:type="dxa"/>
            <w:vAlign w:val="bottom"/>
          </w:tcPr>
          <w:p>
            <w:pPr>
              <w:spacing w:after="0"/>
              <w:rPr>
                <w:sz w:val="20"/>
                <w:szCs w:val="20"/>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rPr>
              <w:t>(including trade payables) of our subsidiaries.</w:t>
            </w:r>
          </w:p>
        </w:tc>
        <w:tc>
          <w:tcPr>
            <w:tcW w:w="5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8"/>
        </w:trPr>
        <w:tc>
          <w:tcPr>
            <w:tcW w:w="3360" w:type="dxa"/>
            <w:vAlign w:val="bottom"/>
          </w:tcPr>
          <w:p>
            <w:pPr>
              <w:spacing w:after="0"/>
              <w:rPr>
                <w:sz w:val="24"/>
                <w:szCs w:val="24"/>
                <w:color w:val="auto"/>
              </w:rPr>
            </w:pP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6"/>
              </w:rPr>
              <w:t>The indenture governing the Notes does not limit the amount of indebtedness that we or our</w:t>
            </w:r>
          </w:p>
        </w:tc>
      </w:tr>
      <w:tr>
        <w:trPr>
          <w:trHeight w:val="230"/>
        </w:trPr>
        <w:tc>
          <w:tcPr>
            <w:tcW w:w="3360" w:type="dxa"/>
            <w:vAlign w:val="bottom"/>
          </w:tcPr>
          <w:p>
            <w:pPr>
              <w:spacing w:after="0"/>
              <w:rPr>
                <w:sz w:val="20"/>
                <w:szCs w:val="20"/>
                <w:color w:val="auto"/>
              </w:rPr>
            </w:pPr>
          </w:p>
        </w:tc>
        <w:tc>
          <w:tcPr>
            <w:tcW w:w="6800" w:type="dxa"/>
            <w:vAlign w:val="bottom"/>
            <w:gridSpan w:val="3"/>
          </w:tcPr>
          <w:p>
            <w:pPr>
              <w:ind w:left="460"/>
              <w:spacing w:after="0"/>
              <w:rPr>
                <w:sz w:val="20"/>
                <w:szCs w:val="20"/>
                <w:color w:val="auto"/>
              </w:rPr>
            </w:pPr>
            <w:r>
              <w:rPr>
                <w:rFonts w:ascii="Arial" w:cs="Arial" w:eastAsia="Arial" w:hAnsi="Arial"/>
                <w:sz w:val="18"/>
                <w:szCs w:val="18"/>
                <w:color w:val="auto"/>
                <w:w w:val="89"/>
              </w:rPr>
              <w:t>subsidiaries may incur or whether any such indebtedness can be secured by our assets.</w:t>
            </w:r>
          </w:p>
        </w:tc>
        <w:tc>
          <w:tcPr>
            <w:tcW w:w="760" w:type="dxa"/>
            <w:vAlign w:val="bottom"/>
          </w:tcPr>
          <w:p>
            <w:pPr>
              <w:spacing w:after="0"/>
              <w:rPr>
                <w:sz w:val="20"/>
                <w:szCs w:val="20"/>
                <w:color w:val="auto"/>
              </w:rPr>
            </w:pPr>
          </w:p>
        </w:tc>
      </w:tr>
      <w:tr>
        <w:trPr>
          <w:trHeight w:val="418"/>
        </w:trPr>
        <w:tc>
          <w:tcPr>
            <w:tcW w:w="3360" w:type="dxa"/>
            <w:vAlign w:val="bottom"/>
          </w:tcPr>
          <w:p>
            <w:pPr>
              <w:spacing w:after="0"/>
              <w:rPr>
                <w:sz w:val="20"/>
                <w:szCs w:val="20"/>
                <w:color w:val="auto"/>
              </w:rPr>
            </w:pPr>
            <w:r>
              <w:rPr>
                <w:rFonts w:ascii="Arial" w:cs="Arial" w:eastAsia="Arial" w:hAnsi="Arial"/>
                <w:sz w:val="18"/>
                <w:szCs w:val="18"/>
                <w:b w:val="1"/>
                <w:bCs w:val="1"/>
                <w:color w:val="auto"/>
              </w:rPr>
              <w:t>Optional Redemption:</w:t>
            </w: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w w:val="91"/>
              </w:rPr>
              <w:t>Prior to February 1, 2026 (the “Notes Par Call Date”), we may, at our option, redeem the Notes, in</w:t>
            </w:r>
          </w:p>
        </w:tc>
      </w:tr>
      <w:tr>
        <w:trPr>
          <w:trHeight w:val="230"/>
        </w:trPr>
        <w:tc>
          <w:tcPr>
            <w:tcW w:w="3360" w:type="dxa"/>
            <w:vAlign w:val="bottom"/>
          </w:tcPr>
          <w:p>
            <w:pPr>
              <w:spacing w:after="0"/>
              <w:rPr>
                <w:sz w:val="20"/>
                <w:szCs w:val="20"/>
                <w:color w:val="auto"/>
              </w:rPr>
            </w:pPr>
          </w:p>
        </w:tc>
        <w:tc>
          <w:tcPr>
            <w:tcW w:w="7560" w:type="dxa"/>
            <w:vAlign w:val="bottom"/>
            <w:gridSpan w:val="4"/>
          </w:tcPr>
          <w:p>
            <w:pPr>
              <w:ind w:left="460"/>
              <w:spacing w:after="0"/>
              <w:rPr>
                <w:sz w:val="20"/>
                <w:szCs w:val="20"/>
                <w:color w:val="auto"/>
              </w:rPr>
            </w:pPr>
            <w:r>
              <w:rPr>
                <w:rFonts w:ascii="Arial" w:cs="Arial" w:eastAsia="Arial" w:hAnsi="Arial"/>
                <w:sz w:val="18"/>
                <w:szCs w:val="18"/>
                <w:color w:val="auto"/>
              </w:rPr>
              <w:t>whole at any time or in part from time to time, at a redemption price equal to 100% of the</w:t>
            </w:r>
          </w:p>
        </w:tc>
      </w:tr>
    </w:tbl>
    <w:p>
      <w:pPr>
        <w:jc w:val="both"/>
        <w:ind w:left="3980" w:right="160"/>
        <w:spacing w:after="0" w:line="255" w:lineRule="auto"/>
        <w:rPr>
          <w:sz w:val="20"/>
          <w:szCs w:val="20"/>
          <w:color w:val="auto"/>
        </w:rPr>
      </w:pPr>
      <w:r>
        <w:rPr>
          <w:rFonts w:ascii="Arial" w:cs="Arial" w:eastAsia="Arial" w:hAnsi="Arial"/>
          <w:sz w:val="18"/>
          <w:szCs w:val="18"/>
          <w:color w:val="auto"/>
        </w:rPr>
        <w:t>principal amount of the Notes to be redeemed, plus a Make-Whole Amount (as defined in “Description of the Notes — Optional Redemption”), if any, plus accrued and unpaid interest to, but excluding, the date of redemption.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620" w:type="dxa"/>
            <w:vAlign w:val="bottom"/>
          </w:tcPr>
          <w:p>
            <w:pPr>
              <w:ind w:left="1360"/>
              <w:spacing w:after="0"/>
              <w:rPr>
                <w:sz w:val="20"/>
                <w:szCs w:val="20"/>
                <w:color w:val="auto"/>
              </w:rPr>
            </w:pPr>
            <w:r>
              <w:rPr>
                <w:rFonts w:ascii="Arial" w:cs="Arial" w:eastAsia="Arial" w:hAnsi="Arial"/>
                <w:sz w:val="18"/>
                <w:szCs w:val="18"/>
                <w:color w:val="auto"/>
              </w:rPr>
              <w:t>We may redeem the Notes for cash in whole or in part at any time at our option on or after</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620" w:type="dxa"/>
            <w:vAlign w:val="bottom"/>
          </w:tcPr>
          <w:p>
            <w:pPr>
              <w:ind w:left="1360"/>
              <w:spacing w:after="0"/>
              <w:rPr>
                <w:sz w:val="20"/>
                <w:szCs w:val="20"/>
                <w:color w:val="auto"/>
              </w:rPr>
            </w:pPr>
            <w:r>
              <w:rPr>
                <w:rFonts w:ascii="Arial" w:cs="Arial" w:eastAsia="Arial" w:hAnsi="Arial"/>
                <w:sz w:val="18"/>
                <w:szCs w:val="18"/>
                <w:color w:val="auto"/>
                <w:w w:val="95"/>
              </w:rPr>
              <w:t>February 1, 2026 and prior to April 30, 2026, at a price equal to 100% of their principal amount,</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620" w:type="dxa"/>
            <w:vAlign w:val="bottom"/>
          </w:tcPr>
          <w:p>
            <w:pPr>
              <w:ind w:left="1360"/>
              <w:spacing w:after="0"/>
              <w:rPr>
                <w:sz w:val="20"/>
                <w:szCs w:val="20"/>
                <w:color w:val="auto"/>
              </w:rPr>
            </w:pPr>
            <w:r>
              <w:rPr>
                <w:rFonts w:ascii="Arial" w:cs="Arial" w:eastAsia="Arial" w:hAnsi="Arial"/>
                <w:sz w:val="18"/>
                <w:szCs w:val="18"/>
                <w:color w:val="auto"/>
                <w:w w:val="92"/>
              </w:rPr>
              <w:t>plus accrued and unpaid interest to, but excluding, the date of redemption. See “Description of the</w:t>
            </w:r>
          </w:p>
        </w:tc>
      </w:t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620" w:type="dxa"/>
            <w:vAlign w:val="bottom"/>
          </w:tcPr>
          <w:p>
            <w:pPr>
              <w:ind w:left="1360"/>
              <w:spacing w:after="0"/>
              <w:rPr>
                <w:sz w:val="20"/>
                <w:szCs w:val="20"/>
                <w:color w:val="auto"/>
              </w:rPr>
            </w:pPr>
            <w:r>
              <w:rPr>
                <w:rFonts w:ascii="Arial" w:cs="Arial" w:eastAsia="Arial" w:hAnsi="Arial"/>
                <w:sz w:val="18"/>
                <w:szCs w:val="18"/>
                <w:color w:val="auto"/>
              </w:rPr>
              <w:t>Notes — Optional Redemption” for additional details.</w:t>
            </w:r>
          </w:p>
        </w:tc>
      </w:tr>
      <w:tr>
        <w:trPr>
          <w:trHeight w:val="418"/>
        </w:trPr>
        <w:tc>
          <w:tcPr>
            <w:tcW w:w="20" w:type="dxa"/>
            <w:vAlign w:val="bottom"/>
          </w:tcPr>
          <w:p>
            <w:pPr>
              <w:spacing w:after="0"/>
              <w:rPr>
                <w:sz w:val="24"/>
                <w:szCs w:val="24"/>
                <w:color w:val="auto"/>
              </w:rPr>
            </w:pPr>
          </w:p>
        </w:tc>
        <w:tc>
          <w:tcPr>
            <w:tcW w:w="2600" w:type="dxa"/>
            <w:vAlign w:val="bottom"/>
          </w:tcPr>
          <w:p>
            <w:pPr>
              <w:ind w:left="140"/>
              <w:spacing w:after="0"/>
              <w:rPr>
                <w:sz w:val="20"/>
                <w:szCs w:val="20"/>
                <w:color w:val="auto"/>
              </w:rPr>
            </w:pPr>
            <w:r>
              <w:rPr>
                <w:rFonts w:ascii="Arial" w:cs="Arial" w:eastAsia="Arial" w:hAnsi="Arial"/>
                <w:sz w:val="18"/>
                <w:szCs w:val="18"/>
                <w:b w:val="1"/>
                <w:bCs w:val="1"/>
                <w:color w:val="auto"/>
              </w:rPr>
              <w:t>Sinking Fund:</w:t>
            </w:r>
          </w:p>
        </w:tc>
        <w:tc>
          <w:tcPr>
            <w:tcW w:w="8620" w:type="dxa"/>
            <w:vAlign w:val="bottom"/>
          </w:tcPr>
          <w:p>
            <w:pPr>
              <w:ind w:left="1360"/>
              <w:spacing w:after="0"/>
              <w:rPr>
                <w:sz w:val="20"/>
                <w:szCs w:val="20"/>
                <w:color w:val="auto"/>
              </w:rPr>
            </w:pPr>
            <w:r>
              <w:rPr>
                <w:rFonts w:ascii="Arial" w:cs="Arial" w:eastAsia="Arial" w:hAnsi="Arial"/>
                <w:sz w:val="18"/>
                <w:szCs w:val="18"/>
                <w:color w:val="auto"/>
                <w:w w:val="99"/>
              </w:rPr>
              <w:t>The Notes will not be subject to any sinking fund (i.e., no amounts will be set aside by us to</w:t>
            </w:r>
          </w:p>
        </w:tc>
      </w:t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620" w:type="dxa"/>
            <w:vAlign w:val="bottom"/>
          </w:tcPr>
          <w:p>
            <w:pPr>
              <w:ind w:left="1360"/>
              <w:spacing w:after="0"/>
              <w:rPr>
                <w:sz w:val="20"/>
                <w:szCs w:val="20"/>
                <w:color w:val="auto"/>
              </w:rPr>
            </w:pPr>
            <w:r>
              <w:rPr>
                <w:rFonts w:ascii="Arial" w:cs="Arial" w:eastAsia="Arial" w:hAnsi="Arial"/>
                <w:sz w:val="18"/>
                <w:szCs w:val="18"/>
                <w:color w:val="auto"/>
              </w:rPr>
              <w:t>ensure repayment of the Notes at maturity).</w:t>
            </w:r>
          </w:p>
        </w:tc>
      </w:tr>
      <w:tr>
        <w:trPr>
          <w:trHeight w:val="220"/>
        </w:trPr>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8620" w:type="dxa"/>
            <w:vAlign w:val="bottom"/>
            <w:tcBorders>
              <w:bottom w:val="single" w:sz="8" w:color="auto"/>
            </w:tcBorders>
          </w:tcPr>
          <w:p>
            <w:pPr>
              <w:spacing w:after="0"/>
              <w:rPr>
                <w:sz w:val="19"/>
                <w:szCs w:val="19"/>
                <w:color w:val="auto"/>
              </w:rPr>
            </w:pPr>
          </w:p>
        </w:tc>
      </w:tr>
      <w:tr>
        <w:trPr>
          <w:trHeight w:val="442"/>
        </w:trPr>
        <w:tc>
          <w:tcPr>
            <w:tcW w:w="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ind w:left="288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240"/>
          </w:cols>
          <w:pgMar w:left="320" w:top="904"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40" w:type="dxa"/>
            <w:vAlign w:val="bottom"/>
            <w:tcBorders>
              <w:right w:val="single" w:sz="8" w:color="auto"/>
            </w:tcBorders>
          </w:tcPr>
          <w:p>
            <w:pPr>
              <w:spacing w:after="0"/>
              <w:rPr>
                <w:sz w:val="24"/>
                <w:szCs w:val="24"/>
                <w:color w:val="auto"/>
              </w:rPr>
            </w:pPr>
          </w:p>
        </w:tc>
        <w:tc>
          <w:tcPr>
            <w:tcW w:w="30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Use of Proceeds:</w:t>
            </w:r>
          </w:p>
        </w:tc>
        <w:tc>
          <w:tcPr>
            <w:tcW w:w="820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color w:val="auto"/>
                <w:w w:val="97"/>
              </w:rPr>
              <w:t>We intend to use the net proceeds from the sale of the Notes to redeem all of our outstanding</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shares of Series B Cumulative Preferred Stock, with remaining net proceeds available for</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general corporate purposes, including funding future strategic product acquisitions and related</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investments, making capital expenditures, and funding working capital. See “Use of Proceeds”</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and “Capitalization.”</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Events of Default:</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Events of default generally will include (i) failure to pay principal or interest, (ii) failure to</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9"/>
              </w:rPr>
              <w:t>observe or perform any other covenant or warranty in the Notes or in the indenture, and (iii)</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9"/>
              </w:rPr>
              <w:t>certain events of bankruptcy, insolvency or reorganization. See “Description of the Notes —</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Events of Default.”</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Certain Covenants:</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7"/>
              </w:rPr>
              <w:t>The indenture that governs the Notes contains certain covenants, including, but not limited to,</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restrictions on our ability to merge or consolidate with or into any other entity. See “Description</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of the Notes — Covenants.”</w:t>
            </w:r>
          </w:p>
        </w:tc>
      </w:tr>
      <w:tr>
        <w:trPr>
          <w:trHeight w:val="432"/>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No Financial Covenants:</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The indenture governing the Notes does not contain financial covenants.</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Additional Notes:</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We may create and issue additional Notes ranking equally and ratably with the Notes in all</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respects, so that such additional Notes will constitute and form a single series with the Notes and</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7"/>
              </w:rPr>
              <w:t>will have the same terms as to status, redemption or otherwise (except the price to public, the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4"/>
              </w:rPr>
              <w:t>issue date and, if applicable, the initial interest accrual date and the initial interest payment date)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as the Notes; provided that if any such additional Notes are not fungible with the Notes initially</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offered hereby for U.S. federal income tax purposes, such additional Notes will have one or more</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separate CUSIP numbers.</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Defeasance:</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4"/>
              </w:rPr>
              <w:t>The Notes are subject to legal and covenant defeasance by us. See “Description of the Notes —</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Defeasance” for more information.</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Listing:</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2"/>
              </w:rPr>
              <w:t>The existing notes are listed, and the new Notes are expected to be listed, on NASDAQ under the</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symbol “HROWL”.</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Form and Denomination:</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8"/>
              </w:rPr>
              <w:t>The Notes will be issued in book-entry form in denominations of $25 and integral multiples in</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2"/>
              </w:rPr>
              <w:t>excess thereof. The Notes will be represented by a permanent global certificate deposited with the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trustee as custodian for The Depository Trust Company, or DTC, and registered in the name of a</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nominee of DTC. Beneficial interests in any of the Notes will be shown on, and transfers will be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effected only through, records maintained by DTC and its direct and indirect participants and any</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such interest may not be exchanged for certificated securities, except in limited circumstances.</w:t>
            </w:r>
          </w:p>
        </w:tc>
      </w:tr>
      <w:tr>
        <w:trPr>
          <w:trHeight w:val="432"/>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Trustee:</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U.S. Bank National Association</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Governing Law:</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The Notes and the indenture governing the Notes will be governed by and construed in</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accordance with the laws of the State of New York.</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Risk Factors:</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7"/>
              </w:rPr>
              <w:t>Investing in the Notes involves risks. You should carefully consider the information set forth in</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4"/>
              </w:rPr>
              <w:t>the section of this prospectus supplement entitled “Risk Factors” beginning on page S-5, as well</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as the other information included in or incorporated by reference into this prospectus supplement</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and the accompanying prospectus before deciding whether to invest in the Notes.</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Conflict of Interest</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4"/>
              </w:rPr>
              <w:t>B. Riley Securities, Inc. (“BRS”) is the existing stockholder of our Series B Cumulative Preferred</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Stock (the “Preferred Stock”).   BRS will act as an underwriter in connection with this</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8"/>
              </w:rPr>
              <w:t>offering.  We will use a portion of the net proceeds of this offering to redeem the outstanding</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Preferred Stock as described under “Use of Proceeds” in this prospectus supplement. Therefore,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BRS has a “conflict of interest” in this offering within the meaning of FINRA Rule 5121, and this</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offering will be conducted in compliance with Rule 5121 and, therefore, BRS will not be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permitted to confirm a sale to an account over which it exercises discretionary authority without</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first receiving specific written approval from the account holder. See “Underwriting (Conflicts of</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Interest)” on page S-25 of this prospectus supplement.</w:t>
            </w:r>
          </w:p>
        </w:tc>
      </w:tr>
      <w:tr>
        <w:trPr>
          <w:trHeight w:val="220"/>
        </w:trPr>
        <w:tc>
          <w:tcPr>
            <w:tcW w:w="40" w:type="dxa"/>
            <w:vAlign w:val="bottom"/>
            <w:tcBorders>
              <w:right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8200" w:type="dxa"/>
            <w:vAlign w:val="bottom"/>
            <w:tcBorders>
              <w:bottom w:val="single" w:sz="8" w:color="auto"/>
              <w:right w:val="single" w:sz="8" w:color="auto"/>
            </w:tcBorders>
          </w:tcPr>
          <w:p>
            <w:pPr>
              <w:spacing w:after="0"/>
              <w:rPr>
                <w:sz w:val="19"/>
                <w:szCs w:val="19"/>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240"/>
          </w:cols>
          <w:pgMar w:left="320" w:top="66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i w:val="1"/>
          <w:iCs w:val="1"/>
          <w:color w:val="auto"/>
        </w:rPr>
        <w:t>Investing in the Notes involves significant risks, including the risks described below. Before making an investment in the Notes, you should carefully consider, among other factors, the risks identified under “Risk Factors” in our Annual Report on Form 10-K for the fiscal year ended December 31, 2020, in our Quarterly Report on Form 10-Q for the quarter ended March 31, 2021 and in our other filings with the SEC. Please also refer to the section above entitled “Special Note Regarding Forward-Looking Statements.” Please also see “Forward-Looking Statements” in the accompanying prospectus and the risks described in the documents incorporated by reference in this prospectus supplement and in our other filings. The risks described in the documents incorporated by reference in this prospectus supplement are not the only ones we face. Additional risks not presently known or that we currently deem immaterial could also materially and adversely affect our financial condition, results of operations, business and prospects. You should consult your own financial and legal advisors as to the risks entailed by an investment in the Notes and the suitability of investing in the Notes in light of your particular circumstances. Our business, financial condition and results of operations could be materially adversely affected by the materialization of any of these risks. The materialization of any of these risks could also result in a complete loss of your investment.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able to incur substantially more debt, which could have important consequences to you, and we may be unable to service our debt.</w:t>
      </w:r>
    </w:p>
    <w:p>
      <w:pPr>
        <w:spacing w:after="0" w:line="248"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We may be able to incur substantial additional indebtedness in the future. The terms of the indenture governing the Notes will not prohibit us from doing so. If we incur any additional indebtedness that ranks equally with the Notes, the holders of that debt will be entitled to share ratably with you in any proceeds distributed in connection with any insolvency, liquidation, reorganization or dissolution. This may have the effect of reducing the amount of proceeds paid to you. Incurrence of additional debt would also further reduce the cash available to invest in operations, as a result of increased debt service obligations. If new debt is added to our current debt levels, the related risks that we now face could intensify.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level of indebtedness could have important consequences to you, because:</w:t>
      </w:r>
    </w:p>
    <w:p>
      <w:pPr>
        <w:spacing w:after="0" w:line="225" w:lineRule="exact"/>
        <w:rPr>
          <w:sz w:val="20"/>
          <w:szCs w:val="20"/>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could affect our ability to satisfy our financial obligations, including those relating to the Notes;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substantial portion of our cash flows from operations would have to be dedicated to interest and principal payments and may not be available for operations, capital expenditures, expansion, acquisitions or general corporate or other purposes;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impair our ability to obtain additional debt or equity financing in the future;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limit our ability to refinance all or a portion of our indebtedness on or before maturity;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industry;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make us more vulnerable to downturns in our business, our industry or the economy in general.</w:t>
      </w:r>
    </w:p>
    <w:p>
      <w:pPr>
        <w:spacing w:after="0" w:line="225"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Our operations may not generate sufficient cash to enable us to service our debt. If we fail to make a payment on the Notes, we could be in default on the Notes, and this default could cause us to be in default on other indebtedness, to the extent outstanding. Conversely, a default under any other indebtedness, if not waived, could result in acceleration of the debt outstanding under the related agreement and entitle the holders thereof to bring suit for the enforcement thereof or exercise other remedies provided thereunder. In addition, such default or acceleration may result in an event of default and acceleration of other indebtedness of the Company, entitling the holders thereof to bring suit for the enforcement thereof or exercise other remedies provided thereunder. If a judgment is obtained by any such holders, such holders could seek to collect on such judgment from the assets of the Company. If that should occur, we may not be able to pay all such debt or to borrow sufficient funds to refinance it. Even if new financing were then available, it may not be on terms that are acceptable to us.</w:t>
      </w:r>
    </w:p>
    <w:p>
      <w:pPr>
        <w:spacing w:after="0" w:line="19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However, no event of default under the Notes would result from a default or acceleration of, or suit, other exercise of remedies or collection proceeding by holders of, our other outstanding debt, if any. As a result, all or substantially all of our assets may be used to satisfy claims of holders of our other outstanding debt, if any, without the holders of the Notes having any rights to such assets. The indenture governing the Notes will not restrict our ability to incur additional indebtedness.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Notes will be unsecured and therefore will be effectively subordinated to any secured indebtedness that we currently have or that we may incur in the future.</w:t>
      </w:r>
    </w:p>
    <w:p>
      <w:pPr>
        <w:spacing w:after="0" w:line="170"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Notes will not be secured by any of our assets or any of the assets of our subsidiaries. As a result, the Notes will be effectively subordinated to any secured indebtedness that we or our subsidiaries have currently outstanding or may incur in the future (or any indebtedness that is initially unsecured to which we subsequently grant security) to the extent of the value of the assets securing such indebtedness. The indenture governing the Notes does not prohibit us or our subsidiaries from incurring additional secured (or unsecured) indebtedness in the future. In any liquidation, dissolution, bankruptcy or other similar proceeding, the holders of any of our existing or future secured indebtedness and the secured indebtedness of our subsidiaries may assert rights against the assets pledged to secure that indebtedness and may consequently receive payment from these assets before they may be used to pay other creditors, including the holders of the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structurally subordinated to the indebtedness and other liabilities of our subsidiaries.</w:t>
      </w:r>
    </w:p>
    <w:p>
      <w:pPr>
        <w:spacing w:after="0" w:line="225"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The Notes are obligations exclusively of the Company and not of any of our subsidiaries. None of our subsidiaries is a guarantor of the Notes, and the Notes are not required to be guaranteed by any subsidiaries we may acquire or create in the future. Therefore, in any bankruptcy, liquidation or similar proceeding, all claims of creditors (including trade creditors)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any of our subsidiaries and any subsidiaries that we may in the future acquire or establish as financing vehicles or otherwise. The indenture governing the Notes does not prohibit us or our subsidiaries from incurring additional indebtedness in the future. In addition, future debt and security agreements entered into by our subsidiaries may contain various restrictions, including restrictions on payments by our subsidiaries to us and the transfer by our subsidiaries of assets pledged as collateral.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governing the Notes contains limited protection for holders of the Notes.</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187" w:lineRule="exact"/>
        <w:rPr>
          <w:sz w:val="20"/>
          <w:szCs w:val="20"/>
          <w:color w:val="auto"/>
        </w:rPr>
      </w:pPr>
    </w:p>
    <w:p>
      <w:pPr>
        <w:jc w:val="both"/>
        <w:ind w:left="760" w:hanging="320"/>
        <w:spacing w:after="0" w:line="25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issue debt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w:t>
      </w:r>
    </w:p>
    <w:p>
      <w:pPr>
        <w:spacing w:after="0" w:line="192"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subordinated in right of payment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both"/>
        <w:ind w:firstLine="441"/>
        <w:spacing w:after="0" w:line="255" w:lineRule="auto"/>
        <w:rPr>
          <w:sz w:val="20"/>
          <w:szCs w:val="20"/>
          <w:color w:val="auto"/>
        </w:rPr>
      </w:pPr>
      <w:r>
        <w:rPr>
          <w:rFonts w:ascii="Arial" w:cs="Arial" w:eastAsia="Arial" w:hAnsi="Arial"/>
          <w:sz w:val="18"/>
          <w:szCs w:val="18"/>
          <w:color w:val="auto"/>
        </w:rPr>
        <w:t>In addition, the indenture does not include any protection against certain events, such as a change of control, a leveraged recapitalization or “going private” transaction (which may result in a significant increase of our indebtedness levels), restructuring or similar transactions.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Notes.</w:t>
      </w:r>
    </w:p>
    <w:p>
      <w:pPr>
        <w:spacing w:after="0" w:line="19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debt, and may be forced to take other actions to satisfy our obligations under such indebtedness, which may not be successful.</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Our ability to make scheduled payments on, or to refinance our obligations under, our debt will depend on our financial and operating performance and that of our subsidiaries, which, in turn, will be subject to prevailing economic and competitive conditions and to financial and business factors, many of which may be beyond our control.</w:t>
      </w:r>
    </w:p>
    <w:p>
      <w:pPr>
        <w:spacing w:after="0" w:line="184"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We may not maintain a level of cash flow from operating activities sufficient to permit us to pay the principal, premium, if any, and interest on our indebtedness. If our cash flow and capital resources are insufficient to fund our debt service obligations, we may be forced to reduce or delay capital expenditures, sell assets, seek to obtain additional equity capital or restructure our debt. In the future, our cash flow and capital resources may not be sufficient for payments of interest on, and principal of, our debt, and such alternative measures may not be successful and may not permit us to meet our scheduled debt service obligations. We may not be able to refinance any of our indebtedness or obtain additional financing, particularly because of our anticipated high levels of debt and the debt incurrence restrictions imposed by the agreements governing our debt, as well as prevailing market conditions. In the absence of such operating results and resources, we could face substantial liquidity problems and might be required to dispose of material assets or operations to meet our debt service and other obligations. The instruments governing our indebtedness restrict our ability to dispose of assets and use the proceeds from any such dispositions. We may not be able to consummate those sales, or if we do, at an opportune time, the proceeds that we realize may not be adequate to meet debt service obligations when due.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market interest rates could result in a decrease in the value of the Notes.</w:t>
      </w:r>
    </w:p>
    <w:p>
      <w:pPr>
        <w:spacing w:after="0" w:line="225"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In general, as market interest rates rise, notes bearing interest at a fixed rate decline in value. Consequently, if you purchase the Notes, and the market interest rates subsequently increase, the market value of your Notes may decline. We cannot predict the future level of market interest rates.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the Notes may not develop, which could limit the market price of the Notes or your ability to sell them.</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The existing notes are listed, and the new Notes are expected to be listed, on NASDAQ under the symbol “HROWL”. We cannot provide any assurances that an active trading market will develop for the Notes or that you will be able to sell your Notes.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The underwriters have advised us that they may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6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addition, there may be a limited number of buyers when you decide to sell your Notes. This may affect the price, if any, offered for your Notes or your ability to sell your Notes when desired or at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We may issue additional Notes.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Under the terms of the indenture governing the Notes, we may from time to time without notice to, or the consent of, the holders of the Notes, create and issue additional Notes which will be equal in rank to the Notes. If any such additional Notes are not fungible with the Notes initially offered hereby for U.S. federal income tax purposes, such additional Notes will have one or more separate CUSIP numbers.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rating for the Notes could at any time be revised downward or withdrawn entirely at the discretion of the issuing rating agency.</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have obtained a rating for the Notes. Ratings only reflect the views of the issuing rating agency or agencies and such ratings could at any time be revised downward or withdrawn entirely at the discretion of the issuing rating agency. A rating is not a recommendation to purchase, sell or hold the Notes. Ratings do not reflect market prices or suitability of a security for a particular investor and the rating of the Notes may not reflect all risks related to us and our business, or the structure or market value of the Notes. We may elect to issue other securities for which we may seek to obtain a rating in the future. If we issue other securities with a rating, such ratings, if they are lower than market expectations or are subsequently lowered or withdrawn, could adversely affect the market for or the market value of the Notes.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net proceeds to be received by us from the sale of Notes in this offering, after deducting underwriting discounts and commissions and other</w:t>
      </w:r>
    </w:p>
    <w:p>
      <w:pPr>
        <w:spacing w:after="0" w:line="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offering expenses payable by us, are estimated to be approximately $ (or $ if the underwriters’ option to purchase up to $ additional Notes is exercised in full).</w:t>
      </w:r>
    </w:p>
    <w:p>
      <w:pPr>
        <w:spacing w:after="0" w:line="18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We intend to use approximately $11.1 million of the net proceeds from the sale of the Notes for the redemption of all of our outstanding shares of Series B Cumulative Preferred Stock, with remaining net proceeds available for general corporate purposes, including funding future strategic product acquisitions and related investments, making capital expenditures, and funding working capital.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cash and cash equivalents and our consolidated capitalization as of March 31, 2021:</w:t>
      </w:r>
    </w:p>
    <w:p>
      <w:pPr>
        <w:spacing w:after="0" w:line="225" w:lineRule="exact"/>
        <w:rPr>
          <w:sz w:val="20"/>
          <w:szCs w:val="20"/>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25" w:lineRule="exact"/>
        <w:rPr>
          <w:rFonts w:ascii="Arial" w:cs="Arial" w:eastAsia="Arial" w:hAnsi="Arial"/>
          <w:sz w:val="18"/>
          <w:szCs w:val="18"/>
          <w:color w:val="auto"/>
        </w:rPr>
      </w:pPr>
    </w:p>
    <w:p>
      <w:pPr>
        <w:jc w:val="both"/>
        <w:ind w:left="760" w:hanging="320"/>
        <w:spacing w:after="0" w:line="25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 pro forma basis, after giving effect to (i) our sale of Eton common stock, net of costs, which closed on April 12, 2021, (ii) our sale of $55,000,000 principal amount of 8.625% senior notes due 2026, net of costs, which closed on April 20, 2021, and (iii) our sale of 440,000 shares of our Series B Cumulative Preferred Stock, par value $0.001 per share and liquidation preference of $25.00 per share, for a net purchase price of $10,670,000, net of costs, which closed on May 5, 2021; and</w:t>
      </w:r>
    </w:p>
    <w:p>
      <w:pPr>
        <w:spacing w:after="0" w:line="186"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 pro forma as adjusted basis, after giving further effect to (i) the sale of the Notes in this offering, after deducting underwriting discounts and commissions, and estimated offering expenses payable by us; and (ii) the redemption of all of our outstanding shares of Series B Cumulative Preferred Stock.</w:t>
      </w:r>
    </w:p>
    <w:p>
      <w:pPr>
        <w:spacing w:after="0" w:line="184"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You should read this table in conjunction with our consolidated financial statements and related notes incorporated by reference in this prospectus supplement.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2"/>
              </w:rPr>
              <w:t>As of March 31, 2021</w:t>
            </w:r>
          </w:p>
        </w:tc>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Pro Forma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Actual</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Pro Forma</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As Adjusted</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91"/>
              </w:rPr>
              <w:t>(unaudited)</w:t>
            </w: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2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7"/>
              </w:rPr>
              <w:t>(in thousands)</w:t>
            </w: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including restricted cash of $200</w:t>
            </w:r>
          </w:p>
        </w:tc>
        <w:tc>
          <w:tcPr>
            <w:tcW w:w="1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6,504</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63,362</w:t>
            </w:r>
          </w:p>
        </w:tc>
        <w:tc>
          <w:tcPr>
            <w:tcW w:w="15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Current Installments of Long-Term Debt:</w:t>
            </w:r>
          </w:p>
        </w:tc>
        <w:tc>
          <w:tcPr>
            <w:tcW w:w="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Current portion of loan payable, net of unamortized debt discount</w:t>
            </w:r>
          </w:p>
        </w:tc>
        <w:tc>
          <w:tcPr>
            <w:tcW w:w="1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2,659</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installments of long-term debt</w:t>
            </w: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Long-Term Debt, Less Current Installments:</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obligations, net of current portion</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Exit fee associated with loan payable</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Loan payable, net of current portion and unamortized debt discount</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8.625% Senior Notes due 2026</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52,000</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 less current installments</w:t>
            </w: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line="203" w:lineRule="exact"/>
              <w:rPr>
                <w:sz w:val="20"/>
                <w:szCs w:val="20"/>
                <w:color w:val="auto"/>
              </w:rPr>
            </w:pPr>
            <w:r>
              <w:rPr>
                <w:rFonts w:ascii="Arial" w:cs="Arial" w:eastAsia="Arial" w:hAnsi="Arial"/>
                <w:sz w:val="18"/>
                <w:szCs w:val="18"/>
                <w:color w:val="auto"/>
              </w:rPr>
              <w:t>Total Long-Term Debt</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14,479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52,024</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Series B Cumulative Preferred Stock, $0.001 par value</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$0.001 par value</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105,382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115,952</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(77,183)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(79,551)</w:t>
            </w: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HARROW HEALTH STOCKHOLDERS’ EQUITY</w:t>
            </w:r>
          </w:p>
        </w:tc>
        <w:tc>
          <w:tcPr>
            <w:tcW w:w="8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28,225</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36,427</w:t>
            </w:r>
          </w:p>
        </w:tc>
        <w:tc>
          <w:tcPr>
            <w:tcW w:w="32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w:t>
            </w: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8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27,870</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36,072</w:t>
            </w:r>
          </w:p>
        </w:tc>
        <w:tc>
          <w:tcPr>
            <w:tcW w:w="320" w:type="dxa"/>
            <w:vAlign w:val="bottom"/>
            <w:tcBorders>
              <w:top w:val="single" w:sz="8" w:color="CCEEFF"/>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8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42,349</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88,096</w:t>
            </w:r>
          </w:p>
        </w:tc>
        <w:tc>
          <w:tcPr>
            <w:tcW w:w="3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S-10</w:t>
            </w: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i w:val="1"/>
          <w:iCs w:val="1"/>
          <w:color w:val="auto"/>
        </w:rPr>
        <w:t>The 8.625% Senior Notes due 2026 (the “Notes”) are being issued under an Indenture dated as of April 20, 2021, as supplemented by the First Supplemental Indenture dated as of April 20, 2021, which we refer to collectively as the “indenture,” between the Company and U.S. Bank National Association, as trustee.</w:t>
      </w:r>
    </w:p>
    <w:p>
      <w:pPr>
        <w:spacing w:after="0" w:line="18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i w:val="1"/>
          <w:iCs w:val="1"/>
          <w:color w:val="auto"/>
        </w:rPr>
        <w:t>The new Notes are being offered as additional notes under the indenture pursuant to which we previously issued $55,000,000 aggregate principal amount of 8.625% Senior Notes due 2026. Unless the context otherwise requires, the term “Notes” refers to both the new Notes, the existing notes and any other additional notes we may issue in the future. The new Notes constitute a further issuance of, and will be fungible with, the existing notes (and will bear the same CUSIP number as the existing notes) and form a single class of debt securities with the existing notes for all purposes under the indenture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governing the notes. Immediately after giving effect to the issuance of the new Notes, we will have $ in aggregate principal amount of our 8.625% Senior Notes due 2026 outstanding (or $ if the underwriters’ option to purchase up to $ additional Notes is exercised in full).</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Set forth below is a description of the specific terms of the Notes and the indenture. This description supplements the description of the general terms and provisions of our debt securities set forth in the accompanying prospectus under the caption “Description of Debt Securities.” The following description does not purport to be complete and is subject to, and is qualified in its entirety by reference to, the indenture filed as an exhibit to the Company’s Current Report on Form 8-K filed on April 20,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w:t>
        <w:tab/>
        <w:t>will be our general unsecured, senior obligations;</w:t>
      </w:r>
    </w:p>
    <w:p>
      <w:pPr>
        <w:sectPr>
          <w:pgSz w:w="11900" w:h="16838" w:orient="portrait"/>
          <w:cols w:equalWidth="0" w:num="1">
            <w:col w:w="11240"/>
          </w:cols>
          <w:pgMar w:left="320" w:top="661" w:right="339" w:bottom="1145" w:gutter="0" w:footer="0" w:header="0"/>
        </w:sectPr>
      </w:pPr>
    </w:p>
    <w:p>
      <w:pPr>
        <w:spacing w:after="0" w:line="225" w:lineRule="exact"/>
        <w:rPr>
          <w:sz w:val="20"/>
          <w:szCs w:val="20"/>
          <w:color w:val="auto"/>
        </w:rPr>
      </w:pPr>
    </w:p>
    <w:p>
      <w:pPr>
        <w:ind w:left="760" w:hanging="319"/>
        <w:spacing w:after="0" w:line="308" w:lineRule="auto"/>
        <w:tabs>
          <w:tab w:leader="none" w:pos="740" w:val="left"/>
        </w:tabs>
        <w:rPr>
          <w:sz w:val="20"/>
          <w:szCs w:val="20"/>
          <w:color w:val="auto"/>
        </w:rPr>
      </w:pPr>
      <w:r>
        <w:rPr>
          <w:rFonts w:ascii="Arial" w:cs="Arial" w:eastAsia="Arial" w:hAnsi="Arial"/>
          <w:sz w:val="17"/>
          <w:szCs w:val="17"/>
          <w:color w:val="auto"/>
        </w:rPr>
        <w:t>●</w:t>
        <w:tab/>
        <w:t>will be limited to an aggregate principal amount of $17,500,000 of new Notes (and aggregate of $ assuming no exercise of the underwriters’ option to purchase additional Notes described herein);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notes, including the existing notes,</w:t>
      </w:r>
    </w:p>
    <w:p>
      <w:pPr>
        <w:spacing w:after="0" w:line="463" w:lineRule="exact"/>
        <w:rPr>
          <w:sz w:val="20"/>
          <w:szCs w:val="20"/>
          <w:color w:val="auto"/>
        </w:rPr>
      </w:pPr>
    </w:p>
    <w:p>
      <w:pPr>
        <w:sectPr>
          <w:pgSz w:w="11900" w:h="16838" w:orient="portrait"/>
          <w:cols w:equalWidth="0" w:num="2">
            <w:col w:w="8140" w:space="520"/>
            <w:col w:w="2580"/>
          </w:cols>
          <w:pgMar w:left="320" w:top="661" w:right="339" w:bottom="1145" w:gutter="0" w:footer="0" w:header="0"/>
          <w:type w:val="continuous"/>
        </w:sectPr>
      </w:pPr>
    </w:p>
    <w:p>
      <w:pPr>
        <w:ind w:left="760" w:hanging="320"/>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will mature on April 30, 2026 unless earlier redeemed or repurchased, and 100% of the aggregate principal amount will be paid at maturity;</w:t>
      </w:r>
    </w:p>
    <w:p>
      <w:pPr>
        <w:spacing w:after="0" w:line="236" w:lineRule="exact"/>
        <w:rPr>
          <w:rFonts w:ascii="Arial" w:cs="Arial" w:eastAsia="Arial" w:hAnsi="Arial"/>
          <w:sz w:val="17"/>
          <w:szCs w:val="17"/>
          <w:color w:val="auto"/>
        </w:rPr>
      </w:pPr>
    </w:p>
    <w:p>
      <w:pPr>
        <w:ind w:left="76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bear cash interest from April 20, 2021 at an annual rate of 8.625%, payable quarterly in arrears on January 31, April 30, July 31 and October 31 of each year, beginning on July 31, 2021, and at maturity;</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prior to February 1, 2026, at the prices and on the terms described under “— Optional Redemption” below;</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at any time on or after February 1, 2026, at the prices and on the terms described under “— Optional Redemption” below;</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issued in denominations of $25 and integral multiples of $25 in excess thereof;</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not have a sinking fund;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or are expected to be, listed on NASDAQ under the symbol “HROWL”; and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w:t>
      </w:r>
    </w:p>
    <w:p>
      <w:pPr>
        <w:spacing w:after="0" w:line="170"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indenture does not limit the amount of indebtedness that we or our subsidiaries may issue. The indenture does not contain any financial covenants and does not restrict us from paying dividends or issuing or repurchasing our other securities. Other than restrictions described under “— Covenants —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7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may from time to time, without the consent of the existing holders, issue additional Notes having the same terms as to status, redemption or otherwise (except the price to public, the issue date and, if applicable, the initial interest accrual date and the initial interest payment date) that may constitute a single fungible series with the Notes offered by this prospectus supplement; provided that if any such additional Notes are not fungible with the Notes initially offered hereby for U.S. federal income tax purposes, such additional Notes will have one or more separate CUSIP numbers.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 xml:space="preserve">The Notes are senior unsecured obligations of the Company, and, upon our liquidation, dissolution or winding up, will rank (i) senior to the outstanding shares of our common stock, (ii) senior to any of our future subordinated debt, (iii)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equally) with our future unsecured and unsubordinated indebtedness, (iv) effectively subordinated to any existing or future secured indebtedness (including indebtedness that is initially unsecured to which we subsequently grant security), to the extent of the value of the assets securing such indebtedness and (v) structurally subordinated to all existing and future indebtedness of our subsidiaries, financing vehicles or similar facilities.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145"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Interest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on the Notes will accrue at an annual rate equal to 8.625% from and including April 20, 2021 to, but excluding, the maturity date or earlier acceleration or redemption and will be payable quarterly in arrears on January 31, April 30, July 31 and October 31 of each year, beginning on July 31, 2021 and at maturity, to the record holders at the close of business on the immediately preceding January 15, April 15, July 15 and October 15, as applicable (whether or not a business day).</w:t>
      </w:r>
    </w:p>
    <w:p>
      <w:pPr>
        <w:spacing w:after="0" w:line="18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initial interest period for the Notes will be the period from and including April 20, 2021, to, but excluding, July 31, 2021, and subsequent interest periods will be the periods from and including an interest payment date to, but excluding, the next interest payment date or the stated maturity date, as the case may be. The amount of interest payable for any interest period, including interest payable for any partial interest period, will be computed on the basis of a 360-day year comprised of twelve 30-day months. If an interest payment date falls on a non-business day, the applicable interest payment will be made on the next business day and no additional interest will accrue as a result of such delayed payment.</w:t>
      </w:r>
    </w:p>
    <w:p>
      <w:pPr>
        <w:spacing w:after="0" w:line="17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“Business day” means, for any place where the principal and interest on the Notes is payable, each Monday, Tuesday, Wednesday, Thursday and Friday which is not a day in which banking institutions in such place of payment are authorized or obligated by law or executive order to close.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Prior to February 1, 2026 (the “Notes Par Call Date”), we may, at our option, redeem the Notes, in whole at any time or in part from time to time, at a redemption price equal to the sum of (i) 100% of the principal amount of the Notes being redeemed plus accrued and unpaid interest to, but excluding, the date of redemption and (ii) the Make-Whole Amount, if any.</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Notes may be redeemed for cash in whole or in part at any time at our option on or after February 1, 2026 and prior to maturity, at a price equal to 100% of their principal amount, plus accrued and unpaid interest to, but excluding, the date of redemption. In each case, redemption shall be upon notice not fewer than 30 days and not more than 60 days prior to the date fixed for redemption.</w:t>
      </w:r>
    </w:p>
    <w:p>
      <w:pPr>
        <w:spacing w:after="0" w:line="18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If less than all of the Notes are to be redeemed, the particular Notes to be redeemed will be selected not more than 45 days prior to the redemption date by the trustee from the outstanding Notes not previously called for redemption, by lot, or in the trustee’s discretion, on a pro-rata basis, provided that the unredeemed portion of the principal amount of any Notes will be in an authorized denomination (which will not be less than the minimum authorized denomination) for such Notes. The trustee will promptly notify us in writing of the Notes selected for redemption and, in the case of any Notes selected for partial redemption, the principal amount thereof to be redeemed. Beneficial interests in any of the Notes or portions thereof called for redemption that are registered in the name of DTC or its nominee will be selected by DTC in accordance with DTC’s applicable procedures.</w:t>
      </w:r>
    </w:p>
    <w:p>
      <w:pPr>
        <w:spacing w:after="0" w:line="16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trustee shall have no obligation to calculate any redemption price, including any Make-Whole Amount, or any component thereof, and the trustee shall be entitled to receive and conclusively rely upon an officer’s certificate delivered by the Company that specifies any redemption price.</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Unless we default on the payment of the redemption price, on and after the date of redemption, interest will cease to accrue on the Notes called for redemption.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at any time, and from time to time, purchase notes at any price or prices in the open market or otherwise.</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“Make-Whole Amount” means, in connection with any optional redemption of any Note, the excess, if any, of (i) the sum of the present values, as of the date of such redemption, of the remaining scheduled payments of principal of, and interest (exclusive of interest accrued to, but excluding, the date of redemption) on, such Note, assuming such Note matured on, and that accrued and unpaid interest on such Note was payable through, the Notes Par Call Date, determined by discounting, on a semi-annual basis (assuming a 360-day year consisting of twelve 30-day months), such principal and interest at the Reinvestment Rate (as defined below) (determined on the third business day preceding the date of redemption) over (ii) the aggregate principal amount of such Notes being redeemed.</w:t>
      </w:r>
    </w:p>
    <w:p>
      <w:pPr>
        <w:spacing w:after="0" w:line="19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“Reinvestment Rate” means, 0.500%, or 50 basis points, plus the arithmetic mean (rounded to the nearest one-hundredth of one percent) of the yields displayed for each day in the preceding calendar week published in the most recent Statistical Release under the caption “Treasury constant maturities” for the maturity (rounded to the nearest month) corresponding to the remaining life to maturity of the Notes (assuming that the Notes matured on the Notes Par Call Date) as of the date of redemption. If no maturity exactly corresponds to such remaining life to maturity, yields for the two published maturities most closely corresponding to such remaining life to maturity shall be calculated pursuant to the immediately preceding sentence and the Reinvestment Rate shall be interpolated or extrapolated from such yields on a straight-line basis, rounding in each of such relevant periods to the nearest month. For the purpose of calculating the Reinvestment Rate, the most recent Statistical Release published prior to the date of determination of the Reinvestment Rate shall be used.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both"/>
        <w:ind w:firstLine="432"/>
        <w:spacing w:after="0" w:line="259" w:lineRule="auto"/>
        <w:rPr>
          <w:sz w:val="20"/>
          <w:szCs w:val="20"/>
          <w:color w:val="auto"/>
        </w:rPr>
      </w:pPr>
      <w:r>
        <w:rPr>
          <w:rFonts w:ascii="Arial" w:cs="Arial" w:eastAsia="Arial" w:hAnsi="Arial"/>
          <w:sz w:val="18"/>
          <w:szCs w:val="18"/>
          <w:color w:val="auto"/>
        </w:rPr>
        <w:t>“Statistical Release” means that statistical release designated “H.15” or any successor publication that is published daily by the Federal Reserve System and that establishes yields on actively traded United States Treasury securities adjusted to constant maturities, or, if such statistical release (or a successor publication) is not published at the time of any determination under the indenture, then such other reasonably comparable index that shall be designated by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Holders of our Notes will have rights if an Event of Default occurs in respect of the Notes and is not cured, as described later in this subsection. The term “Event of Default” in respect of the Notes means any of the following:</w:t>
      </w:r>
    </w:p>
    <w:p>
      <w:pPr>
        <w:spacing w:after="0" w:line="170" w:lineRule="exact"/>
        <w:rPr>
          <w:sz w:val="20"/>
          <w:szCs w:val="20"/>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pay interest on any Note when due, and such default is not cured within 30 days;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pay the principal of the Notes when due and payable;</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breach any covenant or warranty in the indenture with respect to the Notes and such breach continues for 60 days after we receive a written notice of such breach from the trustee or the holders of at least 25% of the principal amount of the Notes; and</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certain specified events of bankruptcy, insolvency or reorganization occur and remain undischarged or unstayed for a period of 90 days.</w:t>
      </w:r>
    </w:p>
    <w:p>
      <w:pPr>
        <w:spacing w:after="0" w:line="23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trustee may withhold notice to the holders of the Notes of any default, except in the payment of principal or interest, if the trustee in good faith determines the withholding of notice to be in the interest of the holders of the Notes.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Each year, we will furnish to the trustee a written statement of certain of our officers certifying that to their knowledge we are in compliance with the indenture and the Notes, or else specifying any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If an Event of Default has occurred and is continuing, the trustee or the holders of not less than 25% of the outstanding principal amount of the Notes may declare the entire principal amount of the Notes, together with accrued and unpaid interest, if any, to be due and payable immediately by a notice in writing to us and, if notice is given by the holders of the Notes, the trustee. This is called an “acceleration of maturity.” If the Event of Default occurs in relation to our filing for bankruptcy or certain other events of bankruptcy, insolvency or reorganization occur, the principal amount of the Notes, together with accrued and unpaid interest, if any, will automatically, and without any declaration or other action on the part of the trustee or the holders, become immediately due and payable.</w:t>
      </w:r>
    </w:p>
    <w:p>
      <w:pPr>
        <w:spacing w:after="0" w:line="19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any time after a declaration of acceleration of the Notes has been made by the trustee or the holders of the Notes and before any judgment or decree for payment of money due has been obtained by the trustee, the holders of a majority of the outstanding principal of the Notes, by written notice to us and the trustee, may rescind and annul such declaration and its consequences if (i) we have paid or deposited with the trustee all amounts due and owed with respect to the Notes (other than principal that has become due solely by reason of such acceleration) and certain other amounts, and (ii) any other Events of Default have been cured or waived.</w:t>
      </w:r>
    </w:p>
    <w:p>
      <w:pPr>
        <w:spacing w:after="0" w:line="18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At our election, the sole remedy with respect to an Event of Default due to our failure to comply with certain reporting requirements under the Trust Indenture Act or under “— Covenants — Reporting” below, for the first 180 calendar days after the occurrence of such Event of Default, consists exclusively of the right to receive additional interest on the Notes at an annual rate equal to (1) 0.25% for the first 90 calendar days after such default and</w:t>
      </w:r>
    </w:p>
    <w:p>
      <w:pPr>
        <w:spacing w:after="0" w:line="2" w:lineRule="exact"/>
        <w:rPr>
          <w:sz w:val="20"/>
          <w:szCs w:val="20"/>
          <w:color w:val="auto"/>
        </w:rPr>
      </w:pPr>
    </w:p>
    <w:p>
      <w:pPr>
        <w:jc w:val="both"/>
        <w:ind w:firstLine="8"/>
        <w:spacing w:after="0" w:line="259"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0.50% for calendar days 91 through 180 after such default. On the 181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Event of Default, if such violation is not cured or waived, the trustee or the holders of not less than 25% of the outstanding principal amount of the Notes may declare the principal, together with accrued and unpaid interest, if any, on the Notes to be due and payable immediately. If we choose to pay such additional interest, we must notify the trustee and the holders of the Notes by certificate of our election at any time on or before the close of business on the first business day following the Event of Default.</w:t>
      </w:r>
    </w:p>
    <w:p>
      <w:pPr>
        <w:spacing w:after="0" w:line="18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Before a holder of the Notes is allowed to bypass the trustee and bring a lawsuit or other formal legal action or take other steps to enforce such holder’s rights relating to the Notes, the following must occur:</w:t>
      </w:r>
    </w:p>
    <w:p>
      <w:pPr>
        <w:spacing w:after="0" w:line="170" w:lineRule="exact"/>
        <w:rPr>
          <w:sz w:val="20"/>
          <w:szCs w:val="20"/>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holder must give the trustee written notice that the Event of Default has occurred and remains uncured;</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holders of at least 25% of the outstanding principal of the Notes must have made a written request to the trustee to institute proceedings in respect of such Event of Default in its own name as trustee;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left="76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holder or holders must have offered to the trustee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holders of a majority of the outstanding principal of the Notes.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delay or omission in exercising any right or remedy will be treated as a waiver of that right, remedy or Event of Default.</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Book-entry and other indirect holders of the Notes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of Defaults</w:t>
      </w:r>
    </w:p>
    <w:p>
      <w:pPr>
        <w:spacing w:after="0" w:line="225"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The holders of not less than a majority of the outstanding principal amount of the Notes may on behalf of the holders of all Notes waive any past default with respect to the Notes other than (i) a default in the payment of principal or interest on the Notes when such payments are due and payable (other than by acceleration as described above), or (ii) in respect of a covenant that cannot be modified or amended without the consent of each holder of Notes.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to any other covenants described in the accompanying prospectus, as well as standard covenants relating to payment of principal and interest, maintaining an office where payments may be made or securities can be surrendered for payment, payment of taxes by us and related matters, the following covenants will apply to the Notes. To the extent of any conflict or inconsistency between the base indenture and the following covenants, the following covenants will govern.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indenture provides that we will not merge or consolidate with or into any other person (other than a merger of a wholly owned subsidiary into us), or sell, transfer, lease, convey or otherwise dispose of all or substantially all our property in any one transaction or series of related transactions unless:</w:t>
      </w:r>
    </w:p>
    <w:p>
      <w:pPr>
        <w:spacing w:after="0" w:line="124" w:lineRule="exact"/>
        <w:rPr>
          <w:sz w:val="20"/>
          <w:szCs w:val="20"/>
          <w:color w:val="auto"/>
        </w:rPr>
      </w:pPr>
    </w:p>
    <w:p>
      <w:pPr>
        <w:jc w:val="both"/>
        <w:ind w:left="760" w:hanging="320"/>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the surviving entity or the entity (if other than us) formed by such merger or consolidation or to which such sale, transfer, lease, conveyance or disposition is made will be a corporation or limited liability company organized and existing under the laws of the United States of America, any state thereof or the District of Columbia;</w:t>
      </w:r>
    </w:p>
    <w:p>
      <w:pPr>
        <w:spacing w:after="0" w:line="183" w:lineRule="exact"/>
        <w:rPr>
          <w:rFonts w:ascii="Arial" w:cs="Arial" w:eastAsia="Arial" w:hAnsi="Arial"/>
          <w:sz w:val="18"/>
          <w:szCs w:val="18"/>
          <w:color w:val="auto"/>
        </w:rPr>
      </w:pPr>
    </w:p>
    <w:p>
      <w:pPr>
        <w:jc w:val="both"/>
        <w:ind w:left="760" w:hanging="320"/>
        <w:spacing w:after="0" w:line="259"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surviving entity (if other than us) expressly assumes, by supplemental indenture in form reasonably satisfactory to the trustee, executed and delivered to the trustee by such surviving entity, the due and punctual payment of the principal of, and premium, if any, and interest on, all the Notes outstanding, and the due and punctual performance and observance of all the covenants and conditions of the indenture to be performed by us;</w:t>
      </w:r>
    </w:p>
    <w:p>
      <w:pPr>
        <w:spacing w:after="0" w:line="186"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has occurred and is continuing; and</w:t>
      </w:r>
    </w:p>
    <w:p>
      <w:pPr>
        <w:spacing w:after="0" w:line="170" w:lineRule="exact"/>
        <w:rPr>
          <w:rFonts w:ascii="Arial" w:cs="Arial" w:eastAsia="Arial" w:hAnsi="Arial"/>
          <w:sz w:val="18"/>
          <w:szCs w:val="18"/>
          <w:color w:val="auto"/>
        </w:rPr>
      </w:pPr>
    </w:p>
    <w:p>
      <w:pPr>
        <w:jc w:val="both"/>
        <w:ind w:left="760" w:hanging="320"/>
        <w:spacing w:after="0" w:line="311"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case of a merger where the surviving entity is other than us, we or such surviving entity will deliver, or cause to be delivered, to the trustee, an officers’ certificate and an opinion of counsel, each stating that such transaction and the supplemental indenture, if any, in respect thereto, comply with this covenant and that all conditions precedent in the indenture relating to such transaction have been complied with.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w:t>
      </w:r>
    </w:p>
    <w:p>
      <w:pPr>
        <w:spacing w:after="0" w:line="225"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60 days of our fiscal quarter end (other than our fourth fiscal quarter). All such financial statements will be prepared, in all material respects, in accordance with GAAP, as applicable.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Modification or Waiver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three types of changes we can make to the indenture and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First, there are changes that we can make to the Notes without the specific approval of the holders of the Notes. This type is limited to clarifications and certain other changes that would not adversely affect holders of the Notes in any material respect and include changes:</w:t>
      </w:r>
    </w:p>
    <w:p>
      <w:pPr>
        <w:spacing w:after="0" w:line="170" w:lineRule="exact"/>
        <w:rPr>
          <w:sz w:val="20"/>
          <w:szCs w:val="20"/>
          <w:color w:val="auto"/>
        </w:rPr>
      </w:pPr>
    </w:p>
    <w:p>
      <w:pPr>
        <w:ind w:left="760" w:right="2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and the assumption by the successor corporation of our covenants, agreements and obligations under the indenture and the Notes;</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the Notes, or to surrender any right or power herein conferred upon the Company and to make the occurrence;</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the Notes;</w:t>
      </w:r>
    </w:p>
    <w:p>
      <w:pPr>
        <w:spacing w:after="0" w:line="225"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to or change any of the provisions of the indenture to such extent as necessary to permit or facilitate the issuance of the Notes in bearer form, registrable or not registrable as to principal, and with or without interest coupons, or to permit or facilitate the issuance of the Notes in uncertificated form;</w:t>
      </w:r>
    </w:p>
    <w:p>
      <w:pPr>
        <w:spacing w:after="0" w:line="183"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or provide for a guaranty of the Notes or additional obligors on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establish the form or terms of the Notes;</w:t>
      </w:r>
    </w:p>
    <w:p>
      <w:pPr>
        <w:spacing w:after="0" w:line="225" w:lineRule="exact"/>
        <w:rPr>
          <w:rFonts w:ascii="Arial" w:cs="Arial" w:eastAsia="Arial" w:hAnsi="Arial"/>
          <w:sz w:val="18"/>
          <w:szCs w:val="18"/>
          <w:color w:val="auto"/>
        </w:rPr>
      </w:pPr>
    </w:p>
    <w:p>
      <w:pPr>
        <w:jc w:val="both"/>
        <w:ind w:left="760" w:hanging="320"/>
        <w:spacing w:after="0" w:line="311"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to cure any ambiguity or to correct or supplement any provision contained in the indenture or in any supplemental indenture which may be defective or inconsistent with other provisions, or to make any other provisions with respect to matters or questions arising under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action pursuant to this clause shall not adversely affect the interests of the holders of the Notes in any material respect;</w:t>
      </w:r>
    </w:p>
    <w:p>
      <w:pPr>
        <w:spacing w:after="0" w:line="148" w:lineRule="exact"/>
        <w:rPr>
          <w:rFonts w:ascii="Arial" w:cs="Arial" w:eastAsia="Arial" w:hAnsi="Arial"/>
          <w:sz w:val="16"/>
          <w:szCs w:val="16"/>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secure the Notes, including provisions regarding the circumstances under which collateral may be released or substituted;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of a successor trustee and to add or change any provisions of the indenture as necessary to provide for or facilitate the administration of the trust by more than one trustee; and</w:t>
      </w:r>
    </w:p>
    <w:p>
      <w:pPr>
        <w:spacing w:after="0" w:line="170" w:lineRule="exact"/>
        <w:rPr>
          <w:rFonts w:ascii="Arial" w:cs="Arial" w:eastAsia="Arial" w:hAnsi="Arial"/>
          <w:sz w:val="18"/>
          <w:szCs w:val="18"/>
          <w:color w:val="auto"/>
        </w:rPr>
      </w:pPr>
    </w:p>
    <w:p>
      <w:pPr>
        <w:ind w:left="760" w:hanging="320"/>
        <w:spacing w:after="0" w:line="342"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to supplement any of the provisions of the indenture to such extent as shall be necessary to permit or facilitate the defeasance and discharge the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action shall not adversely affect the interests of the holders of the Notes in any material respect.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Approval of Each Holder</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cannot make certain changes to the Notes without the specific approval of each holder of the Notes. The following is a list of those types of changes:</w:t>
      </w:r>
    </w:p>
    <w:p>
      <w:pPr>
        <w:spacing w:after="0" w:line="170" w:lineRule="exact"/>
        <w:rPr>
          <w:sz w:val="20"/>
          <w:szCs w:val="20"/>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the stated maturity of the principal of, or any installment of interest on, any Note;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reducing the principal amount or rate of interest of any Note;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the place of payment where any Note or any interest is payable;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impairing the right to institute suit for the enforcement of any payment on or after the date on which it is due and payable;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reducing the percentage in principal amount of holders of the Notes whose consent is needed to modify or amend the indenture; and</w:t>
      </w:r>
    </w:p>
    <w:p>
      <w:pPr>
        <w:spacing w:after="0" w:line="236" w:lineRule="exact"/>
        <w:rPr>
          <w:rFonts w:ascii="Arial" w:cs="Arial" w:eastAsia="Arial" w:hAnsi="Arial"/>
          <w:sz w:val="17"/>
          <w:szCs w:val="17"/>
          <w:color w:val="auto"/>
        </w:rPr>
      </w:pPr>
    </w:p>
    <w:p>
      <w:pPr>
        <w:ind w:left="76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reducing the percentage in principal amount of holders of the Notes whose consent is needed to waive compliance with certain provisions of the indenture or to waive certain defaults.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225" w:lineRule="exact"/>
        <w:rPr>
          <w:sz w:val="20"/>
          <w:szCs w:val="20"/>
          <w:color w:val="auto"/>
        </w:rPr>
      </w:pPr>
    </w:p>
    <w:p>
      <w:pPr>
        <w:ind w:left="76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change only affects the Notes, it must be approved by holders of not less than a majority in aggregate principal amount of the outstanding Notes; and</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change affects more than one series of debt securities issued under the indenture, it must be approved by the holders of not less than a majority in aggregate principal amount of each of the series of debt securities affected by the change.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Consent from holders to any change to the indenture or the Notes must be given in writing.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amount of Notes deemed to be outstanding for the purpose of voting will include all Notes authenticated and delivered under the indenture as of the date of determination except:</w:t>
      </w:r>
    </w:p>
    <w:p>
      <w:pPr>
        <w:spacing w:after="0" w:line="170"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Notes cancelled by the trustee or delivered to the trustee for cancellation;</w:t>
      </w:r>
    </w:p>
    <w:p>
      <w:pPr>
        <w:spacing w:after="0" w:line="225"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Notes for which we have deposited with the trustee or paying agent or set aside in trust money for their payment or redemption and, if money has been set aside for the redemption of the Notes, notice of such redemption has been duly given pursuant to the indenture to the satisfaction of the trustee;</w:t>
      </w:r>
    </w:p>
    <w:p>
      <w:pPr>
        <w:spacing w:after="0" w:line="183"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Notes held by the Company, its subsidiaries or any other entity which is an obligor under the Notes, unless such Notes have been pledged in good faith and the pledgee is not the Company, an affiliate of the Company or an obligor under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Notes for which have undergone full defeasance, as described below; and</w:t>
      </w:r>
    </w:p>
    <w:p>
      <w:pPr>
        <w:spacing w:after="0" w:line="225" w:lineRule="exact"/>
        <w:rPr>
          <w:rFonts w:ascii="Arial" w:cs="Arial" w:eastAsia="Arial" w:hAnsi="Arial"/>
          <w:sz w:val="18"/>
          <w:szCs w:val="18"/>
          <w:color w:val="auto"/>
        </w:rPr>
      </w:pPr>
    </w:p>
    <w:p>
      <w:pPr>
        <w:ind w:left="760" w:hanging="320"/>
        <w:spacing w:after="0" w:line="308"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Notes which have been paid or exchanged for other Notes due to such Notes loss, destruction or mutilation, with the exception of any such Notes held by bona fide purchasers who have presented proof to the trustee that such Notes are valid obligations of the Company.</w:t>
      </w:r>
    </w:p>
    <w:p>
      <w:pPr>
        <w:spacing w:after="0" w:line="146"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We will generally be entitled to set any day as a record date for the purpose of determining the holders of the Notes that are entitled to vote or take other action under the indenture, and the trustee will generally be entitled to set any day as a record date for the purpose of determining the holders of the Notes that are entitled to join in the giving or making of any Notice of Default, any declaration of acceleration of maturity of the Notes, any request to institute proceedings or the reversal of such declaration. If we or the trustee set a record date for a vote or other action to be taken by the holders of the Notes, that vote or action can only be taken by persons who are holders of the Notes on the record date and, unless otherwise specified, such vote or action</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must take place on or prior to the 180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after the record date. We may change the record date at our option, and we will provide written notice to the trustee and to each holder of the Notes of any such change of record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following defeasance provisions will be applicable to the Notes. “Defeasance” means that, by irrevocably depositing with the trustee an amount of cash denominated in U.S. dollars and/or U.S. government obligations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The consequences to the holders of the Notes would be that, while they would no longer benefit from certain covenants under the indenture, and while the Notes could not be accelerated for any reason, the holders of the Notes nonetheless would be guaranteed to receive the principal and interest owed to them.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Under the indenture, we have the option to take the actions described below and be released from some of the restrictive covenants under the indenture under which the Notes were issued. This is called “covenant defeasance.” In that event, holders of the Notes would lose the protection of those restrictive covenants but would gain the protection of having money and government securities set aside in trust to repay the Notes. In order to achieve covenant defeasance, the following must occur:</w:t>
      </w:r>
    </w:p>
    <w:p>
      <w:pPr>
        <w:spacing w:after="0" w:line="187" w:lineRule="exact"/>
        <w:rPr>
          <w:sz w:val="20"/>
          <w:szCs w:val="20"/>
          <w:color w:val="auto"/>
        </w:rPr>
      </w:pPr>
    </w:p>
    <w:p>
      <w:pPr>
        <w:jc w:val="both"/>
        <w:ind w:left="760" w:hanging="320"/>
        <w:spacing w:after="0" w:line="259"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ind w:left="760" w:hanging="320"/>
        <w:spacing w:after="0" w:line="263"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under U.S. federal income tax law, we may make the above deposit and covenant defeasance without causing holders to be taxed on the Notes differently than if we did not make the deposit and we just repaid the debt securities ourselves at maturity;</w:t>
      </w:r>
    </w:p>
    <w:p>
      <w:pPr>
        <w:spacing w:after="0" w:line="183"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stating that the Notes, if then listed on any securities exchange, will not be delisted as a result of the deposit;</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covenant defeasance must not cause the trustee to have a conflicting interest within the meaning of the Trust Indenture Act;</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covenant defeasance must not result in a breach or violation of, or constitute a default under, the indenture or any other material agreements or instruments to which we are a party;</w:t>
      </w:r>
    </w:p>
    <w:p>
      <w:pPr>
        <w:spacing w:after="0" w:line="170" w:lineRule="exact"/>
        <w:rPr>
          <w:rFonts w:ascii="Arial" w:cs="Arial" w:eastAsia="Arial" w:hAnsi="Arial"/>
          <w:sz w:val="18"/>
          <w:szCs w:val="18"/>
          <w:color w:val="auto"/>
        </w:rPr>
      </w:pPr>
    </w:p>
    <w:p>
      <w:pPr>
        <w:ind w:left="760" w:right="20" w:hanging="320"/>
        <w:spacing w:after="0" w:line="342"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covenant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23" w:lineRule="exact"/>
        <w:rPr>
          <w:rFonts w:ascii="Arial" w:cs="Arial" w:eastAsia="Arial" w:hAnsi="Arial"/>
          <w:sz w:val="16"/>
          <w:szCs w:val="16"/>
          <w:color w:val="auto"/>
        </w:rPr>
      </w:pPr>
    </w:p>
    <w:p>
      <w:pPr>
        <w:ind w:left="76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and a legal opinion from our counsel stating that all conditions precedent with respect to the covenant defeasance have been complied 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If there is a change in U.S. federal income tax law, we can legally release ourselves from all payment and other obligations on the Notes if we take the following actions below:</w:t>
      </w:r>
    </w:p>
    <w:p>
      <w:pPr>
        <w:spacing w:after="0" w:line="170" w:lineRule="exact"/>
        <w:rPr>
          <w:sz w:val="20"/>
          <w:szCs w:val="20"/>
          <w:color w:val="auto"/>
        </w:rPr>
      </w:pPr>
    </w:p>
    <w:p>
      <w:pPr>
        <w:jc w:val="both"/>
        <w:ind w:left="760" w:hanging="320"/>
        <w:spacing w:after="0" w:line="259"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86"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there has been a change to the current U.S. federal income tax law or an Internal Revenue Service ruling that allows us to make the above deposit without causing holders to be taxed on the Notes any differently than if we did not make the deposit and we just repaid the debt securities ourselves at maturity;</w:t>
      </w:r>
    </w:p>
    <w:p>
      <w:pPr>
        <w:spacing w:after="0" w:line="183"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stating that the Notes, if then listed on any securities exchange, will not be delisted as a result of the deposit;</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full defeasance must not cause the trustee to have a conflicting interest within the meaning of the Trust Indenture Act;</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full defeasance must not result in a breach or violation of, or constitute a default under, the indenture or any other material agreements or instruments to which we are a party;</w:t>
      </w:r>
    </w:p>
    <w:p>
      <w:pPr>
        <w:spacing w:after="0" w:line="170" w:lineRule="exact"/>
        <w:rPr>
          <w:rFonts w:ascii="Arial" w:cs="Arial" w:eastAsia="Arial" w:hAnsi="Arial"/>
          <w:sz w:val="18"/>
          <w:szCs w:val="18"/>
          <w:color w:val="auto"/>
        </w:rPr>
      </w:pPr>
    </w:p>
    <w:p>
      <w:pPr>
        <w:ind w:left="760" w:right="20" w:hanging="320"/>
        <w:spacing w:after="0" w:line="342"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full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23" w:lineRule="exact"/>
        <w:rPr>
          <w:rFonts w:ascii="Arial" w:cs="Arial" w:eastAsia="Arial" w:hAnsi="Arial"/>
          <w:sz w:val="16"/>
          <w:szCs w:val="16"/>
          <w:color w:val="auto"/>
        </w:rPr>
      </w:pPr>
    </w:p>
    <w:p>
      <w:pPr>
        <w:ind w:left="76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and a legal opinion from our counsel stating that all conditions precedent with respect to the full defeasance have been complied with.</w:t>
      </w:r>
    </w:p>
    <w:p>
      <w:pPr>
        <w:spacing w:after="0" w:line="170"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In the event that the trustee is unable to apply the funds held in trust to the payment of obligations under the Notes by reason of a court order or governmental injunction or prohibition, then those of our obligations discharged under the full defeasance or covenant defeasance will be revived and reinstated as though no deposit of funds had occurred, until such time as the trustee is permitted to apply all funds held in trust under the procedure described above may be applied to the payment of obligations under the Notes. However, if we make any payment of principal or interest on the Notes to the holders, we will be subrogated to the rights of the holders to receive such payment from the money so held in trust.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existing notes are listed, and the new Notes are expected to be listed, on NASDAQ under the symbol “HROWL”. The Notes are expected to trade “flat,” meaning that purchasers will not pay and sellers will not receive any accrued and unpaid interest on the Notes that is not included in the trading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is, and the Notes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Notes; Book-Entry Issuance</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Notes will be issued in the form of one or more global certificates, or Global Notes, registered in the name of The Depository Trust Company, or DTC. DTC has informed us that its nominee will be Cede &amp; Co. Accordingly, we expect Cede &amp; Co. to be the initial registered holder of the Notes. No person that acquires a beneficial interest in the Notes will be entitled to receive a certificate representing that person’s interest in the Notes except as described herein. Unless and until definitive securities are issued under the limited circumstances described below, all references to actions by holders of the Notes will refer to actions taken by DTC upon instructions from its participants, and all references to payments and notices to holders will refer to payments and notices to DTC or Cede &amp; Co., as the registered holder of these securities.</w:t>
      </w:r>
    </w:p>
    <w:p>
      <w:pPr>
        <w:spacing w:after="0" w:line="17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DTC has informed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an S&amp;P rating of AA+. The DTC Rules applicable to its participants are on file with the SEC. More information about DTC can be found at </w:t>
      </w:r>
      <w:r>
        <w:rPr>
          <w:rFonts w:ascii="Arial" w:cs="Arial" w:eastAsia="Arial" w:hAnsi="Arial"/>
          <w:sz w:val="18"/>
          <w:szCs w:val="18"/>
          <w:i w:val="1"/>
          <w:iCs w:val="1"/>
          <w:color w:val="auto"/>
        </w:rPr>
        <w:t>www.dtcc.com</w:t>
      </w:r>
      <w:r>
        <w:rPr>
          <w:rFonts w:ascii="Arial" w:cs="Arial" w:eastAsia="Arial" w:hAnsi="Arial"/>
          <w:sz w:val="18"/>
          <w:szCs w:val="18"/>
          <w:color w:val="auto"/>
        </w:rPr>
        <w:t>.</w:t>
      </w:r>
    </w:p>
    <w:p>
      <w:pPr>
        <w:spacing w:after="0" w:line="18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Purchases of the Notes under the DTC system must be made by or through Direct Participants, which will receive a credit for the Notes on DTC’s records. The ownership interest of each actual purchaser of each Note,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w:t>
      </w:r>
    </w:p>
    <w:p>
      <w:pPr>
        <w:spacing w:after="0" w:line="166"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w:t>
      </w:r>
    </w:p>
    <w:p>
      <w:pPr>
        <w:spacing w:after="0" w:line="16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firstLine="432"/>
        <w:spacing w:after="0" w:line="277" w:lineRule="auto"/>
        <w:rPr>
          <w:sz w:val="20"/>
          <w:szCs w:val="20"/>
          <w:color w:val="auto"/>
        </w:rPr>
      </w:pPr>
      <w:r>
        <w:rPr>
          <w:rFonts w:ascii="Arial" w:cs="Arial" w:eastAsia="Arial" w:hAnsi="Arial"/>
          <w:sz w:val="18"/>
          <w:szCs w:val="18"/>
          <w:color w:val="auto"/>
        </w:rPr>
        <w:t>Redemption notices will be sent to DTC. If less than all of the Notes are being redeemed, DTC’s practice is to determine by lot the amount of the interest of each Direct Participant in the Notes to be redeemed.</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spacing w:after="0" w:line="18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the applicable trustee or depositary on the payment date in accordance with their respective holdings shown on DTC’s records. Payments by Participants to Beneficial Owners will be governed by standing instructions and customary practices, as is the case with the Notes held for the accounts of customers in bearer form or registered in “street name,” and will be the responsibility of such Participant and not of DTC nor its nominee, the applicable trustee or depositary,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applicable trustee or depositary. Disbursement of such payments to Direct Participants will be the responsibility of DTC, and disbursement of such payments to the Beneficial Owners will be the responsibility of Direct and Indirect Participants.</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None of the Company, the trustee, any depositary, or any agent of any of them will have any responsibility or liability for any aspect of DTC’s or any participant’s records relating to, or for payments made on account of, beneficial interests in a Global Note, or for maintaining, supervising or reviewing any records relating to such beneficial interests.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a Global Note</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a Global Note is terminated for any reason, interest in it will be exchanged for certificates in non-book-entry form as certificated securities. After such exchange, the choice of whether to hold the certificated Notes directly or in street name will be up to the investor. Investors must consult their own banks or brokers to find out how to have their interests in a Global Note transferred on termination to their own names, so that they will be holders of the Notes. See “— Form, Exchange and Transfer of Certificated Registered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will pay interest to the person listed in the trustee’s records as the owner of the Notes at the close of business on the record date for the applicable interest payment date, even if that person no longer owns the Note on the interest payment date. Because we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on Global Notes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will make payments on the Notes so long as they are represented by Global Notes in accordance with the applicable policies of the depositary in effect from time to time. Under those policies, we will make payments directly to the depositary, or its nominee, and not to any indirect holders who own beneficial interest in the Global Notes. An indirect holder’s right to those payments will be governed by the rules and practices of the depositary and its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on Certificated Securities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the event the Notes become represented by certificates, we will make payments on the Notes as follows. We will pay interest that is due on an interest payment date by check mailed on the interest payment date to the holder of the Note at his or her address shown on the trustee’s records as of the close of business on the record date. We will make all payments of principal by check at the office of the trustee in the contiguous United States and/or at other offices that may be specified in the indenture or a notice to holders against surrender of the Note.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Payment When Offices Are Closed</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Book-entry and other indirect holders should consult their banks or brokers for information on how they will receive payments on the Notes.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248" w:lineRule="exact"/>
        <w:rPr>
          <w:sz w:val="20"/>
          <w:szCs w:val="20"/>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DTC notified us at any time that it is unwilling or unable to continue as depositary for the Global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DTC ceases to be registered as a clearing agency under the Exchange Act;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Event of Default with respect to such Global Note has occurred and is continuing.</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 trustee. We have appointed the trustee to act as our agent for registering the Notes in the name of holders transferring Notes. We may at any time designate additional transfer agents or rescind the designation of any transfer agent or approve a change in the office through which any transfer agent acts.</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Holders will not be required to pay a service charge for any registration of transfer or exchange of their certificated securities, but they may be required to pay any tax or other governmental charge associated with the registration of transfer or exchange. The transfer or exchange will be made only if our transfer agent is satisfied with the holder’s proof of legal ownership.</w:t>
      </w:r>
    </w:p>
    <w:p>
      <w:pPr>
        <w:spacing w:after="0" w:line="1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we redeem any of the Notes, we may block the transfer or exchange of those Notes selected for redemption during the period beginning 15 days before the day we mail the notice of redemption and ending on the day of that mailing, in order to determine or fix the list of holders to prepare the mailing. We may also refuse to register transfer or exchanges of any certificated Notes selected for redemption, except that we will continue to permit transfers and exchanges of the unredeemed portion of any Note that will be partially redeemed.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Trustee</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U.S. Bank National Association will be the trustee under the indenture and will be the principal paying agent and registrar for the Notes. The trustee may resign or be removed with respect to the Notes provided that a successor trustee is appointed to act with respect to the Notes.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29"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following is a summary of the material U.S. federal income tax consequences of the acquisition, ownership, and disposition of the Notes that we are offering. The following discussion is not exhaustive of all possible tax considerations. This summary is based upon of the Internal Revenue Code of 1986, as amended, or the Code, regulations promulgated under the Code by the U.S. Treasury Department (including proposed and temporary regulations), rulings, current administrative interpretations and official pronouncements of the Internal Revenue Service, or the IRS, and judicial decisions, all as currently in effect and all of which are subject to differing interpretations or to change, possibly with retroactive effect. Such change could materially and adversely affect the tax consequences described below. No assurance can be given that the IRS would not assert, or that a court would not sustain, a position contrary to any of the tax consequences described below.</w:t>
      </w:r>
    </w:p>
    <w:p>
      <w:pPr>
        <w:spacing w:after="0" w:line="17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This summary is for general information only, and does not address all aspects of U.S. federal income taxation that may be important to a particular holder in light of its investment or tax circumstances or to holders subject to special tax rules, such as pass-through entities (including partnerships and other entities and arrangements classified as partnerships for U.S. federal income tax purposes and S corporations) and beneficial owners of such pass-through entities, banks, financial institutions, tax-exempt entities, insurance companies, regulated investment companies, real estate investment trusts, trusts and estates, dealers in stocks, securities or currencies, traders in securities that have elected to use the mark-to-market method of accounting for their securities, persons holding the Notes as part of an integrated transaction, including a “straddle,” “hedge,” “constructive sale,” or “conversion transaction,” U.S. Holders (as defined below) whose functional currency for tax purposes (as defined in Section 985 of the Code) is not the U.S. dollar, holders subject to Section 451(b) of the Code, and individuals subject to the alternative minimum tax provisions of the Code. This summary does not address the effects of other U.S. federal tax laws (such as estate and gift tax laws) or the tax laws of any state or local governments, or of any foreign government, that may be applicable to a particular holder.</w:t>
      </w:r>
    </w:p>
    <w:p>
      <w:pPr>
        <w:spacing w:after="0" w:line="185"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This summary is directed solely to holders that, except as otherwise specifically noted, will purchase the Notes offered in this prospectus supplement upon original issuance for the “issue price” (</w:t>
      </w:r>
      <w:r>
        <w:rPr>
          <w:rFonts w:ascii="Arial" w:cs="Arial" w:eastAsia="Arial" w:hAnsi="Arial"/>
          <w:sz w:val="16"/>
          <w:szCs w:val="16"/>
          <w:i w:val="1"/>
          <w:iCs w:val="1"/>
          <w:color w:val="auto"/>
        </w:rPr>
        <w:t>i.e.</w:t>
      </w:r>
      <w:r>
        <w:rPr>
          <w:rFonts w:ascii="Arial" w:cs="Arial" w:eastAsia="Arial" w:hAnsi="Arial"/>
          <w:sz w:val="16"/>
          <w:szCs w:val="16"/>
          <w:color w:val="auto"/>
        </w:rPr>
        <w:t>, the first price at which a substantial amount of the Notes is sold for money to persons, other than to bond houses, brokers or similar persons or organizations acting in the capacity of the underwriters, placement agents or wholesalers) for cash and will hold such securities as capital assets within the meaning of Section 1221 of the Code, which generally means as property held for investment.</w:t>
      </w:r>
    </w:p>
    <w:p>
      <w:pPr>
        <w:spacing w:after="0" w:line="153"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6"/>
          <w:szCs w:val="16"/>
          <w:b w:val="1"/>
          <w:bCs w:val="1"/>
          <w:color w:val="auto"/>
        </w:rPr>
        <w:t>This summary is not a comprehensive description of all of the U.S. federal tax consequences that may be relevant with respect to the acquisition, ownership and disposition of the Notes. We urge you to consult your own tax advisor regarding your particular circumstances and the U.S. federal tax consequences to you of acquiring, owning and disposing of these securities, as well as any tax consequences arising under the laws of any state, local, foreign, or other tax jurisdiction and the possible effects of changes in U.S. federal or other tax laws.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used in this prospectus supplement, the term “U.S. Holder” means a beneficial owner of Notes that is for U.S. federal income tax purposes:</w:t>
      </w:r>
    </w:p>
    <w:p>
      <w:pPr>
        <w:spacing w:after="0" w:line="237" w:lineRule="exact"/>
        <w:rPr>
          <w:sz w:val="20"/>
          <w:szCs w:val="20"/>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of any state of the United States or the District of Columbia;</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United States persons have the authority to control all substantial decisions of the trust; or</w:t>
      </w:r>
    </w:p>
    <w:p>
      <w:pPr>
        <w:spacing w:after="0" w:line="170"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(a) if a court within the United States is able to exercise primary supervision over the administration of the trust and one or more United States persons have the authority to control all substantial decisions of the trust, or (b) that was in existence on August 20, 1996 and that has a valid election in effect under applicable Treasury regulations to be treated as a United States person.</w:t>
      </w:r>
    </w:p>
    <w:p>
      <w:pPr>
        <w:spacing w:after="0" w:line="18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used in this prospectus supplement, the term “Non-U.S. Holder” is a beneficial owner of the Notes (other than a partnership or other entity or arrangement taxable as a partnership) that is not a U.S. Holder.</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an entity or arrangement treated as a partnership for U.S. federal income tax purposes holds the Notes offered in this prospectus supplement, the U.S. federal income tax treatment of a partner generally will depend upon the status of the partner, the activities of the partnership and certain determinations made at the partner level; accordingly, as provided above, this summary does not apply to partnerships. A partner of a partnership holding the Notes should consult its own tax advisor regarding the U.S. federal income tax consequences to the partner of the acquisition, ownership and disposition of the Notes by the partnership.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Qualified Reopening</w:t>
      </w:r>
    </w:p>
    <w:p>
      <w:pPr>
        <w:spacing w:after="0" w:line="225"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We anticipate that the issuance of the Notes will be treated as a “qualified reopening” of the existing notes for U.S. federal income tax purposes. Debt instruments issued in a qualified reopening are deemed to be part of the same issue as the original debt instruments. If the issuance of the Notes is so treated, then the Notes will have the same issue date, the same issue price and the same adjusted issue price as the existing notes for U.S. federal income tax purposes. In order for the issuance of the Notes to be considered part of a “qualified reopening” of the existing notes, various factual requirements must be satisfied. The remainder of this discussion assumes that the issuance of the Notes will be treated as a qualified reopening of the existing notes.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U.S. 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material U.S. federal income tax consequences that will apply to U.S. Holders of the Notes.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Payment of Interest</w:t>
      </w:r>
      <w:r>
        <w:rPr>
          <w:rFonts w:ascii="Arial" w:cs="Arial" w:eastAsia="Arial" w:hAnsi="Arial"/>
          <w:sz w:val="18"/>
          <w:szCs w:val="18"/>
          <w:color w:val="auto"/>
        </w:rPr>
        <w:t>. It is expected, and this discussion assumes, that either the issue price of the Notes will equal the stated principal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Notes or the Notes will be issued with less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“original issue discount” for U.S. federal income tax purposes. Accordingly, payments of stated interest on a Note (other than any pre-issuance accrued interest described below) generally will be included in the income of a U.S. Holder as ordinary interest income at the time it is accrued or is received in accordance with the U.S. Holder’s regular method of accounting for U.S. federal income tax purposes.</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Pre-Issuance Accrued Interest</w:t>
      </w:r>
      <w:r>
        <w:rPr>
          <w:rFonts w:ascii="Arial" w:cs="Arial" w:eastAsia="Arial" w:hAnsi="Arial"/>
          <w:sz w:val="18"/>
          <w:szCs w:val="18"/>
          <w:color w:val="auto"/>
        </w:rPr>
        <w:t>. A portion of the price paid for the Notes may be allocable to unpaid interest that accrued prior to the date such Notes</w:t>
      </w:r>
      <w:r>
        <w:rPr>
          <w:rFonts w:ascii="Arial" w:cs="Arial" w:eastAsia="Arial" w:hAnsi="Arial"/>
          <w:sz w:val="18"/>
          <w:szCs w:val="18"/>
          <w:i w:val="1"/>
          <w:iCs w:val="1"/>
          <w:color w:val="auto"/>
        </w:rPr>
        <w:t xml:space="preserve"> </w:t>
      </w:r>
      <w:r>
        <w:rPr>
          <w:rFonts w:ascii="Arial" w:cs="Arial" w:eastAsia="Arial" w:hAnsi="Arial"/>
          <w:sz w:val="18"/>
          <w:szCs w:val="18"/>
          <w:color w:val="auto"/>
        </w:rPr>
        <w:t>are sold pursuant to this offering (“pre-issuance accrued interest”). We intend to treat a portion of the first stated interest payment on the Notes in an amount equal to the pre-issuance accrued interest as a return of the pre-issuance accrued interest and not as an amount payable on such Notes. Amounts treated as a return of the pre-issuance accrued interest should not be taxable to a U.S. Holder when received but should reduce the U.S. Holder’s tax basis in the Notes by a corresponding amount. Prospective purchasers of Notes should consult their tax advisors with respect to the tax treatment of pre-issuance accrued interest.</w:t>
      </w:r>
    </w:p>
    <w:p>
      <w:pPr>
        <w:spacing w:after="0" w:line="192"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i w:val="1"/>
          <w:iCs w:val="1"/>
          <w:color w:val="auto"/>
        </w:rPr>
        <w:t xml:space="preserve">Sale, Exchange, or Retirement of Notes. </w:t>
      </w:r>
      <w:r>
        <w:rPr>
          <w:rFonts w:ascii="Arial" w:cs="Arial" w:eastAsia="Arial" w:hAnsi="Arial"/>
          <w:sz w:val="16"/>
          <w:szCs w:val="16"/>
          <w:color w:val="auto"/>
        </w:rPr>
        <w:t>Upon the sale, exchange, retirement, or other disposition of a Note, a U.S. Holder will recognize gain or loss</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the difference between the amount realized upon the sale, exchange, retirement or other disposition and the U.S. Holder’s adjusted tax basis in the Note. The amount realized by the U.S. Holder will include the amount of any cash and the fair market value of any other property received for the Note, but will exclude amounts attributable to accrued but unpaid interest (other than any pre-issuance accrued interest described above) which will be treated as described above under “Payments of Interest.” A U.S. Holder’s adjusted tax basis in a Note will generally be the cost of the Note to such U.S. Holder.</w:t>
      </w:r>
    </w:p>
    <w:p>
      <w:pPr>
        <w:spacing w:after="0" w:line="161"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Gain or loss realized on the sale, exchange, retirement, or other disposition of a Note generally will be capital gain or loss, and will be long-term capital gain or loss if the Note has been held by the U.S. Holder for more than one year. Net long-term capital gain recognized by an individual U.S. Holder is generally taxed at preferential rates. The ability of U.S. Holders to deduct capital losses is subject to limitations under the Code.</w:t>
      </w:r>
    </w:p>
    <w:p>
      <w:pPr>
        <w:spacing w:after="0" w:line="16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Additional Medicare Tax on Unearned Income. </w:t>
      </w:r>
      <w:r>
        <w:rPr>
          <w:rFonts w:ascii="Arial" w:cs="Arial" w:eastAsia="Arial" w:hAnsi="Arial"/>
          <w:sz w:val="18"/>
          <w:szCs w:val="18"/>
          <w:color w:val="auto"/>
        </w:rPr>
        <w:t>Certain U.S. Holders, including individuals, estates and trusts, are subject to an additional 3.8%</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 tax on unearned income. For individual U.S. Holders,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the deductions that are allocable to such income. Investment income generally includes passive income such as interest and capital gains. U.S. Holders are urged to consult their own tax advisors regarding the implications of the additional Medicare tax resulting from an investment in the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Non-U.S. 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material U.S. federal income tax consequences that will apply to Non-U.S. Holders of a Note.</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Payments of Interest</w:t>
      </w:r>
      <w:r>
        <w:rPr>
          <w:rFonts w:ascii="Arial" w:cs="Arial" w:eastAsia="Arial" w:hAnsi="Arial"/>
          <w:sz w:val="18"/>
          <w:szCs w:val="18"/>
          <w:color w:val="auto"/>
        </w:rPr>
        <w:t>. Except as discussed below, principal and interest payments that are received from us and that are not effectively connected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conduct by the Non-U.S. Holder of a trade or business within the United States, or a permanent establishment maintained in the United States if certain tax treaties apply, generally will not be subject to U.S. federal income or withholding tax, except as provided below. Interest may be subject to a 30% withholding tax (or less under an applicable treaty, if any) if:</w:t>
      </w:r>
    </w:p>
    <w:p>
      <w:pPr>
        <w:spacing w:after="0" w:line="187" w:lineRule="exact"/>
        <w:rPr>
          <w:sz w:val="20"/>
          <w:szCs w:val="20"/>
          <w:color w:val="auto"/>
        </w:rPr>
      </w:pPr>
    </w:p>
    <w:p>
      <w:pPr>
        <w:ind w:left="760" w:hanging="320"/>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Non-U.S. Holder actually or constructively owns 10% or more of the total combined voting power of all classes of our stock entitled to vote;</w:t>
      </w:r>
    </w:p>
    <w:p>
      <w:pPr>
        <w:spacing w:after="0" w:line="248" w:lineRule="exact"/>
        <w:rPr>
          <w:rFonts w:ascii="Arial" w:cs="Arial" w:eastAsia="Arial" w:hAnsi="Arial"/>
          <w:sz w:val="16"/>
          <w:szCs w:val="16"/>
          <w:color w:val="auto"/>
        </w:rPr>
      </w:pPr>
    </w:p>
    <w:p>
      <w:pPr>
        <w:ind w:left="760" w:hanging="320"/>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Non-U.S. Holder is a “controlled foreign corporation” for U.S. federal income tax purposes that is related to us (directly or indirectly) through stock ownership;</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Non-U.S. Holder is a bank extending credit pursuant to a loan agreement entered into in the ordinary course of its trade or business (as described in Section 881(c)(3)(A) of the Code); or</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Non-U.S. Holder does not satisfy the certification requirements described below.</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the case of the Notes, a Non-U.S. Holder generally will satisfy the certification requirements if either: (A) the Non-U.S. Holder certifies to us, under penalties of perjury, that it is not a “United States person” (within the meaning of the Code) and provides its name and address (which certification may generally be made on an IRS Form W-8BEN, IRS Form W-8BEN-E or other applicable U.S. nonresident withholding tax certification form), or (B) a securities clearing organization, bank, or other financial institution that holds customer securities in the ordinary course of its trade or business (a “financial institution”) and holds the Note certifies to us under penalties of perjury that either it or another financial institution has received the required statement from the Non-U.S. Holder certifying that it is not a United States person and furnishes us with a copy of the statement.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713" w:gutter="0" w:footer="0" w:header="0"/>
        </w:sectPr>
      </w:pPr>
    </w:p>
    <w:bookmarkStart w:id="26" w:name="page27"/>
    <w:bookmarkEnd w:id="26"/>
    <w:p>
      <w:pPr>
        <w:jc w:val="both"/>
        <w:ind w:firstLine="432"/>
        <w:spacing w:after="0" w:line="289" w:lineRule="auto"/>
        <w:rPr>
          <w:sz w:val="20"/>
          <w:szCs w:val="20"/>
          <w:color w:val="auto"/>
        </w:rPr>
      </w:pPr>
      <w:r>
        <w:rPr>
          <w:rFonts w:ascii="Arial" w:cs="Arial" w:eastAsia="Arial" w:hAnsi="Arial"/>
          <w:sz w:val="16"/>
          <w:szCs w:val="16"/>
          <w:color w:val="auto"/>
        </w:rPr>
        <w:t>Except as discussed below, payments not meeting the requirements set forth above and thus subject to withholding of U.S. federal income tax may nevertheless be exempt from withholding (or subject to withholding at a reduced rate) if the Non-U.S. Holder provides us with a properly executed IRS Form W-8BEN, Form W-8BEN-E, or other applicable U.S. nonresident withholding tax certification form, claiming an exemption from, or reduction in, withholding under the benefit of a tax treaty, or IRS Form W-8ECI (or other applicable form) stating that interest paid on the Notes is not subject to withholding tax because it is effectively connected with the conduct of a trade or business within the United States as discussed below. These forms may be required to be updated periodically. To claim benefits under an income tax treaty, a Non-U.S. Holder must obtain a taxpayer identification number and certify as to its eligibility under the appropriate treaty’s limitations on benefits article. In addition, special rules may apply to claims for treaty benefits made by Non-U.S. Holders that are entities rather than individuals. A Non-U.S. Holder that is eligible for a reduced rate of U.S. federal withholding tax pursuant to an income tax treaty may obtain a refund of any excess amounts withheld by timely filing an appropriate claim for refund with the IRS.</w:t>
      </w:r>
    </w:p>
    <w:p>
      <w:pPr>
        <w:spacing w:after="0" w:line="16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Sale, Exchange, or Retirement of Note</w:t>
      </w:r>
      <w:r>
        <w:rPr>
          <w:rFonts w:ascii="Arial" w:cs="Arial" w:eastAsia="Arial" w:hAnsi="Arial"/>
          <w:sz w:val="17"/>
          <w:szCs w:val="17"/>
          <w:color w:val="auto"/>
        </w:rPr>
        <w:t>. Except as discussed below, a Non-U.S. Holder generally will not be subject to U.S. federal income or</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tax on any capital gain or market discount realized on the sale, exchange, retirement or other disposition of Notes, provided that: (a) the gain is not effectively connected with the conduct of a trade or business within the United States, or a permanent establishment maintained in the United States if certain tax treaties apply, and (b) in the case of a Non-U.S. Holder that is an individual, the Non-U.S. Holder is not present in the United States for 183 days or more in the taxable year of the sale, exchange or other disposition of the Note. An individual Non-U.S. Holder who is present in the United States for 183 days or more in the taxable year of sale, exchange or other disposition of a Note, and if certain other conditions are met, will be subject to U.S. federal income tax at a rate of 30% on the gain realized on the sale, exchange or other disposition of such Note.</w:t>
      </w:r>
    </w:p>
    <w:p>
      <w:pPr>
        <w:spacing w:after="0" w:line="17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i w:val="1"/>
          <w:iCs w:val="1"/>
          <w:color w:val="auto"/>
        </w:rPr>
        <w:t>Income Effectively Connected with a Trade or Business within the United States</w:t>
      </w:r>
      <w:r>
        <w:rPr>
          <w:rFonts w:ascii="Arial" w:cs="Arial" w:eastAsia="Arial" w:hAnsi="Arial"/>
          <w:sz w:val="16"/>
          <w:szCs w:val="16"/>
          <w:color w:val="auto"/>
        </w:rPr>
        <w:t>. If a Non-U.S. Holder of a Note is engaged in the conduct of a trade</w:t>
      </w:r>
      <w:r>
        <w:rPr>
          <w:rFonts w:ascii="Arial" w:cs="Arial" w:eastAsia="Arial" w:hAnsi="Arial"/>
          <w:sz w:val="16"/>
          <w:szCs w:val="16"/>
          <w:i w:val="1"/>
          <w:iCs w:val="1"/>
          <w:color w:val="auto"/>
        </w:rPr>
        <w:t xml:space="preserve"> </w:t>
      </w:r>
      <w:r>
        <w:rPr>
          <w:rFonts w:ascii="Arial" w:cs="Arial" w:eastAsia="Arial" w:hAnsi="Arial"/>
          <w:sz w:val="16"/>
          <w:szCs w:val="16"/>
          <w:color w:val="auto"/>
        </w:rPr>
        <w:t>or business within the United States and if interest on the Note, or gain realized on the sale, exchange or other disposition of the Note, is effectively connected with the conduct of such trade or business (and, if certain tax treaties apply, is attributable to a permanent establishment maintained by the Non-U.S. Holder in the United States), the Non-U.S. Holder, although exempt from U.S. federal withholding tax (provided that the certification requirements discussed above are satisfied), will generally be subject to U.S. federal income tax on such interest or gain on a net income basis in the same manner as if it were a U.S. Holder. Non-U.S. Holders should read the material under the heading “— Consequences to U.S. Holders,” for a description of the U.S. federal income tax consequences of acquiring, owning, and disposing of a Note. In addition, if such Non-U.S. Holder is a foreign corporation, it may also be subject to a branch profits tax equal to 30% (or such lower rate provided by an applicable U.S. income tax treaty) of all or a portion of its earnings and profits for the taxable year that are effectively connected with its conduct of a trade or business in the United States, subject to certain adjustments.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general, information returns will be filed annually with the IRS and provided to each U.S. Holder that is not an “exempt recipient” in connection with any interest payments on the Notes and the proceeds from a sale or other disposition of the Notes. In addition, a U.S. Holder may be subject to backup withholding (currently at the rate of 24%) on payments of these amounts unless the U.S. Holder provides a correct taxpayer identification number, or TIN, and certifies, under penalties of perjury, that it is a U.S. person, the TIN is correct (or that the U.S. Holder is awaiting a TIN) and the U.S. Holder either (a) is exempt from backup withholding, (b) has not been informed by the IRS that backup withholding is required due to a prior underreporting of interest or dividends or (c) has been informed by the IRS that backup withholding is no longer required. Non-U.S. Holders generally are exempt from information reporting and backup withholding, provided, if necessary, that they demonstrate their qualification for exemption by providing a properly executed IRS Form W-8BEN, Form W-8BEN-E, or other applicable tax certification form. U.S. Holders should consult their own tax advisors as to their qualification for exemption from backup withholding and the procedure for obtaining such exemption. Backup withholding is not an additional tax. Any amounts withheld under the backup withholding rules from a payment to a holder generally would be allowed as a refund or a credit against such holder’s U.S. federal income tax provided the required information is timely furnished to the IRS.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provisions of the Code, known as the Foreign Account Tax Compliance Act, or FATCA, impose a 30% U.S. withholding tax on certain U.S. source payments, including interest and dividends, if paid to a foreign financial institution (including amounts paid to a foreign financial institution on behalf of a holder), unless (i) such institution enters into an agreement with the U.S. Treasury Department to collect and provide to the U.S. Treasury Department certain information (that is in addition to and significantly more onerous than, the requirement to deliver an applicable U.S. nonresident withholding tax certification form (</w:t>
      </w:r>
      <w:r>
        <w:rPr>
          <w:rFonts w:ascii="Arial" w:cs="Arial" w:eastAsia="Arial" w:hAnsi="Arial"/>
          <w:sz w:val="16"/>
          <w:szCs w:val="16"/>
          <w:i w:val="1"/>
          <w:iCs w:val="1"/>
          <w:color w:val="auto"/>
        </w:rPr>
        <w:t>e.g</w:t>
      </w:r>
      <w:r>
        <w:rPr>
          <w:rFonts w:ascii="Arial" w:cs="Arial" w:eastAsia="Arial" w:hAnsi="Arial"/>
          <w:sz w:val="16"/>
          <w:szCs w:val="16"/>
          <w:color w:val="auto"/>
        </w:rPr>
        <w:t>., IRS Form W-8BEN), as discussed above) regarding U.S. financial account holders, including certain account holders that are foreign entities with U.S. owners, with such institution or (ii) such institution resides in a jurisdiction that has entered into an intergovernmental agreement, or IGA, with the United States to collect and share such information and are in compliance with the terms of such IGA and any enabling legislation or regulations. While existing U.S. Treasury regulations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FATCA also generally imposes a withholding tax of 30% on withholdable payments made to a non-financial foreign entity unless such entity provides the withholding agent with a certification that it does not have any substantial U.S. owners or a certification identifying the direct and indirect substantial U.S. owners of the entity. Depending on the status of a holder and the status of the intermediaries through which they hold their Notes, the holder could be subject to this 30% withholding tax with respect to interest paid on the Notes and potentially proceeds from the sale of the Notes to the extent treated as interest for U.S. federal income tax purposes. Under certain circumstances, a holder may be eligible for refunds or credits of such taxes.</w:t>
      </w:r>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If we determine withholding is appropriate with respect to the Notes, we will withhold tax at the applicable statutory rate, and we will not pay any additional amounts in respect of such withholding. Holders are urged to consult with their own tax advisors regarding the possible implications of FATCA on their investment in the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 Riley Securities, Inc., or BRS, is acting as joint book-running manager and representative of the underwriters named below. Subject to the terms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conditions set forth in an underwriting agreement between us and BRS, as representative of the underwriters named below dated , 2021, or the Underwriting Agreement, we have agreed to sell to the underwriters, and each of the underwriters has agreed, severally and not jointly, to purchase from us, the principal amount of Notes set forth opposite its name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Principal</w:t>
            </w:r>
          </w:p>
        </w:tc>
      </w:tr>
      <w:tr>
        <w:trPr>
          <w:trHeight w:val="241"/>
        </w:trPr>
        <w:tc>
          <w:tcPr>
            <w:tcW w:w="9000" w:type="dxa"/>
            <w:vAlign w:val="bottom"/>
          </w:tcPr>
          <w:p>
            <w:pPr>
              <w:spacing w:after="0"/>
              <w:rPr>
                <w:sz w:val="20"/>
                <w:szCs w:val="20"/>
                <w:color w:val="auto"/>
              </w:rPr>
            </w:pPr>
            <w:r>
              <w:rPr>
                <w:rFonts w:ascii="Arial" w:cs="Arial" w:eastAsia="Arial" w:hAnsi="Arial"/>
                <w:sz w:val="18"/>
                <w:szCs w:val="18"/>
                <w:b w:val="1"/>
                <w:bCs w:val="1"/>
                <w:color w:val="auto"/>
              </w:rPr>
              <w:t>Underwriter</w:t>
            </w:r>
          </w:p>
        </w:tc>
        <w:tc>
          <w:tcPr>
            <w:tcW w:w="220" w:type="dxa"/>
            <w:vAlign w:val="bottom"/>
          </w:tcPr>
          <w:p>
            <w:pPr>
              <w:spacing w:after="0"/>
              <w:rPr>
                <w:sz w:val="20"/>
                <w:szCs w:val="20"/>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Amount of Notes</w:t>
            </w:r>
          </w:p>
        </w:tc>
      </w:tr>
      <w:tr>
        <w:trPr>
          <w:trHeight w:val="216"/>
        </w:trPr>
        <w:tc>
          <w:tcPr>
            <w:tcW w:w="9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 Riley Securities, Inc.</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17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70"/>
        </w:trPr>
        <w:tc>
          <w:tcPr>
            <w:tcW w:w="9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Ladenburg Thalmann &amp; Co. Inc.</w:t>
            </w:r>
          </w:p>
        </w:tc>
        <w:tc>
          <w:tcPr>
            <w:tcW w:w="220" w:type="dxa"/>
            <w:vAlign w:val="bottom"/>
            <w:tcBorders>
              <w:bottom w:val="single" w:sz="8" w:color="CCEEFF"/>
            </w:tcBorders>
          </w:tcPr>
          <w:p>
            <w:pPr>
              <w:spacing w:after="0"/>
              <w:rPr>
                <w:sz w:val="23"/>
                <w:szCs w:val="23"/>
                <w:color w:val="auto"/>
              </w:rPr>
            </w:pPr>
          </w:p>
        </w:tc>
        <w:tc>
          <w:tcPr>
            <w:tcW w:w="1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r>
      <w:tr>
        <w:trPr>
          <w:trHeight w:val="223"/>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173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Notes sold under the Underwriting Agreement. These conditions include, among others, the continued accuracy of representations and warranties made by us in the Underwriting Agreement, delivery of legal opinions and the absence of any material changes in our assets, business or prospects after the date of this prospectus supplement.</w:t>
      </w:r>
    </w:p>
    <w:p>
      <w:pPr>
        <w:spacing w:after="0" w:line="18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several obligations of the underwriters under the Underwriting Agreement are conditional and may be terminated on the occurrence of certain stated events, including, in the event that at or prior to the closing of the offering: (i) trading in securities generally on the New York Stock Exchange or the Nasdaq Stock Market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SEC, by such exchange or market or by any other regulatory body or governmental authority having jurisdiction; (ii) a banking moratorium shall have been declared by United States federal or state authorities or a material disruption has occurred in commercial banking or securities settlement or clearance services in the United States; (iii)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or (iv) there shall have occurred such a material adverse change in general economic, political or financial conditions (or the effect of international conditions on the financial markets in the United States shall be such) as to make it, in the reasonable judgment of the underwriters, impracticable or inadvisable to proceed with the sale or delivery of the Notes on the terms and in the manner contemplated in this prospectus supplement.</w:t>
      </w:r>
    </w:p>
    <w:p>
      <w:pPr>
        <w:spacing w:after="0" w:line="17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have granted the underwriters the option to purchase up to an additional $ of Notes at the public offering price, less the underwriting discounts, or the Option. If any Notes are purchased pursuant to the Option, the underwriters will, severally but not jointly, purchase the Notes in approximately the same proportions as set forth in the above table. This prospectus supplement also qualifies the grant of the Option and the Notes issuable upon exercise thereof. A purchaser who acquires the Notes forming part of the underwriters’ Option acquires such Notes under this prospectus supplement, regardless of whether the position is ultimately filled through the exercise of the Option or secondary market purchases.</w:t>
      </w:r>
    </w:p>
    <w:p>
      <w:pPr>
        <w:spacing w:after="0" w:line="1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among other things, liabilities under the Securities Act or to contribute to payments the underwriters may be required to make in respect of those liabilities.</w:t>
      </w:r>
    </w:p>
    <w:p>
      <w:pPr>
        <w:sectPr>
          <w:pgSz w:w="11900" w:h="16838" w:orient="portrait"/>
          <w:cols w:equalWidth="0" w:num="1">
            <w:col w:w="11240"/>
          </w:cols>
          <w:pgMar w:left="320" w:top="661" w:right="339" w:bottom="1440" w:gutter="0" w:footer="0" w:header="0"/>
        </w:sectPr>
      </w:pP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expect to deliver the Note against payment for such notes on or about the pricing of the Notes (“T + 2”).</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2021, which will be the second business day following the date of</w:t>
      </w:r>
    </w:p>
    <w:p>
      <w:pPr>
        <w:spacing w:after="0" w:line="459" w:lineRule="exact"/>
        <w:rPr>
          <w:sz w:val="20"/>
          <w:szCs w:val="20"/>
          <w:color w:val="auto"/>
        </w:rPr>
      </w:pPr>
    </w:p>
    <w:p>
      <w:pPr>
        <w:sectPr>
          <w:pgSz w:w="11900" w:h="16838" w:orient="portrait"/>
          <w:cols w:equalWidth="0" w:num="2">
            <w:col w:w="5760" w:space="580"/>
            <w:col w:w="4900"/>
          </w:cols>
          <w:pgMar w:left="320" w:top="661"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Discounts and Expenses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representative has advised us that the underwriters propose initially to offer the Notes to the public at the public offering price and to dealers at</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that price less a concession not in excess of $ per Note. After the underwriters have made a reasonable effort to sell all of the Notes at the offering price, such offering price may be decreased and may be further changed from time to time to an amount not greater than the offering price set forth herein, and the compensation realized by the underwriters will effectively be decreased by the amount that the price paid by purchasers for the Notes is less than the original offering price. Any such reduction will not affect the net proceeds received by us. The underwriters reserve the right to withdraw, cancel or modify offers to the public and to reject orders in whole or in part.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29" w:name="page30"/>
    <w:bookmarkEnd w:id="29"/>
    <w:p>
      <w:pPr>
        <w:ind w:firstLine="432"/>
        <w:spacing w:after="0" w:line="277" w:lineRule="auto"/>
        <w:rPr>
          <w:sz w:val="20"/>
          <w:szCs w:val="20"/>
          <w:color w:val="auto"/>
        </w:rPr>
      </w:pPr>
      <w:r>
        <w:rPr>
          <w:rFonts w:ascii="Arial" w:cs="Arial" w:eastAsia="Arial" w:hAnsi="Arial"/>
          <w:sz w:val="18"/>
          <w:szCs w:val="18"/>
          <w:color w:val="auto"/>
        </w:rPr>
        <w:t>The following table shows the per share and total underwriting discount that we are to pay to the underwriters in connection with this offering. Such amounts are shown assuming both no exercise and full exercise of the Option.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Price to</w:t>
            </w: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Underwriting</w:t>
            </w:r>
          </w:p>
        </w:tc>
        <w:tc>
          <w:tcPr>
            <w:tcW w:w="1560" w:type="dxa"/>
            <w:vAlign w:val="bottom"/>
            <w:gridSpan w:val="2"/>
          </w:tcPr>
          <w:p>
            <w:pPr>
              <w:ind w:left="580"/>
              <w:spacing w:after="0"/>
              <w:rPr>
                <w:sz w:val="20"/>
                <w:szCs w:val="20"/>
                <w:color w:val="auto"/>
              </w:rPr>
            </w:pPr>
            <w:r>
              <w:rPr>
                <w:rFonts w:ascii="Arial" w:cs="Arial" w:eastAsia="Arial" w:hAnsi="Arial"/>
                <w:sz w:val="18"/>
                <w:szCs w:val="18"/>
                <w:b w:val="1"/>
                <w:bCs w:val="1"/>
                <w:color w:val="auto"/>
              </w:rPr>
              <w:t>Net</w:t>
            </w:r>
          </w:p>
        </w:tc>
      </w:tr>
      <w:tr>
        <w:trPr>
          <w:trHeight w:val="331"/>
        </w:trPr>
        <w:tc>
          <w:tcPr>
            <w:tcW w:w="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3"/>
          </w:tcPr>
          <w:p>
            <w:pPr>
              <w:jc w:val="right"/>
              <w:ind w:right="670"/>
              <w:spacing w:after="0" w:line="324" w:lineRule="exact"/>
              <w:rPr>
                <w:sz w:val="20"/>
                <w:szCs w:val="20"/>
                <w:color w:val="auto"/>
              </w:rPr>
            </w:pPr>
            <w:r>
              <w:rPr>
                <w:rFonts w:ascii="Arial" w:cs="Arial" w:eastAsia="Arial" w:hAnsi="Arial"/>
                <w:sz w:val="18"/>
                <w:szCs w:val="18"/>
                <w:b w:val="1"/>
                <w:bCs w:val="1"/>
                <w:color w:val="auto"/>
                <w:w w:val="92"/>
              </w:rPr>
              <w:t>the Public</w:t>
            </w:r>
            <w:r>
              <w:rPr>
                <w:rFonts w:ascii="Arial" w:cs="Arial" w:eastAsia="Arial" w:hAnsi="Arial"/>
                <w:sz w:val="29"/>
                <w:szCs w:val="29"/>
                <w:b w:val="1"/>
                <w:bCs w:val="1"/>
                <w:color w:val="auto"/>
                <w:w w:val="92"/>
                <w:vertAlign w:val="superscript"/>
              </w:rPr>
              <w:t>(1)</w:t>
            </w:r>
          </w:p>
        </w:tc>
        <w:tc>
          <w:tcPr>
            <w:tcW w:w="1620" w:type="dxa"/>
            <w:vAlign w:val="bottom"/>
            <w:gridSpan w:val="2"/>
          </w:tcPr>
          <w:p>
            <w:pPr>
              <w:ind w:left="120"/>
              <w:spacing w:after="0" w:line="323" w:lineRule="exact"/>
              <w:rPr>
                <w:sz w:val="20"/>
                <w:szCs w:val="20"/>
                <w:color w:val="auto"/>
              </w:rPr>
            </w:pPr>
            <w:r>
              <w:rPr>
                <w:rFonts w:ascii="Arial" w:cs="Arial" w:eastAsia="Arial" w:hAnsi="Arial"/>
                <w:sz w:val="18"/>
                <w:szCs w:val="18"/>
                <w:b w:val="1"/>
                <w:bCs w:val="1"/>
                <w:color w:val="auto"/>
              </w:rPr>
              <w:t>Discount</w:t>
            </w:r>
            <w:r>
              <w:rPr>
                <w:rFonts w:ascii="Arial" w:cs="Arial" w:eastAsia="Arial" w:hAnsi="Arial"/>
                <w:sz w:val="37"/>
                <w:szCs w:val="37"/>
                <w:b w:val="1"/>
                <w:bCs w:val="1"/>
                <w:color w:val="auto"/>
                <w:vertAlign w:val="superscript"/>
              </w:rPr>
              <w:t>(2)</w:t>
            </w:r>
          </w:p>
        </w:tc>
        <w:tc>
          <w:tcPr>
            <w:tcW w:w="1560" w:type="dxa"/>
            <w:vAlign w:val="bottom"/>
            <w:gridSpan w:val="2"/>
          </w:tcPr>
          <w:p>
            <w:pPr>
              <w:ind w:left="280"/>
              <w:spacing w:after="0" w:line="323" w:lineRule="exact"/>
              <w:rPr>
                <w:sz w:val="20"/>
                <w:szCs w:val="20"/>
                <w:color w:val="auto"/>
              </w:rPr>
            </w:pPr>
            <w:r>
              <w:rPr>
                <w:rFonts w:ascii="Arial" w:cs="Arial" w:eastAsia="Arial" w:hAnsi="Arial"/>
                <w:sz w:val="18"/>
                <w:szCs w:val="18"/>
                <w:b w:val="1"/>
                <w:bCs w:val="1"/>
                <w:color w:val="auto"/>
              </w:rPr>
              <w:t>Proceeds</w:t>
            </w:r>
            <w:r>
              <w:rPr>
                <w:rFonts w:ascii="Arial" w:cs="Arial" w:eastAsia="Arial" w:hAnsi="Arial"/>
                <w:sz w:val="37"/>
                <w:szCs w:val="37"/>
                <w:b w:val="1"/>
                <w:bCs w:val="1"/>
                <w:color w:val="auto"/>
                <w:vertAlign w:val="superscript"/>
              </w:rPr>
              <w:t>(3)</w:t>
            </w:r>
          </w:p>
        </w:tc>
      </w:tr>
      <w:tr>
        <w:trPr>
          <w:trHeight w:val="249"/>
        </w:trPr>
        <w:tc>
          <w:tcPr>
            <w:tcW w:w="60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Per Note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98"/>
        </w:trPr>
        <w:tc>
          <w:tcPr>
            <w:tcW w:w="6080" w:type="dxa"/>
            <w:vAlign w:val="bottom"/>
            <w:gridSpan w:val="3"/>
          </w:tcPr>
          <w:p>
            <w:pPr>
              <w:ind w:left="20"/>
              <w:spacing w:after="0" w:line="297" w:lineRule="exact"/>
              <w:rPr>
                <w:sz w:val="20"/>
                <w:szCs w:val="20"/>
                <w:color w:val="auto"/>
              </w:rPr>
            </w:pPr>
            <w:r>
              <w:rPr>
                <w:rFonts w:ascii="Arial" w:cs="Arial" w:eastAsia="Arial" w:hAnsi="Arial"/>
                <w:sz w:val="17"/>
                <w:szCs w:val="17"/>
                <w:color w:val="auto"/>
              </w:rPr>
              <w:t>Total</w:t>
            </w:r>
            <w:r>
              <w:rPr>
                <w:rFonts w:ascii="Arial" w:cs="Arial" w:eastAsia="Arial" w:hAnsi="Arial"/>
                <w:sz w:val="34"/>
                <w:szCs w:val="34"/>
                <w:b w:val="1"/>
                <w:bCs w:val="1"/>
                <w:color w:val="auto"/>
                <w:vertAlign w:val="superscript"/>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9380" w:type="dxa"/>
            <w:vAlign w:val="bottom"/>
            <w:gridSpan w:val="8"/>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25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8"/>
              </w:rPr>
              <w:t>On July 31, 2021, the next interest</w:t>
            </w:r>
          </w:p>
        </w:tc>
        <w:tc>
          <w:tcPr>
            <w:tcW w:w="6860" w:type="dxa"/>
            <w:vAlign w:val="bottom"/>
            <w:gridSpan w:val="7"/>
          </w:tcPr>
          <w:p>
            <w:pPr>
              <w:ind w:left="80"/>
              <w:spacing w:after="0"/>
              <w:rPr>
                <w:sz w:val="20"/>
                <w:szCs w:val="20"/>
                <w:color w:val="auto"/>
              </w:rPr>
            </w:pPr>
            <w:r>
              <w:rPr>
                <w:rFonts w:ascii="Arial" w:cs="Arial" w:eastAsia="Arial" w:hAnsi="Arial"/>
                <w:sz w:val="18"/>
                <w:szCs w:val="18"/>
                <w:color w:val="auto"/>
              </w:rPr>
              <w:t>payment date, we will pay interest on the new Notes from April 20, 2021.</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7760" w:type="dxa"/>
            <w:vAlign w:val="bottom"/>
            <w:gridSpan w:val="6"/>
          </w:tcPr>
          <w:p>
            <w:pPr>
              <w:ind w:left="80"/>
              <w:spacing w:after="0"/>
              <w:rPr>
                <w:sz w:val="20"/>
                <w:szCs w:val="20"/>
                <w:color w:val="auto"/>
              </w:rPr>
            </w:pPr>
            <w:r>
              <w:rPr>
                <w:rFonts w:ascii="Arial" w:cs="Arial" w:eastAsia="Arial" w:hAnsi="Arial"/>
                <w:sz w:val="18"/>
                <w:szCs w:val="18"/>
                <w:color w:val="auto"/>
                <w:w w:val="92"/>
              </w:rPr>
              <w:t>Pursuant to the terms of the Underwriting Agreement, the underwriters will receive a discount equal to $</w:t>
            </w: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per Note.</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After deducting the underwriting discount but before deducting expenses of the offering.</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Option is exercised in full, the total price to the public, underwriting discount and net proceeds to us (after deducting the underwriting discount</w:t>
      </w:r>
    </w:p>
    <w:p>
      <w:pPr>
        <w:spacing w:after="0" w:line="211" w:lineRule="exact"/>
        <w:rPr>
          <w:sz w:val="20"/>
          <w:szCs w:val="20"/>
          <w:color w:val="auto"/>
        </w:rPr>
      </w:pPr>
    </w:p>
    <w:p>
      <w:pPr>
        <w:ind w:left="380"/>
        <w:spacing w:after="0"/>
        <w:tabs>
          <w:tab w:leader="none" w:pos="5080" w:val="left"/>
          <w:tab w:leader="none" w:pos="5680" w:val="left"/>
          <w:tab w:leader="none" w:pos="6520" w:val="left"/>
        </w:tabs>
        <w:rPr>
          <w:sz w:val="20"/>
          <w:szCs w:val="20"/>
          <w:color w:val="auto"/>
        </w:rPr>
      </w:pPr>
      <w:r>
        <w:rPr>
          <w:rFonts w:ascii="Arial" w:cs="Arial" w:eastAsia="Arial" w:hAnsi="Arial"/>
          <w:sz w:val="18"/>
          <w:szCs w:val="18"/>
          <w:color w:val="auto"/>
        </w:rPr>
        <w:t>but before deducting estimated offering expenses) will be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and $</w:t>
      </w:r>
      <w:r>
        <w:rPr>
          <w:sz w:val="20"/>
          <w:szCs w:val="20"/>
          <w:color w:val="auto"/>
        </w:rPr>
        <w:tab/>
      </w:r>
      <w:r>
        <w:rPr>
          <w:rFonts w:ascii="Arial" w:cs="Arial" w:eastAsia="Arial" w:hAnsi="Arial"/>
          <w:sz w:val="16"/>
          <w:szCs w:val="16"/>
          <w:color w:val="auto"/>
        </w:rPr>
        <w:t>, respectively.</w:t>
      </w:r>
    </w:p>
    <w:p>
      <w:pPr>
        <w:sectPr>
          <w:pgSz w:w="11900" w:h="16838" w:orient="portrait"/>
          <w:cols w:equalWidth="0" w:num="1">
            <w:col w:w="11240"/>
          </w:cols>
          <w:pgMar w:left="320" w:top="665" w:right="339" w:bottom="1440" w:gutter="0" w:footer="0" w:header="0"/>
        </w:sectPr>
      </w:pP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We have also agreed to pay BRS a structuring and advisory fee equal to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for evaluation, analysis and structuring of the Notes.</w:t>
      </w:r>
    </w:p>
    <w:p>
      <w:pPr>
        <w:spacing w:after="0" w:line="200" w:lineRule="exact"/>
        <w:rPr>
          <w:sz w:val="20"/>
          <w:szCs w:val="20"/>
          <w:color w:val="auto"/>
        </w:rPr>
      </w:pPr>
    </w:p>
    <w:p>
      <w:pPr>
        <w:sectPr>
          <w:pgSz w:w="11900" w:h="16838" w:orient="portrait"/>
          <w:cols w:equalWidth="0" w:num="2">
            <w:col w:w="5740" w:space="400"/>
            <w:col w:w="5100"/>
          </w:cols>
          <w:pgMar w:left="320" w:top="665" w:right="339" w:bottom="1440" w:gutter="0" w:footer="0" w:header="0"/>
          <w:type w:val="continuous"/>
        </w:sectPr>
      </w:pPr>
    </w:p>
    <w:p>
      <w:pPr>
        <w:spacing w:after="0" w:line="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excluding underwriting discounts and reimbursements, will be approximately $ . We have also agreed to reimburse the underwriters for their reasonable out-of-pocket expenses, including attorneys’ fees, up to $50,000.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agreed for a period of 30 days following the date of this offering that, without the prior written consent of the representative, which may not be unreasonably withheld, on behalf of the underwriters, we will not, sell, offer to sell, contract or agree to sell, hypothecate, pledge, grant any option to purchase or otherwise dispose of or agree to dispose of, directly or indirectly, any debt securities issued or guaranteed by the Company or any securities convertible into or exchangeable or exercisable for debt securities issued or guaranteed by the Company or file or cause to be declared effective a registration statement under the Securities Act with respect to any of the foregoing.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existing notes are listed, and the new Notes are expected to be listed, on NASDAQ under the symbol “HROWL”. The underwriters will have no obligation to make a market in the Notes, however, and may cease market-making activities, if commenced, at any time. Accordingly, an active trading market on the NASDAQ for the Notes may not develop or, even if one develops, may not last, in which case the liquidity and market price of the Notes could be adversely affected, the difference between bid and asked prices could be substantial and your ability to transfer the Notes at the time and price desired will be limited.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Until the distribution of the Notes is completed, SEC rules may limit underwriters and selling group members from bidding for and purchasing our Notes. However, the representative may engage in transactions that have the effect of stabilizing the price of the Notes, such as purchases and other activities that peg, fix or maintain that price.</w:t>
      </w:r>
    </w:p>
    <w:p>
      <w:pPr>
        <w:spacing w:after="0" w:line="18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connection with this offering, the underwriters may bid for or purchase and sell our Notes in the open market. These transactions may include short sales and purchases on the open market to cover positions created by short sales. Short sales involve the sale by the underwriters of a greater number of our Notes than they are required to purchase in this offering. “Covered” short sales are sales made in an amount not greater than the Underwriters’ option to purchase additional Notes in this offering. The underwriters may close out any covered short position by either exercising their option to purchase additional Notes or purchasing notes in the open market. In determining the source of notes to close out the covered short position, the underwriters will consider, among other things, the price of notes available for purchase in the open market as compared to the price at which they may purchase additional Notes pursuant to the option granted to them. “Naked” short sales are sales in excess of the option to purchase additional Notes. The underwriters must close out any naked short position by purchasing Notes in the open market. A naked short position is more likely to be created if the underwriters are concerned that there may be downward pressure on the price of our Notes in the open market after pricing that could adversely affect investors who purchase in this offering.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30" w:name="page31"/>
    <w:bookmarkEnd w:id="30"/>
    <w:p>
      <w:pPr>
        <w:jc w:val="both"/>
        <w:ind w:firstLine="432"/>
        <w:spacing w:after="0" w:line="279"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and other activities may have the effect of raising or maintaining the market price of the Notes or preventing or retarding a decline in the market price of the Notes. As a result, the price of the Notes may be higher than the price that might otherwise exist in the open market. If these activities are commenced, they may be discontinued at any time. The underwriters may conduct these transactions on NASDAQ, in the over-the-counter market or otherwise.</w:t>
      </w:r>
    </w:p>
    <w:p>
      <w:pPr>
        <w:spacing w:after="0" w:line="17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8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Notes. In addition, neither we nor any of the underwriters make any representation that the representative will engage in these transactions or that these transactions, once commenced, will not be discontinued without notice.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Notes</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This prospectus supplement and the accompanying prospectus in electronic format may be made available on websites maintained by one or more of the underwriters, and the underwriters may distribute the prospectus supplement and accompanying prospectus electronically.</w:t>
      </w:r>
    </w:p>
    <w:p>
      <w:pPr>
        <w:spacing w:after="0" w:line="1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than this prospectus supplement and the accompanying prospectus in electronic format, the information on any underwriter’s or any selling group member’s website and any information contained in any other website maintained by an underwriter or any selling group member is not part of this prospectus supplement and the accompanying prospectus or the registration statement of which this prospectus supplement and the accompanying prospectus forms a part, has not been approved and/or endorsed by us or any underwriter or any selling group member in its capacity as underwriter or selling group member and should not be relied upon by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Additional Relationships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BRS is the existing stockholder of our Series B Cumulative Preferred Stock. BRS will act as an underwriter in connection with this offering. We will use a portion of the net proceeds of this offering to redeem the outstanding Preferred Stock as described under “Use of Proceeds” in this prospectus supplement. Therefore, BRS has a “conflict of interest” in this offering within the meaning of FINRA Rule 5121, and this offering will be conducted in compliance with Rule 5121 and, therefore, BRS will not be permitted to confirm a sale to an account over which it exercises discretionary authority without first receiving specific written approval from the account holder.</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affiliates may provide from time to time in the future in the ordinary course of their business certain commercial banking, financial advisory, investment banking and other services to us for which they will be entitled to receive customary fees and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Certain legal matters will be passed upon for us by Waller Lansden Dortch &amp; Davis, LLP, Nashville, Tennessee, and for the underwriters by Duane Morris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The consolidated financial statements of Harrow Health, Inc. and subsidiaries appearing in the Company’s Annual Report on Form 10-K for the fiscal year ended December 31, 2020, filed with the SEC on March 8, 2021,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supplement and the accompanying prospectus by referring you to those documents. These incorporated documents contain important business and financial information about us that is not included in or delivered with this prospectus supplement and the accompanying prospectus. The information incorporated by reference is considered to be part of this prospectus supplement and the accompanying prospectus, and later information filed with the SEC will update and supersede this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ind w:firstLine="648"/>
        <w:spacing w:after="0" w:line="259" w:lineRule="auto"/>
        <w:rPr>
          <w:sz w:val="20"/>
          <w:szCs w:val="20"/>
          <w:color w:val="auto"/>
        </w:rPr>
      </w:pPr>
      <w:r>
        <w:rPr>
          <w:rFonts w:ascii="Arial" w:cs="Arial" w:eastAsia="Arial" w:hAnsi="Arial"/>
          <w:sz w:val="18"/>
          <w:szCs w:val="18"/>
          <w:color w:val="auto"/>
        </w:rPr>
        <w:t>We incorporate by reference the documents listed below as well as any future filings made with the SEC under Sections 13(a), 13(c), 14 or 15(d) of the Exchange Act after the date of this prospectus supplement and prior to the termination of this offering , except that we do not incorporate any document or portion of a document that is “furnished” to the SEC, but not deemed “filed.” The following documents filed with the SEC are incorporated by reference in this prospectus supplement and the accompanying prospectus:</w:t>
      </w:r>
    </w:p>
    <w:p>
      <w:pPr>
        <w:spacing w:after="0" w:line="187"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2020 filed with the SEC on March 8, 2021;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amended, filed with the SEC on April 23, 2021;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2021 filed with the SEC on May 11, 2021;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21, 2021, January 27, 2021, February 4, 2021, February 9, 2021, April 5, 2021, April 8, 2021, April 12, 2021, April 20, 2021, May 5, 2021 and June 7, 2021.</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provide without charge to each person, including any beneficial owner, to whom a prospectus is delivered, on written or oral request of that person, a copy of any or all of the documents we are incorporating by reference into this prospectus supplement and the accompanying prospectus, other than exhibits to those documents unless such exhibits are specifically incorporated by reference into those documents. Such written requests should be addressed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(615) 733-4730.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Copies of certain information filed by us with the SEC are also available on our web site at </w:t>
      </w:r>
      <w:r>
        <w:rPr>
          <w:rFonts w:ascii="Arial" w:cs="Arial" w:eastAsia="Arial" w:hAnsi="Arial"/>
          <w:sz w:val="17"/>
          <w:szCs w:val="17"/>
          <w:i w:val="1"/>
          <w:iCs w:val="1"/>
          <w:color w:val="auto"/>
        </w:rPr>
        <w:t>www.harrowinc.com</w:t>
      </w:r>
      <w:r>
        <w:rPr>
          <w:rFonts w:ascii="Arial" w:cs="Arial" w:eastAsia="Arial" w:hAnsi="Arial"/>
          <w:sz w:val="17"/>
          <w:szCs w:val="17"/>
          <w:color w:val="auto"/>
        </w:rPr>
        <w:t>. We have not incorporated by reference into this prospectus supplement or the accompanying prospectus the information on our website, and you should not consider it to be a part of this document.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“HROW.” On June 18, 2020, the closing price of our common stock on the Nasdaq Capital Market was $6.20 per share.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3 of this prospectus, as well as the “Risk Factors” incorporated by reference herein from our most recent Annual Report on Form 10-K, our Quarterly Report on Form 10-Q and other reports and information that we file with the Securities and Exchange Commission, for information you should consider before investing in our securities.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prospectus is dated July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80" w:type="dxa"/>
            <w:vAlign w:val="bottom"/>
            <w:gridSpan w:val="2"/>
          </w:tcPr>
          <w:p>
            <w:pPr>
              <w:ind w:left="11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2100" w:type="dxa"/>
            <w:vAlign w:val="bottom"/>
            <w:tcBorders>
              <w:top w:val="single" w:sz="8" w:color="CCEEFF"/>
              <w:bottom w:val="single" w:sz="8" w:color="0000EE"/>
            </w:tcBorders>
            <w:gridSpan w:val="7"/>
            <w:shd w:val="clear" w:color="auto" w:fill="CCEEFF"/>
          </w:tcPr>
          <w:p>
            <w:pPr>
              <w:spacing w:after="0" w:line="136" w:lineRule="exact"/>
              <w:rPr>
                <w:rFonts w:ascii="Arial" w:cs="Arial" w:eastAsia="Arial" w:hAnsi="Arial"/>
                <w:sz w:val="15"/>
                <w:szCs w:val="15"/>
                <w:color w:val="0000EE"/>
              </w:rPr>
            </w:pPr>
            <w:hyperlink w:anchor="page36">
              <w:r>
                <w:rPr>
                  <w:rFonts w:ascii="Arial" w:cs="Arial" w:eastAsia="Arial" w:hAnsi="Arial"/>
                  <w:sz w:val="15"/>
                  <w:szCs w:val="15"/>
                  <w:color w:val="0000EE"/>
                </w:rPr>
                <w:t>PROSPECTUS SUMMARY</w:t>
              </w:r>
            </w:hyperlink>
          </w:p>
        </w:tc>
        <w:tc>
          <w:tcPr>
            <w:tcW w:w="8500" w:type="dxa"/>
            <w:vAlign w:val="bottom"/>
            <w:tcBorders>
              <w:top w:val="single" w:sz="8" w:color="CCEEFF"/>
              <w:bottom w:val="single" w:sz="8" w:color="CCEEFF"/>
            </w:tcBorders>
            <w:gridSpan w:val="8"/>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0" w:type="dxa"/>
            <w:vAlign w:val="bottom"/>
            <w:gridSpan w:val="15"/>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FORWARD-LOOKING STATEMENTS</w:t>
              </w:r>
            </w:hyperlink>
          </w:p>
        </w:tc>
        <w:tc>
          <w:tcPr>
            <w:tcW w:w="766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15"/>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DILUTION</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5"/>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DIVIDEND POLICY</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DESCRIPTION OF CAPITAL STOCK</w:t>
              </w:r>
            </w:hyperlink>
          </w:p>
        </w:tc>
        <w:tc>
          <w:tcPr>
            <w:tcW w:w="772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15"/>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THE DEPOSITARY SHARES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THE WARRANTS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THE UNITS</w:t>
              </w:r>
            </w:hyperlink>
          </w:p>
        </w:tc>
        <w:tc>
          <w:tcPr>
            <w:tcW w:w="772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THE DEBT SECURITIES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2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718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6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914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INCORPORATION OF CERTAIN DOCUMENTS BY REFERENCE</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6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55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$100,000,000.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about us or itself that is different from, or in addition to, that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The following summary highlights information contained in this prospectus or incorporated by reference. While we have included what we believe to be the most important information about the company, the following summary may not contain all the information that may be important to you. You should read this entire prospectus carefully, including the risks of investing discussed under “Risk Factors” beginning on page 3, the information to which we refer you and the information incorporated into this prospectus by reference, for a complete understanding of our business and the terms of any offering. References in this prospectus to “our company,” “we,” “our,” “Harrow” and “us” refer to Harrow Health,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specialize in the development, production and sale of innovative medications that offer unique competitive advantages and serve unmet needs in the marketplace through our subsidiaries and deconsolidated companies. We own one of the nation’s leading ophthalmology-focused pharmaceutical businesses, ImprimisRx. In addition to wholly owning ImprimisRx, we also have equity positions in Eton Pharmaceuticals, Inc., Surface Pharmaceuticals, Inc., or Surface, and Melt Pharmaceuticals, Inc., or Melt, all companies that began as our subsidiaries. More recently, we founded drug development subsidiaries Mayfield Pharmaceuticals, Inc., or Mayfield, Radley Pharmaceuticals, Inc., or Radley, and Stowe Pharmaceuticals, Inc. In 2020, we created Visionology, Inc., which intends to launch an online eye health platform business. We also own royalty rights in various drug candidates being developed by Surface, Melt, Radley and Mayfield. We intend to continue to create, and hold equity and royalty rights in, new businesses that commercialize drug candidates that are internally developed or otherwise acquired or licensed from third parties.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ImprimisRx is our ophthalmology focused pharmaceutical compounding business. We offer to over 7,000 physician customers and their patients critical medicines to meet their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(or cGMPs) or other U.S. Food and Drug Administration, or FDA, guidance documents, in our FDA-registered outsourcing facility located in New Jersey.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Federal Food, Drug &amp; Cosmetic Act, or the FDCA. The other New Jersey facility,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proprietary drug formulations are born from the clinical experience of a network of inventors, including physician prescribers, clinical researchers and pharmacist formulators, who develop and prescribe personalized medicines for individual patient needs. We work collaboratively with these inventors to identify and evaluate intellectual property related to potential candidates, assess relevant markets, and seek to validate the clinical experience with the objective of investing in commercialization activities. Although our business is focused on a pharmaceutical compounding commercialization strategy, we may also consider other commercialization pathways, including pursuing FDA approval to market and sell a drug formulation or technology.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incurred significant operating losses and negative cash flows from operations since July 24, 1998 (inception). In addition, we have an accumulated deficit of approximately $87.0 million at March 31, 2020. Although we have recently been generating revenue from our pharmaceutical compounding operations, we expect to incur further losses as we integrate and develop our pharmacy operations, evaluate other programs and continue the development of our formulations.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novel strain of coronavirus was first identified in Wuhan, China in December 2019. The disease caused by it, COVID-19, was declared a global pandemic by the World Health Organization in March 2020. On March 18, 2020, the Centers for Medicare &amp; Medicaid Services, or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ind w:firstLine="648"/>
        <w:spacing w:after="0" w:line="275" w:lineRule="auto"/>
        <w:rPr>
          <w:sz w:val="20"/>
          <w:szCs w:val="20"/>
          <w:color w:val="auto"/>
        </w:rPr>
      </w:pPr>
      <w:r>
        <w:rPr>
          <w:rFonts w:ascii="Arial" w:cs="Arial" w:eastAsia="Arial" w:hAnsi="Arial"/>
          <w:sz w:val="17"/>
          <w:szCs w:val="17"/>
          <w:color w:val="auto"/>
        </w:rPr>
        <w:t>In response to the pandemic and business disruptions, first and foremost, we have prioritized the health and safety of our employees, customers, suppliers and others with whom we partner in our business activities. Many of our customers use its drugs in procedures impacted by the CMS guidance to limit elective procedures. In addition, we and our business partners need access to healthcare providers and facilities to conduct clinical trials and other activities required to achieve regulatory clearance of products under development. We are carefully monitoring rapidly evolving changes in healthcare delivery systems and may adjust our operating and product development plans accordingly.</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Reductions in elective procedures in response to CMS guidance have had an adverse impact on our revenues, profitability and cash flows. The extent and duration of the impact will depend upon the extent of procedure postponements and the duration of the pandemic. Near the beginning of May 2020, some U.S. states and geographies began easing restrictions associated with the COVID-19 pandemic including those restrictions related to elective procedures. We are hopeful sales of our products will return to historical norms and trends as other states and governmental authorities ease restrictions associated with elective procedures and the COVID-19 pandemic. However, given the unprecedented and dynamic nature of the COVID-19 pandemic, we cannot reasonably estimate the impacts it may have on our financial condition, results of operations or cash flows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executive offices are located at 102 Woodmont Blvd., Suite 610, Nashville, Tennessee 37205 and our telephone number at such office is (615) 733-4730. Our website address is harrowinc.com. Information contained on our website is not deemed part of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offer up to $100.0 million of common stock, preferred stock, depositary shares, warrants, units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Harrow Health,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offer units composed of one or more of the other securities that may be offered under this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but we may be subject to the terms of other debt to which the senior debt is otherwise subordinate.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929"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An investment in our securities involves a high degree of risk. Before purchasing any of our securities, you should carefully consider the risk factors incorporated by reference into this prospectus from our most recent Annual Report on Form 10-K, our subsequent Quarterly Report on Form 10-Q and the other reports and information that we file with the SEC, including any risk factors and other information contained in any applicable prospectus supplement. In particular, please see the risk factors described in our Annual Report on Form 10-K for the year ended December 31, 2019 and in our Quarterly Report on Form 10-Q for the three months ended March 31, 2020, which are incorporated by reference into this prospectus. The risks and uncertainties that we have described are not the only ones facing our company. Additional risks and uncertainties not presently known to us or that we currently deem immaterial may also affect us. The occurrence of any of these risks could materially and adversely impact our business, cash flows, condition (financial or otherwise), liquidity, prospects and/or results of operations. Please also refer to the section below entitled “Forward-Looking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as amended, or the Securities Act, and Section 21E of the Securities Exchange Act of 1934, as amended, or the Exchange Act. Forward-looking statements deal with our current plans, intentions, beliefs and expectations and statements of future economic performance. Statements containing terms such as “will”, “may”, “should”, “expects”, “plans”, “anticipates”, “believes”, “estimates”, “predicts”, “forecasts”, “potential” or “continue” or the negative of these terms or other comparable terminology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in the “Risk Factors” and “Management’s Discussion and Analysis of Financial Condition and Results of Operations” sections of our most recent Annual Report on Form 10-K and Quarterly Report on Form 10-Q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to the purchasers of equity interests which they purchase in an offering under this prospectus:</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net tangible book value per share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of the increase in such net tangible book value per share attributable to the cash payments made by purchasers in the offering;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the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businesses or partnerships. We have not determined the amounts we plan to spend on the areas listed above or the timing of these expenditures.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equity securities. Moreover, we do not anticipate paying cash dividends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is a summary of the rights of our common and preferred stock and of certain provisions of our Amended and Restated Certificate of Incorporation, as amended, or the Certificate of Incorporation, and Amended and Restated Bylaws, or the Bylaws. For more detailed information, please see our Certificate of Incorporation and Bylaws, which are filed as exhibits to the registration statement of which this prospectus forms a part.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authorized capital stock consists of 55,000,000 shares, 50,000,000 of which are designated as common stock, par value $0.001 per share, and 5,000,000 of which are designated as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2020 there were approximately 103 stockholders of record (excluding an indeterminable number of stockholders whose shares are held in street or “nominee” name) of our common stock. In addition, as of March 31, 2020, there were outstanding (i) options to acquire 2,952,466 shares of our common stock with a weighted average exercise price of $5.49 per share, (ii) warrants to purchase 780,386 shares of common stock with a weighted average exercise price of $2.12 per share, (iii) 1,520,786 unvested restricted stock units, and (iv) 244,460 vested restricted stock units for which delivery of the shares had been deferred.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authorized to issue 50,000,000 shares of common stock, par value $0.001 per share. The holders of our common stock are entitled to one vote per share on all matters submitted to a vote of the stockholders, including the election of directors. Our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no shares of preferred stock are outstanding and we currently have no plan to issue any shares of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both"/>
        <w:ind w:firstLine="648"/>
        <w:spacing w:after="0" w:line="263" w:lineRule="auto"/>
        <w:rPr>
          <w:sz w:val="20"/>
          <w:szCs w:val="20"/>
          <w:color w:val="auto"/>
        </w:rPr>
      </w:pPr>
      <w:r>
        <w:rPr>
          <w:rFonts w:ascii="Arial" w:cs="Arial" w:eastAsia="Arial" w:hAnsi="Arial"/>
          <w:sz w:val="18"/>
          <w:szCs w:val="18"/>
          <w:color w:val="auto"/>
        </w:rPr>
        <w:t>Our Certificate of Incorporation and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“HROW”. The transfer agent and registrar for our common stock is Action Stock Transfer Corporation, 2469 E. Fort Union Blvd., Suite 214, Salt Lake City, UT 84121.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our option, we may elect to offer fractional shares of preferred stock, rather than full shares of preferred stock. If we do elect to offer fractional shares of preferred stock, we will issue receipts for depositary shares and each of these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complete, and is subject to modification in any prospectus supplement for any issuance of depositary shares. You should refer to the forms of the deposit agreement, our Certificate of Incorporation and the certificate of designation that are, or will be, filed with the SEC for the applicable series of preferred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Owners of the depositary shares will be treated for U.S. federal income tax purposes as if they were owners of the preferred stock underlying the depositary shares. As a result, owners will be entitled to take into account for U.S. federal income tax purposes and deductions to which they would be entitled if they were holders of such preferred stock. No gain or loss will be recognized for U.S. federal income tax purposes upon the withdrawal of preferred stock in exchange for depositary shares. The tax basis of each share of preferred stock to an exchanging owner of depositary shares will, upon such exchange, be the same as the aggregate tax basis of the depositary shares exchanged. The holding period for preferred stock in the hands of an exchanging owner of depositary shares will include the period during which such person owned such depositary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designation and terms of the debt securities, including any conversion rights, purchasable upon exercise of the debt warrants;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200" w:hanging="4"/>
        <w:spacing w:after="0" w:line="500" w:lineRule="auto"/>
        <w:tabs>
          <w:tab w:leader="none" w:pos="9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UNITS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 summarizes the material terms and provisions of the units that we may offer under this prospectus and the related unit agreements. While the terms summarized below will apply generally to any units we may offer, we will describe the particular terms of any series of units in more detail in the applicable prospectus supplement.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ind w:firstLine="648"/>
        <w:spacing w:after="0" w:line="259"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applicable prospectus supplement will describe the following terms of the units in respect of which this prospectus is being delivered:</w:t>
      </w:r>
    </w:p>
    <w:p>
      <w:pPr>
        <w:spacing w:after="0" w:line="225" w:lineRule="exact"/>
        <w:rPr>
          <w:sz w:val="20"/>
          <w:szCs w:val="20"/>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the securities comprising the units;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units will be issued fully registered or in global form;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 in the applicable prospectus supplement and other offering material of any units we offer will not necessarily be complete and will be qualified in its entirety by reference to the applicable unit agreement, which will be filed with the SEC if we offer units.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debt securities may be either secured or unsecured and may be characterized as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“Harrow,” “we,” “us,” or “our” refer only to Harrow Health, Inc. and not to any of our subsidiaries, unless we expressly state or the context otherwise requires.</w:t>
      </w:r>
    </w:p>
    <w:p>
      <w:pPr>
        <w:spacing w:after="0" w:line="17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the method for determining how the principal, premium, if any, or interest will be calculated by reference to an index or formula;</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certificate;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certificates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debt securities of any series may be represented, in whole or in part, by one or more global certificates. Each global certificate will:</w:t>
      </w:r>
    </w:p>
    <w:p>
      <w:pPr>
        <w:spacing w:after="0" w:line="237"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certificate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long as the depositary, or its nominee, is the registered owner of a global certificate, the depositary or nominee will be considered the sole owner and holder of the debt securities represented by the global certificate for all purposes under the indentures. Except in the above limited circumstances, owners of beneficial interests in a global certificate will not be:</w:t>
      </w:r>
    </w:p>
    <w:p>
      <w:pPr>
        <w:spacing w:after="0" w:line="184"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on a global certificate will be made to the depositary or its nominee as the holder of the global certificate. Some jurisdictions have laws that require that certain purchasers of securities take physical delivery of such securities in definitive form. These laws may impair the ability to transfer beneficial interests in a global certificate.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jc w:val="both"/>
        <w:ind w:right="20" w:firstLine="648"/>
        <w:spacing w:after="0" w:line="311"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certificate will be limited to participants and to persons that may hold beneficial interests through participants. The depositary will credit, on its book-entry registration and transfer system, the respective principal amounts of debt securities represented by the global certificate to the accounts of its participants.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certificate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transfers and exchanges relating to beneficial interests in a global certificate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certificate.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subsidiary of us), in a transaction in which we are not the surviving corporation, or convey, transfer or lease our properties and assets substantially as an entirety to, any person (other than a subsidiary of us), unless:</w:t>
      </w:r>
    </w:p>
    <w:p>
      <w:pPr>
        <w:spacing w:after="0" w:line="184"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both"/>
        <w:ind w:firstLine="648"/>
        <w:spacing w:after="0" w:line="263"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 with respect to the debt securities of that series;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Delaware, except to the extent that the Trust Indenture Act of 1939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5" w:lineRule="exact"/>
        <w:rPr>
          <w:sz w:val="20"/>
          <w:szCs w:val="20"/>
          <w:color w:val="auto"/>
        </w:rPr>
      </w:pPr>
    </w:p>
    <w:p>
      <w:pPr>
        <w:jc w:val="both"/>
        <w:ind w:left="980" w:hanging="324"/>
        <w:spacing w:after="0" w:line="26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 The maximum commission or discount to be received by any underwriter, dealer or agent will not be greater than eight percent (8%) of the maximum gross proceeds of the securities that may be sold under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has been passed upon by Waller Lansden Dortch &amp; Davis, LLP.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Harrow Health, Inc. appearing in the Company’s Annual Report on Form 10-K for the fiscal year ended December 31, 2019, filed with the SEC on March 13, 2020,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7"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2019 filed with the SEC on March 13, 2020;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2020, filed with the SEC on May 11, 2020;</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28, 2020, March 17, 2020, April 3, 2020, April 29, 2020 and June 8, 2020;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February 7, 2013, and any amendments or reports filed for the purpose of updating such description.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 Woodmont Blvd., Suite 610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Nashville, TN 37205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(615) 733-4730.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http://www.harrowinc.com. We have not incorporated by reference into this prospectus the information on our website, and you should not consider it to be a part of this document.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$17,500,000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568960</wp:posOffset>
            </wp:positionV>
            <wp:extent cx="1457325" cy="514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5732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Harrow 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8.625%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568960</wp:posOffset>
            </wp:positionV>
            <wp:extent cx="21431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147955</wp:posOffset>
            </wp:positionV>
            <wp:extent cx="21431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Book-Running Managers</w:t>
      </w:r>
    </w:p>
    <w:p>
      <w:pPr>
        <w:spacing w:after="0" w:line="205" w:lineRule="exact"/>
        <w:rPr>
          <w:sz w:val="20"/>
          <w:szCs w:val="20"/>
          <w:color w:val="auto"/>
        </w:rPr>
      </w:pPr>
    </w:p>
    <w:p>
      <w:pPr>
        <w:ind w:left="660"/>
        <w:spacing w:after="0"/>
        <w:tabs>
          <w:tab w:leader="none" w:pos="6160" w:val="left"/>
        </w:tabs>
        <w:rPr>
          <w:sz w:val="20"/>
          <w:szCs w:val="20"/>
          <w:color w:val="auto"/>
        </w:rPr>
      </w:pPr>
      <w:r>
        <w:rPr>
          <w:rFonts w:ascii="Arial" w:cs="Arial" w:eastAsia="Arial" w:hAnsi="Arial"/>
          <w:sz w:val="25"/>
          <w:szCs w:val="25"/>
          <w:b w:val="1"/>
          <w:bCs w:val="1"/>
          <w:color w:val="auto"/>
        </w:rPr>
        <w:t>B. Riley Securities</w:t>
      </w:r>
      <w:r>
        <w:rPr>
          <w:sz w:val="20"/>
          <w:szCs w:val="20"/>
          <w:color w:val="auto"/>
        </w:rPr>
        <w:tab/>
      </w:r>
      <w:r>
        <w:rPr>
          <w:rFonts w:ascii="Arial" w:cs="Arial" w:eastAsia="Arial" w:hAnsi="Arial"/>
          <w:sz w:val="23"/>
          <w:szCs w:val="23"/>
          <w:b w:val="1"/>
          <w:bCs w:val="1"/>
          <w:color w:val="auto"/>
        </w:rPr>
        <w:t>Ladenburg Thalmann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580"/>
        <w:spacing w:after="0"/>
        <w:rPr>
          <w:sz w:val="20"/>
          <w:szCs w:val="20"/>
          <w:color w:val="auto"/>
        </w:rPr>
      </w:pPr>
      <w:r>
        <w:rPr>
          <w:rFonts w:ascii="Arial" w:cs="Arial" w:eastAsia="Arial" w:hAnsi="Arial"/>
          <w:sz w:val="25"/>
          <w:szCs w:val="25"/>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157480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191770</wp:posOffset>
            </wp:positionV>
            <wp:extent cx="71323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509270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9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2"/>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3"/>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lvl w:ilvl="1">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2021-06-14T06:47:07Z</dcterms:created>
  <dcterms:modified xsi:type="dcterms:W3CDTF">2021-06-14T06:47:07Z</dcterms:modified>
</cp:coreProperties>
</file>