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13,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13, 2022, Harrow Health, Inc. (the “Company”) entered into an underwriting agreement (the “</w:t>
      </w:r>
      <w:r>
        <w:rPr>
          <w:rFonts w:ascii="Times New Roman" w:cs="Times New Roman" w:eastAsia="Times New Roman" w:hAnsi="Times New Roman"/>
          <w:sz w:val="18"/>
          <w:szCs w:val="18"/>
          <w:u w:val="single" w:color="auto"/>
          <w:color w:val="auto"/>
        </w:rPr>
        <w:t>Common Stock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 Riley Securities, Inc. (the “</w:t>
      </w:r>
      <w:r>
        <w:rPr>
          <w:rFonts w:ascii="Times New Roman" w:cs="Times New Roman" w:eastAsia="Times New Roman" w:hAnsi="Times New Roman"/>
          <w:sz w:val="18"/>
          <w:szCs w:val="18"/>
          <w:u w:val="single" w:color="auto"/>
          <w:color w:val="auto"/>
        </w:rPr>
        <w:t>Common Stock Underwriter</w:t>
      </w:r>
      <w:r>
        <w:rPr>
          <w:rFonts w:ascii="Times New Roman" w:cs="Times New Roman" w:eastAsia="Times New Roman" w:hAnsi="Times New Roman"/>
          <w:sz w:val="18"/>
          <w:szCs w:val="18"/>
          <w:color w:val="auto"/>
        </w:rPr>
        <w:t>”) related to a registered direct offering of shares of the Company’s common stock, par value $0.001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certain accredited investors, at an offering price of $10.52 (the “</w:t>
      </w:r>
      <w:r>
        <w:rPr>
          <w:rFonts w:ascii="Times New Roman" w:cs="Times New Roman" w:eastAsia="Times New Roman" w:hAnsi="Times New Roman"/>
          <w:sz w:val="18"/>
          <w:szCs w:val="18"/>
          <w:u w:val="single" w:color="auto"/>
          <w:color w:val="auto"/>
        </w:rPr>
        <w:t>Common Stock Offering</w:t>
      </w:r>
      <w:r>
        <w:rPr>
          <w:rFonts w:ascii="Times New Roman" w:cs="Times New Roman" w:eastAsia="Times New Roman" w:hAnsi="Times New Roman"/>
          <w:sz w:val="18"/>
          <w:szCs w:val="18"/>
          <w:color w:val="auto"/>
        </w:rPr>
        <w:t>”). Under the terms of the Common Stock Underwriting Agreement the Company sold 2,376,426 shares of the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gross proceeds of $25,000,002. The Common Stock Offering closed on December 16, 2022.</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Common Stock Underwriting Agreement includes customary representations, warranties and covenants by the Company and customary conditions to closing, obligations of the parties and termination provisions. Furthermore, under the terms of the Common Stock Underwriting Agreement, the Company has agreed to indemnify the Common Stock Underwriter against certain liabilities, including liabilities under the Securities Act of 1933, as amended, or to contribute to payments the Common Stock Underwriter may be required to make in respect of these liabilities. In addition, officers and directors of the Company have agreed, for a period of 90 days following entry into the Common Stock Underwriting Agreement, not to conduct any sales of shares of Common Stock or otherwise dispose of, directly or indirectly, any Common Stock (or any securities convertible into, or exercisable or exchangeable for, the Common Stock), without the prior written consent of the Common Stock Underwriter.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being sold pursuant to a shelf registration statement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became effective on June 6, 2022 (File No. 333-265244)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hereto and incorporated herein by reference is a copy of the opinion of Waller Lansden Dortch &amp; Davis, LLP, which is also filed with reference to, and is hereby incorporated into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copy of the Common Stock Underwriting Agreement is attached hereto as </w:t>
      </w:r>
      <w:r>
        <w:rPr>
          <w:rFonts w:ascii="Times New Roman" w:cs="Times New Roman" w:eastAsia="Times New Roman" w:hAnsi="Times New Roman"/>
          <w:sz w:val="18"/>
          <w:szCs w:val="18"/>
          <w:u w:val="single" w:color="auto"/>
          <w:color w:val="auto"/>
        </w:rPr>
        <w:t>Exhibit 1.1</w:t>
      </w:r>
      <w:r>
        <w:rPr>
          <w:rFonts w:ascii="Times New Roman" w:cs="Times New Roman" w:eastAsia="Times New Roman" w:hAnsi="Times New Roman"/>
          <w:sz w:val="18"/>
          <w:szCs w:val="18"/>
          <w:color w:val="auto"/>
        </w:rPr>
        <w:t xml:space="preserve"> and is incorporated herein by reference. The foregoing description of the material terms of the Common Stock Underwriting Agreement does not purport to be complete and is qualified in its entirety by reference to such exhibit.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15, 2022, the Company entered into an underwriting agreement (the “</w:t>
      </w:r>
      <w:r>
        <w:rPr>
          <w:rFonts w:ascii="Times New Roman" w:cs="Times New Roman" w:eastAsia="Times New Roman" w:hAnsi="Times New Roman"/>
          <w:sz w:val="18"/>
          <w:szCs w:val="18"/>
          <w:u w:val="single" w:color="auto"/>
          <w:color w:val="auto"/>
        </w:rPr>
        <w:t>Notes Underwriting Agreement</w:t>
      </w:r>
      <w:r>
        <w:rPr>
          <w:rFonts w:ascii="Times New Roman" w:cs="Times New Roman" w:eastAsia="Times New Roman" w:hAnsi="Times New Roman"/>
          <w:sz w:val="18"/>
          <w:szCs w:val="18"/>
          <w:color w:val="auto"/>
        </w:rPr>
        <w:t>”) with B. Riley Securities, Inc., as representative of the several underwriters named therein (the “</w:t>
      </w:r>
      <w:r>
        <w:rPr>
          <w:rFonts w:ascii="Times New Roman" w:cs="Times New Roman" w:eastAsia="Times New Roman" w:hAnsi="Times New Roman"/>
          <w:sz w:val="18"/>
          <w:szCs w:val="18"/>
          <w:u w:val="single" w:color="auto"/>
          <w:color w:val="auto"/>
        </w:rPr>
        <w:t>Notes Underwriters</w:t>
      </w:r>
      <w:r>
        <w:rPr>
          <w:rFonts w:ascii="Times New Roman" w:cs="Times New Roman" w:eastAsia="Times New Roman" w:hAnsi="Times New Roman"/>
          <w:sz w:val="18"/>
          <w:szCs w:val="18"/>
          <w:color w:val="auto"/>
        </w:rPr>
        <w:t>”), pursuant to which the Company agreed to sell to the Notes Underwriters $35,000,000 aggregate principal amount of 11.875% Senior Notes due 2027 (the “</w:t>
      </w:r>
      <w:r>
        <w:rPr>
          <w:rFonts w:ascii="Times New Roman" w:cs="Times New Roman" w:eastAsia="Times New Roman" w:hAnsi="Times New Roman"/>
          <w:sz w:val="18"/>
          <w:szCs w:val="18"/>
          <w:u w:val="single" w:color="auto"/>
          <w:color w:val="auto"/>
        </w:rPr>
        <w:t>Firm Notes</w:t>
      </w:r>
      <w:r>
        <w:rPr>
          <w:rFonts w:ascii="Times New Roman" w:cs="Times New Roman" w:eastAsia="Times New Roman" w:hAnsi="Times New Roman"/>
          <w:sz w:val="18"/>
          <w:szCs w:val="18"/>
          <w:color w:val="auto"/>
        </w:rPr>
        <w:t>”) plus up to an additional $5,250,000 aggregate principal amount of 11.875% Senior Notes due 2027 pursuant to the option to purchase additional Notes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Firm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were offered pursuant to the Registration Statement. The sale of the Firm Notes is expected to close on or about December 20, 2022, subject to satisfaction of customary closing conditions. Members of the Company’s management, including its Chief Executive Officer, Mark L. Baum and Chief Financial Officer, Andrew R. Boll, along with certain members of its board of directors agreed to purchase, in aggregate, $950,000 of the Notes.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of 1933, as amended, other obligations of the parties and termination provisions. The representations, warranties and covenants contained in the Notes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copy of the Notes Underwriting Agreement is attached hereto as </w:t>
      </w:r>
      <w:r>
        <w:rPr>
          <w:rFonts w:ascii="Times New Roman" w:cs="Times New Roman" w:eastAsia="Times New Roman" w:hAnsi="Times New Roman"/>
          <w:sz w:val="18"/>
          <w:szCs w:val="18"/>
          <w:u w:val="single" w:color="auto"/>
          <w:color w:val="auto"/>
        </w:rPr>
        <w:t>Exhibit 1.2</w:t>
      </w:r>
      <w:r>
        <w:rPr>
          <w:rFonts w:ascii="Times New Roman" w:cs="Times New Roman" w:eastAsia="Times New Roman" w:hAnsi="Times New Roman"/>
          <w:sz w:val="18"/>
          <w:szCs w:val="18"/>
          <w:color w:val="auto"/>
        </w:rPr>
        <w:t xml:space="preserve"> and is incorporated herein by reference. The foregoing description of the material terms of the Notes Underwriting Agreement does not purport to be complete and is qualified in its entirety by reference to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December 16, 2022, the Company issued a press release announcing the pricing of the Notes. A copy of the press release is being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furnished under this Item 7.01 of the Current Report on Form 8-K, including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or otherwise subject to the liabilities of that Section. The information in this Item 7.01, including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furnished under this Item 7.01 of Current Report on Form 8-K, including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Current Report on Form 8-K and incorporated herein by reference is the Company’s Unaudited Pro Forma Condensed Consolidated Balance Sheet at September 30, 2022, giving effect to (i) the Company’s sale and divestment of its non-ophthalmology related compounding revenue line and related intangible assets; (ii) the sale of the Shares, after deducting underwriting discounts and commissions and estimated offering expenses payable by us; (iii) the sale of the Notes (assuming no exercise of the underwriters’ option to purchase Additional Notes), after deducting underwriting discounts and commissions, the structuring and commitment fees and estimated offering expenses payable by us; and (iv) the application of a Senior Secured Loan facility which is committed to be provided to the Company, after deducting underwriting discounts and commissions, the structuring and commitment fees, original issue discount, and estimated offering expenses payable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exhibits attached hereto) may contain “forward-looking” statements as defined by the Private Securities Litigation Reform Act of 1995 or by the SEC in its rules, regulations and releases. These statements include, but are not limited to, the Company’s plans, objectives, expectations and intentions regarding the performance of its business, statements regarding the terms and conditions and timing of the Offerings, the intended use of proceeds of the Offerings and other non-historical statements. These statements can be identified by the use of words such as “believes,” “anticipates,” “expects,” “intends,” “plans,” “continues,” “estimates,” “predicts,” “projects,” “forecasts,” and similar expressions. All forward looking statements are based on management’s current expectations and beliefs only as of the date of this report and are subject to risks, uncertainties and assumptions that could cause actual results to differ materially from those discussed in, or implied by, the forward-looking statements, including the risks identified and discussed from time to time in the Company’s reports filed with the SEC, including the Company’s most recent Annual Report on Form 10-K and Quarterly Reports on Form 10-Q. Readers are strongly encouraged to review carefully the full cautionary statements described in these reports.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u w:val="single" w:color="auto"/>
          <w:color w:val="0000EE"/>
        </w:rPr>
        <w:t>Common Stock Underwriting Agreement between the Company and B. Riley Securities, Inc. dated December 13, 2022</w:t>
      </w:r>
    </w:p>
    <w:p>
      <w:pPr>
        <w:spacing w:after="0" w:line="225"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0000EE"/>
        </w:rPr>
        <w:t>Notes Underwriting Agreement between the Company and B. Riley Securities, Inc., as representative of the several underwriters named therein, dated December 15, 2022</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u w:val="single" w:color="auto"/>
          <w:color w:val="0000EE"/>
        </w:rPr>
        <w:t>Opinion of Waller Lansden Dortch &amp; Davis, LLP (Common Stock Offering)</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7"/>
          <w:szCs w:val="17"/>
          <w:u w:val="single" w:color="auto"/>
          <w:color w:val="0000EE"/>
        </w:rPr>
        <w:t>Consent of Waller Lansden Dortch &amp; Davis, LLP (included in Exhibit 5)</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Announcing Pricing of Senior Notes Offering, dated December 16, 2022</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99.2</w:t>
      </w:r>
      <w:r>
        <w:rPr>
          <w:rFonts w:ascii="Times New Roman" w:cs="Times New Roman" w:eastAsia="Times New Roman" w:hAnsi="Times New Roman"/>
          <w:sz w:val="17"/>
          <w:szCs w:val="17"/>
          <w:u w:val="single" w:color="auto"/>
          <w:color w:val="0000EE"/>
        </w:rPr>
        <w:t>Unaudited Pro Forma Consolidated Balance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16,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 Riley Securities, Inc.</w:t>
      </w:r>
    </w:p>
    <w:p>
      <w:pPr>
        <w:spacing w:after="0" w:line="205" w:lineRule="auto"/>
        <w:rPr>
          <w:sz w:val="20"/>
          <w:szCs w:val="20"/>
          <w:color w:val="auto"/>
        </w:rPr>
      </w:pPr>
      <w:r>
        <w:rPr>
          <w:rFonts w:ascii="Times New Roman" w:cs="Times New Roman" w:eastAsia="Times New Roman" w:hAnsi="Times New Roman"/>
          <w:sz w:val="18"/>
          <w:szCs w:val="18"/>
          <w:color w:val="auto"/>
        </w:rPr>
        <w:t>299 Park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Harrow Health,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B. Riley Securities, Inc. is acting as representative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2,376,426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Underwriters agree as follows:</w:t>
      </w:r>
    </w:p>
    <w:p>
      <w:pPr>
        <w:spacing w:after="0" w:line="221" w:lineRule="exact"/>
        <w:rPr>
          <w:sz w:val="20"/>
          <w:szCs w:val="20"/>
          <w:color w:val="auto"/>
        </w:rPr>
      </w:pPr>
    </w:p>
    <w:p>
      <w:pPr>
        <w:jc w:val="both"/>
        <w:ind w:firstLine="656"/>
        <w:spacing w:after="0" w:line="262" w:lineRule="auto"/>
        <w:tabs>
          <w:tab w:leader="none" w:pos="8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Offering</w:t>
      </w:r>
      <w:r>
        <w:rPr>
          <w:rFonts w:ascii="Times New Roman" w:cs="Times New Roman" w:eastAsia="Times New Roman" w:hAnsi="Times New Roman"/>
          <w:sz w:val="18"/>
          <w:szCs w:val="18"/>
          <w:color w:val="auto"/>
        </w:rPr>
        <w:t>. Upon the basis of the representations and warranties and subject to the terms and conditions herein set forth, the Company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issue and sell to the Underwriters, severally and not jointly, the number of Shares set forth opposite the name of such Underwriter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and each of the Underwriters, severally and not jointly, agrees to purchase from the Company at the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the number of Shares set forth opposite the name of such Underwriter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subject to adjustment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Underwriters that: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154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and filed in conformity with the requirements of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published rules and regulations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adopted by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(as hereinafter defined) on Form S-3 (File No. 333-264244), which was declared effective by the Commission as of June 6,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including a base prospectus relating to the securities registered pursuant to such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such amendments and supplements thereto as may have been required to the date of this Agreement.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used in this Agreement means the registration statement (including all exhibits, financial schedules and all documents and information deemed to be a part of the Registration Statement pursuant to Rule 430B of the Rules and Regulations), as amended and/or supplemented to the date of this Agreement, including the Base Prospectus. The Registration Statement is effective under the Securities Act, and no stop order preventing or suspending the effectiveness of the Registration Statement or suspending or preventing the use of the Prospectus (as defined below) has been issued by the Commission, and to the knowledge of the Company, no proceedings for that purpose have been instituted or are threatened by the Commission. The Company has prepared a prospectus supplement to the Base Prospectus included as part of such registration statement specifically relating to the Shares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has or will file such Prospectus Supplement with the Commission pursuant to Rule 424(b) of the Rules and Regulations.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used in this Agreement means the Base Prospectus, as it may be supplemented by the Prospectus Supplement, in the forms in which such Base Prospectus or Prospectus Supplement has been or is to be filed with the Commission pursuant to Rule 424(b) of the Rules and Regulations, except that if any revised prospectus or prospectus supplement shall be provided to the Underwriters by the Company for use in connection with the offering and sale of the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which differs from the Prospectus (whether or not such revised prospectus or prospectus supplement is required to be filed by the Company pursuant to Rule 424(b) of the Rules and Regulations),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before the last to occur of the Effective Date, or the date of the Prospectus, and any reference herein to the terms “amend,” “amendment,” or “supplement” with respect to the Registration Statement or the Prospectus shall be deemed to refer to and include (i) the filing of any document under the Exchange Act after the Effective Date or the date of the Prospectus, as the case may be, which is incorporated by reference and (ii) any such document so filed. If needed to complete the Offering, the Company will file an abbreviated registration statement to register additional securities pursuant to Rule 462(b) under the Rules and Regulations (the “</w:t>
      </w:r>
      <w:r>
        <w:rPr>
          <w:rFonts w:ascii="Times New Roman" w:cs="Times New Roman" w:eastAsia="Times New Roman" w:hAnsi="Times New Roman"/>
          <w:sz w:val="18"/>
          <w:szCs w:val="18"/>
          <w:b w:val="1"/>
          <w:bCs w:val="1"/>
          <w:color w:val="auto"/>
        </w:rPr>
        <w:t>462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any reference herein to the Registration Statement shall also be deemed to include such 462(b)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1304"/>
        <w:spacing w:after="0" w:line="253" w:lineRule="auto"/>
        <w:tabs>
          <w:tab w:leader="none" w:pos="15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Applicable Time (as defined below) and as of the Time of Purchase, as the case may be, none of (i) any General Use Free Writing Prospectus (as defined below) issued at or prior to the Applicable Time, and the Pricing Prospectus (as defined below),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xml:space="preserve">”), (ii) any individual Limited Use Free Writing Prospectus (as defined below) issued at or prior to the Time of Purchase, or (iii) the bona fide electronic road show, if any (as defined in Rule 433(h)(5) of the Rules and Regulations), that has been made available without restriction to any person, when considered together with the General Disclosure Package, included or will include any untrue statement of a material fact or omitted, or as of the Time of Purchase,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representations or warranties as to information contained in or omitted from the General Disclosure Package, any individual Limited Use Free Writing Prospectus or the bona fide electronic road show, if any, in reliance upon, and in conformity with, written information furnished to the Company by or on behalf of the Underwriters specifically for inclusion therein, which information the parties hereto agree is limited to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 xml:space="preserve">” which is defined as the information set forth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elsewhere in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8:30 P.M., Eastern Standard Time, on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Free Writing Prospectus</w:t>
      </w:r>
      <w:r>
        <w:rPr>
          <w:rFonts w:ascii="Times New Roman" w:cs="Times New Roman" w:eastAsia="Times New Roman" w:hAnsi="Times New Roman"/>
          <w:sz w:val="18"/>
          <w:szCs w:val="18"/>
          <w:color w:val="auto"/>
        </w:rPr>
        <w:t xml:space="preserve">” means any Issuer Free Writing Prospectus identified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as defined in Rule 433 of the Rules and Regulations relating to the Shares in the form filed or required to be filed with the Commission or, if not required to be filed, in the form retained in the Company’s records pursuant to Rule 433(g) of the Rules and Regulations.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Free Writing Prospectuses</w:t>
      </w:r>
      <w:r>
        <w:rPr>
          <w:rFonts w:ascii="Times New Roman" w:cs="Times New Roman" w:eastAsia="Times New Roman" w:hAnsi="Times New Roman"/>
          <w:sz w:val="18"/>
          <w:szCs w:val="18"/>
          <w:color w:val="auto"/>
        </w:rPr>
        <w:t>” means any Issuer Free Writing Prospectus that is not a General Use Free Writing Prospectus.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59" w:lineRule="exact"/>
        <w:rPr>
          <w:sz w:val="20"/>
          <w:szCs w:val="20"/>
          <w:color w:val="auto"/>
        </w:rPr>
      </w:pPr>
    </w:p>
    <w:p>
      <w:pPr>
        <w:jc w:val="both"/>
        <w:ind w:firstLine="1304"/>
        <w:spacing w:after="0" w:line="266" w:lineRule="auto"/>
        <w:tabs>
          <w:tab w:leader="none" w:pos="15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preventing or suspending the use of any Issuer Free Writing Prospectus or the Prospectus relating to the Offering has been issued by the Commission, and no proceeding for that purpose or pursuant to Section 8A of the Securities Act has been instituted or, to the knowledge of the Company, is threatened by the Commission.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Registration Statement became effective, at the Applicable Time and at the Time of Purchase, as the case may be, the Registration Statement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the Prospectus, at the time the Prospectus became effective and at the Time of Purchase, as the case may be,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representations and warranties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not apply to information contained in or omitted from the Registration Statement or the Prospectus in reliance upon, and in conformity with, the Underwriter’s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if any, as of its issue date and at all subsequent times through the completion of the public offer and sale of the Shares or until any earlier date that the Company notified or notifies the Representative as described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did not, does not and will not include any information that conflicted, conflicts or will conflict with the information contained in the Registration Statement, Pricing Prospectus or the Prospectus, including any document incorporated by reference therein and any prospectus supplement deemed to be a part thereof that has not been superseded or modified, or includes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in reliance upon, and in conformity with, the Underwriter’s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1304"/>
        <w:spacing w:after="0" w:line="254" w:lineRule="auto"/>
        <w:tabs>
          <w:tab w:leader="none" w:pos="1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Prospectus, when they became effective or were filed with the Commission, as the case may be, conformed in all material respects to the requirements of the Securities Act or the Exchange Act, as applicable, the Rules and Regulations and the rules and regulations of the Commission under the Exchange Act, and none of such documents contained any untrue statement of a material fact or omitted to state any material fact required to be stated therein or necessary to make the statements therein, in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the Rules and Regulations and the rules and regulations of the Commission under the Exchange Act and will not contain any untrue statement of a material fact or omit to state any material fact required to be stated therein or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The Company has not, directly or indirectly, distributed and will not distribute any offering material in connection with the Offering other than the Registration Statement, the Pricing Prospectus, the Prospectus, any General Use Free Writing Prospectuses and any Limited Use Free Writing Prospectuses reviewed and consented to by the Representative (which consent shall not be unreasonably withheld). The Company will file with the Commission all Issuer Free Writing Prospectuses (other than a “road show,” as defined in Rule 433(d)(8) of the Rules and Regulations), if any, in the time and manner required under Rules 163(b)(2) and 433(d) of the Rules and Regulations.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organized and is validly existing as a corporation or other legal entity in good standing (or the foreign equivalent thereof) under the laws of its jurisdiction of incorporation or organization. Each of the Company and its Subsidiaries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and any such effect as described in clauses (i) or (ii), pro forma for the Acquisition (as defined below), a “</w:t>
      </w:r>
      <w:r>
        <w:rPr>
          <w:rFonts w:ascii="Times New Roman" w:cs="Times New Roman" w:eastAsia="Times New Roman" w:hAnsi="Times New Roman"/>
          <w:sz w:val="18"/>
          <w:szCs w:val="18"/>
          <w:b w:val="1"/>
          <w:bCs w:val="1"/>
          <w:color w:val="auto"/>
        </w:rPr>
        <w:t>Pro Forma 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as defined in Rule 405 under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1520" w:hanging="216"/>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that Asset Purchase Agreement dated as of December 13, 2022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by and among the Company, Novartis Technology, LLC and Novartis Ophthalmics AG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The Asset Purchase Agreement has been duly authorized, executed and delivered by the Company, and proceeds from this offering may be used for the Acquisition in accordance with the General Disclosure Package and the Prospectus.</w:t>
      </w:r>
    </w:p>
    <w:p>
      <w:pPr>
        <w:spacing w:after="0" w:line="180"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full right, power and authority to execute and deliver, and perform its obligations under, this Agreement and the Asset Purchase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conform in all material respects to the statements relating thereto contained in the General Disclosure Package and the Prospectus; and other than as contemplated in the General Disclosure Package and the Prospectus, none of the Company or any of its Subsidiaries has issued any debt securities or entered into any agreement or arrangement relating to the issuance of any debt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capital stock of the Company outstanding prior to the issuance of the Shares have been duly authorized and are validly issued, fully paid and non-assessable and were issued in compliance in all material respects with United States federal and applicable state securities laws. All of the Company’s options, warrants and other rights to purchase or exchange any securities for shares of the Company’s capital stock have been duly authorized and validly issued and were issued in compliance in all material respects with United States federal and applicable state securities laws. None of the outstanding shares of capital stock was issued in violation of any preemptive rights, rights of first refusal or other similar rights to subscribe for or purchase securities of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interests, capital stock, partnership interests or other similar equity interests, as applicable, of each Subsidiary (have been, and following consummation of the Acquisition), will be duly authorized and validly issued, are fully paid and nonassessable and, except to the extent set forth in the General Disclosure Package, are owned by the Company directly, free and clear of any claim, lien, encumbrance, security interest, restriction upon voting or transfer or any other claim of any third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1304"/>
        <w:spacing w:after="0" w:line="254" w:lineRule="auto"/>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(1) the execution, delivery and performance of this Agreement by the Company and (2) the issuance and sale of the Shares by the Company (with or without notice or lapse of time or both) (x) conflicts with or results in a breach or violation of any of the terms or provisions of, constitutes a default under, gives rise to any right of termination or other right or the cancellation or acceleration of any right or obligation or loss of a benefit under or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(y) results in any violation of the provisions of the certificate of incorporation or bylaws (or analogous governing instruments, as applicable) of the Company or any of its Subsidiaries, or (z) results in any violation of provisions of any law, statute, rule, regulation, judgment, order or decree of any court or governmental agency or body, domestic or foreign, having jurisdiction over the Company or any of its Subsidiaries or any of their properties or assets; except, with respect to clauses (x) or (z), any contravention which would not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or self-regulatory authority is required for the performance by the Company of its obligations under this Agreement and the issuance of the Shares, except as have been obtained or as may be required by (1) the securities or Blue Sky laws of the various states, or (2) the bylaws, rules and regulations of FINRA or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KMJ Corbin &amp; Company LLP, which has audited certain financial statements of the Company and related schedules included or incorporated by reference in the Registration Statement, the General Disclosure Package and the Prospectus, is an independent registered public accounting firm with respect to the Company as required by the Securities Act and the Rules and Regulations and the Public Company Accounting Oversight Board (United States). To the knowledge of the Company, except as pre-approved in accordance with the requirements set forth in Section 10A of the Exchange Act, the independent registered public accounting firm above has not been engaged by the Company or any of its Subsidiaries, as applicable, to perform any “prohibited activities” (as defined in Section 10A of the Exchange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General Disclosure Package, the Prospectus and the Registration Statement.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of the Company included or incorporated by reference in the Registration Statement, the General Disclosure Package or the Prospectus,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or governmental proceeding, action, suit or claim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General Disclosure Package or proceedings that would not have a Material Adverse Effect or a Pro Forma Material Adverse Effect, or (ii) that are required to be described in the Registration Statement, the General Disclosure Package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General Disclosure Package or the Prospectus or to be filed as exhibits to the Registration Statement that are not described or filed as required.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1304"/>
        <w:spacing w:after="0" w:line="266" w:lineRule="auto"/>
        <w:tabs>
          <w:tab w:leader="none" w:pos="15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after giving effect to the Offering and the application of the proceeds thereof as described in the General Disclosure Package and the Prospectus, will become an “investment company” within the meaning of the Investment Company Act of 1940, as amended,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set forth in the General Disclosure Package as part of the offering contemplated hereby, neither the Company, its Subsidiaries nor any of the Company’s or its Subsidiaries’ officers, directors or affiliates has bid for or purchased, for any account in which it or any of its affiliated purchasers has a beneficial interest, any Shares, or attempted to induce any person to purchase any Shares; and has not, and has not caused its affiliated purchasers to, make bids or purchase for the purpose of creating actual, or apparent, active trading in or of raising the price of the Shares.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all real and personal property owned by them which is material to the business of the Company and its Subsidiaries, taken as a whole, in each case free and clear of all liens, encumbrances and defects of title except such as are described in the General Disclosure Package or would not individually or in the aggregate have a Material Adverse Effect; and any real property and buildings held under lease by the Company and its Subsidiaries are held by them under valid, subsisting and enforceable leases except such as are described in the General Disclosure Package or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General Disclosure Package, neither the Company nor any of its Subsidiaries (is and the consummation of the Acquisition) will not cause the Company to become,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or Pro Forma Material Adverse Effect; and the Company is not aware of any pending investigation which might lead to such a claim.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1304"/>
        <w:spacing w:after="0" w:line="252" w:lineRule="auto"/>
        <w:tabs>
          <w:tab w:leader="none" w:pos="1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General Disclosure Package,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or acquire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any of its Subsidiaries’ rights in or to or the validity of the scope of any of the Company’s or any Subsidiaries’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Subsidiaries’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the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9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 are and at all times have been in material compliance with all applicable Health Care Laws (as defined below) relating to the ownership, testing, development, manufacture, packaging, processing, use, distribution, marketing, labeling, promotion, sale, offer for sale, storage, import, export or disposal of any product under development, manufactured, marketed, sold or distributed by the Company or the Subsidiaries, (B) have not received any Form 483 from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written notice of adverse finding, warning letter, or other written correspondence or notice from the FDA,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any other federal, state, local or foreign governmental or regulatory authority (each,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alleging or asserting noncompliance with any Health Care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which would, individually or in the aggregate, result in a Material Adverse Effect, (C) possess all Authorizations material to the Company and such Authorizations are valid and in full force and effect and neither the Company nor the Subsidiaries is in violation of any term of any such Authorizations; (D) have not received written notice of any material claim, action, suit, proceeding, hearing, enforcement, investigation, arbitration or other action from any Regulatory Authority or third party alleging that any Company product, operation or activity is in violation of any applicable Health Care Laws or Authorizations and has no knowledge that any Regulatory Authority or third party is considering any such claim, litigation, arbitration, action, suit, investigation or proceeding against the Company; (E) have not received written notice that any Regulatory Authority has taken, is taking or, to the knowledge of the Company,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Medicare (Title XVIII of the Social Security Act); (v) Medicaid (Title XIX of the Social Security Act); and (vi) any and all other applicable health care laws and regulations.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1304"/>
        <w:spacing w:after="0" w:line="253" w:lineRule="auto"/>
        <w:tabs>
          <w:tab w:leader="none" w:pos="1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animal and other preclinical studies and clinical trials conducted by the Company or on behalf of the Company were, and, if still pending are, to the Company’s knowledge, being conducted in all material respects in compliance with all applicable Health Care Laws and in accordance with experimental protocols, procedures and controls generally used by qualified experts in the preclinical study and clinical trials of new drugs and biologics comparable to the Company’s products, except where such noncompliance would not reasonably be expected to have a Material Adverse Effect; the descriptions of the results of such preclinical studies and clinical trials contained in the Registration Statement, the General Disclosure Package and the Prospectus are accurate in all material respects, and the Company has no knowledge of any other clinical trials or preclinical studies, the results of which reasonably call into question the clinical trial or preclinical study results described or referred to in the Registration Statement, the General Disclosure Package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the General Disclosure Package and the Prospectus or the results of which are referred to in the Registration Statement, the General Disclosure Package and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having jurisdiction over the Company and performing functions similar to those performed by the FDA or EMA); except where such noncompliance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Except as described in the General Disclosure Package,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and any of its Subsidiaries, on the one hand, and the directors, officers, stockholders (or analogous interest holders), customers or suppliers of the Company or any of its Subsidiaries or any of their affiliates, on the other hand, which is required to be described in the General Disclosure Package or the Prospectus or a document incorporated by reference therein and which is not so described.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consummation of the Acquisition will not result in such a violation. The Company and its Subsidiaries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1304"/>
        <w:spacing w:after="0" w:line="255" w:lineRule="auto"/>
        <w:tabs>
          <w:tab w:leader="none" w:pos="16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and the consummation of the Acquisition will not cause the Company or its Subsidiaries to fail to be,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currently subject to, and the consummation of the Acquisition will not cause the Company or any of its Subsidiaries to be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entity has the right to require registration of any securities of the Company or any of its Subsidiaries under the Securities Act because of the filing or effectiveness of the Registration Statement, except as set forth therein or in the General Disclosure Package.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the Company or the Underwriters for a brokerage commission, finder’s fee or like payment in connection with the Offering or any transaction contemplated by this Agreement, the Registration Statement, the General Disclosure Package or the Prospectus.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As of the filing date of the Registration Statement and as of any update of the Registration Statement pursuant to Section 10(a)</w:t>
      </w:r>
    </w:p>
    <w:p>
      <w:pPr>
        <w:ind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(including the filing of any Annual Report on Form 10-K), the Company was eligible to file a “shelf” Registration Statement on Form S-3 with the Commission.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firstLine="1304"/>
        <w:spacing w:after="0" w:line="282" w:lineRule="auto"/>
        <w:tabs>
          <w:tab w:leader="none" w:pos="1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provisions of the Sarbanes-Oxley Act of 2002 and all applicable rules and regulations promulgated thereunder or is implementing the provisions thereof that are currently in effect.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General Disclosure Package are based on or derived from sources that the Company believes to be reliable and accurate, and such data agree with the sources from which they are derived.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General Disclosure Package, each of the Company and its Subsidiaries (possesses, and following consummation of the Acquisition) each of the Company and its Subsidiaries will possess such valid and current material certificates, authorizations or permits issued by the appropriate state, federal or foreign regulatory agencies or bodies necessary to conduct their respective businesses, and neither the Company nor any Subsidiary of the Company has received, or has any reason to believe that it will receive, any notice of proceedings relating to the revocation or modification of, or non-compliance with, any such certificate, authorization or permit which, individually or in the aggregate, if the subject of an unfavorable decision, ruling or finding, would reasonably be expected to result in a Material Adverse Effect or Pro Forma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filed all material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General Disclosure Package, neither the Company nor any Subsidiary directly or indirectly controls, is controlled by, or is under common control with, or is an associated person (within the meaning of Article I, Section 1(ee) of the By-laws of FINRA) of, any member firm of FINRA.</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of the stockholders of the Company under the rules and regulations of Nasdaq (including Nasdaq Listing Rule 5635) is required for the Company to issue and deliver the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General Disclosure Package, the Company has not sold, issued or distributed any securities of the Company during the six-month period preceding the date hereof, including any sales pursuant to Rule 144A under, or Regulation D or S of, the Securities Act, other than shares of Common Stock issued pursuant to employee benefit plans, qualified equity compensation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General Disclosure Package, each of the Company and its 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1304"/>
        <w:spacing w:after="0" w:line="261" w:lineRule="auto"/>
        <w:tabs>
          <w:tab w:leader="none" w:pos="1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nor, to the Company’s knowledge, any of its directors, officers or affiliates has not taken, directly or indirectly, any action designed to or that might be reasonably expected to cause or result in stabilization or manipulation of the price of any “reference security” (as defined in Rule 100 of Regulation M under the 1934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whether to facilitate the sale or resale of the Shares or otherwise, and has taken no action which would directly or indirectly violate Regulation M.</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distributed and will not distribute, prior to the later of (i) the expiration or termination of the option granted to the Underwriters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(ii) the completion of distribution of the Shares, any offering material in connection with the offering and sale of the Shares other than a preliminary prospectus, the Pricing Prospectus, the Prospectus, any free writing prospectus reviewed and consented to by the Representative, or the Registration Statement.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or on behalf of the Company and delivered to the Representative or to counsel for the Underwriters shall be deemed to be a representation and warranty by the Company to the Underwriters as to the matters covered thereby.</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Closing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the Shares shall be made to the Company by Federal Funds wire transfer against delivery of such Shares to or as designated by the Representative through the facilities of DTC for the respective accounts of the Underwriters. Such payment and delivery shall be made at 10:00 A.M., Eastern Standard Time, on December 16, 2022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time at which such payment and delivery are to be made is hereinafter sometimes called the “</w:t>
      </w:r>
      <w:r>
        <w:rPr>
          <w:rFonts w:ascii="Times New Roman" w:cs="Times New Roman" w:eastAsia="Times New Roman" w:hAnsi="Times New Roman"/>
          <w:sz w:val="18"/>
          <w:szCs w:val="18"/>
          <w:b w:val="1"/>
          <w:bCs w:val="1"/>
          <w:color w:val="auto"/>
        </w:rPr>
        <w:t>Time of Purchase</w:t>
      </w:r>
      <w:r>
        <w:rPr>
          <w:rFonts w:ascii="Times New Roman" w:cs="Times New Roman" w:eastAsia="Times New Roman" w:hAnsi="Times New Roman"/>
          <w:sz w:val="18"/>
          <w:szCs w:val="18"/>
          <w:color w:val="auto"/>
        </w:rPr>
        <w:t>.” Electronic transfer of the Shares shall be made at the Time of Purchase in such names and in such denominations as the Representative shall specify.</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the documents required to be delivered to the Underwriters pursuant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shall be at 10:00 A.M., Eastern Standard Time, on December 16, 2022, on the Closing Date, at the offices of Duane Morris LLP, 1540 Broadway, New York, New York 10036.</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Covenants and Agreements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Underwriters as follows:</w:t>
      </w:r>
    </w:p>
    <w:p>
      <w:pPr>
        <w:spacing w:after="0" w:line="225" w:lineRule="exact"/>
        <w:rPr>
          <w:sz w:val="20"/>
          <w:szCs w:val="20"/>
          <w:color w:val="auto"/>
        </w:rPr>
      </w:pPr>
    </w:p>
    <w:p>
      <w:pPr>
        <w:jc w:val="both"/>
        <w:ind w:firstLine="1304"/>
        <w:spacing w:after="0" w:line="252" w:lineRule="auto"/>
        <w:tabs>
          <w:tab w:leader="none" w:pos="1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Rule 462(b) Registration Statement, if necessary, in a form approved by the Representative, and file such Rule 462(b) Registration Statement with the Commission on the date hereof; to prepare the Prospectus in a form approved by the Representative, containing information previously omitted at the time of effectiveness of the Registration Statement in reliance on rules 430A, 430B and 430C and to file such Prospectus pursuant to Rule 424(b) of the Rules and Regulations not later than the second business day following the execution and delivery of this Agreement or, if applicable, such earlier time as may be required by Rule 430A of the Rules and Regulations; to notify the Representative promptly of the Company’s intention to file or prepare any supplement or amendment to any Registration Statement or to the Prospectus in connection with this Offering and to provide a draft of any such amendment or supplement to the Registration Statement, the General Disclosure Package or the Prospectus to the Representative, for review within an amount of time that is reasonably practical under the circumstances and prior to filing, and to file no such amendment or supplement to which the Representative shall have reasonably objected in writing; to advise the Representative, promptly after it receives notice thereof, of the time when any amendment to any Registration Statement has been filed in connection with the Offering or becomes effective or any supplement to the General Disclosure Package or the Prospectus or any amended Prospectus has been filed and to furnish the Representative with copies thereof; to file within the time periods prescribed by the Exchange Act, including any extension thereof, all material required to be filed by the Company with the Commission pursuant to Rule 433(d) or 163(b)(2), as the case may be; to advise the Representative, promptly after it receives notice thereof, of the issuance by the Commission of any stop order or of any order preventing or suspending the use of any Issuer Free Writing Prospectus or the Prospectus, of the suspension of the qualification of the Shares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Issuer Free Writing Prospectus or the Prospectus or suspending any such qualification, and promptly to use its best efforts to obtain the withdrawal of such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1304"/>
        <w:spacing w:after="0" w:line="254" w:lineRule="auto"/>
        <w:tabs>
          <w:tab w:leader="none" w:pos="1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it obtains the prior consent of the Representative, it has not made and will not make any offer relating to the Shares that would constitute a “free writing prospectus” as defined in Rule 405 of the Rules and Regulations unless the prior written consent of the Representative has been received (each,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xml:space="preserve">”); provided that the prior written consent of the Representative shall be deemed to have been given in respect of the Free Writing Prospectuses included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and any electronic road show, if any. The Company shall furnish to the Representative, a reasonable amount of time prior to the proposed time of filing or use thereof, a copy of each proposed free writing prospectus or any amendment or supplement thereto to be prepared by or on behalf of, used by, or referred to by the Company. The Company represents that it has treated and agrees that it will treat each Permitted Free Writing Prospectus as an Issuer Free Writing Prospectus, and that it has and will comply with the requirements of Rules 164 and 433 of the Rules and Regulations applicable to any Issuer Free Writing Prospectus, including the requirements relating to timely filing with the Commission, legending and record keeping.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Shares is required to be delivered under the Securities Act, any event occurs or condition exists as a result of which the Prospectus, as then amended or supplemented, would include any untrue statement of a material fact or omit to state a material fact necessary in order to make the statements therein, in light of the circumstances under which they were made, not misleading, or the Registration Statement, as then amended or supplemented, would include any untrue statement of a material fact or omit to state a material fact necessary to make the statements therein not misleading, or if for any other reason it is necessary at any time to amend or supplement any Registration Statement or the Prospectus to comply with the Securities Act or the Exchange Act, the Company will promptly notify the Representative, and upon the Representative’s request, the Company will promptly prepare and file with the Commission, at the Company’s expense, an amendment to the Registration Statement or an amendment or supplement to the Prospectus that corrects such statement or omission or effects such compliance. The Company consents to the use of the Prospectus or any amendment or supplement thereto by the Underwriters.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1304"/>
        <w:spacing w:after="0" w:line="261" w:lineRule="auto"/>
        <w:tabs>
          <w:tab w:leader="none" w:pos="15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available on the Commission’s EDGAR system, to make generally available to its security holders as soon as practicable, but in any event not later than eighteen (18) months after the effective date of each Registration Statement (as defined in Rule 158(c) of the Rules and Regulations), an earnings statement of the Company and its consolidated Subsidiaries (which need not be audited) complying with Section 11(a) of the Securities Act and the Rules and Regulations (including, at the option of the Company, Rule 158).</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take promptly from time to time such actions as the Representative may reasonably request to qualify the Shares for offering and sale under the securities or Blue Sky laws of such jurisdictions (domestic or foreign) as the Representative may designate and to continue such qualifications in effect, and to comply with such laws, for so long as required to permit the offer and sale of Shares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and its Subsidiaries shall not be obligated to qualify as foreign corporations in any jurisdiction in which they are not so qualified or to file a general consent to service of process in any jurisdiction.</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the Underwriters with copies of all correspondence to and from, and all documents issued to and by, the Commission in connection with the registration of the Shares under the Securities Act or the Registration Statement or the Prospectus, or any amendment or supplement thereto or document incorporated by reference therein.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Purchase, not to issue any press release or other communication directly or indirectly or hold any press conference (other than the Company’s customary quarterly press release and conference call) without the prior written consent of the Representative (which consent shall not be unreasonably withheld).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Representative shall have notified the Company of the completion of the Offering, that the Company will not, and will cause its affiliated purchasers (as defined in Regulation M under the Exchange Act) not to, either alone or with one or more other persons, and except to the extent expressly set forth in the General Disclosure Package as part of the offering contemplated hereby, bid for or purchase, for any account in which it or any of its affiliated purchasers has a beneficial interest, any Shares, or attempt to induce any person to purchase any Shares; and not to, and to cause its affiliated purchasers not to, make bids or purchase for the purpose of creating actual, or apparent, active trading in or of raising the price of the Shares.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Shares as set forth in the Registration Statement, the General Disclosure Package and the Prospectus under the heading “Use of Proceeds.”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1304"/>
        <w:spacing w:after="0" w:line="253" w:lineRule="auto"/>
        <w:tabs>
          <w:tab w:leader="none" w:pos="15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covenants with each Underwriter that, without the prior written consent of the Representative on behalf of the Underwriters,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 offer, pledge, sell, contract to sell, sell any option or contract to purchase, purchase any option or contract to sell, grant any option,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to purchase, lend,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 The restrictions contained in the foregoing sentence shall not apply to (A) the Shares to be sold hereunder, or (B) the issuance by the Company of shares of Common Stock upon the exercise of an option or warrant or the conversion of a security outstanding on the date hereof as described in each of the General Disclosure Pakcage and Prospectus.</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cooperate with the Representative and use its commercially reasonable efforts to permit the offered Securities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list, effect and maintain, subject to notice of issuance, the Shares on Nasdaq.</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Representative shall have notified the Company of the completion of the offering of the Shares, the Company will not take directly or indirectly any action designed, or that might reasonably be expected to cause or result in, or that will constitute, stabilization or manipulation of the price of any security of the Company to facilitate the sale or resale of any of the Shares.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do and perform all things required to be done or performed under this Agreement by the Company prior to the Time of Purchase, and to satisfy all conditions precedent to the delivery of the Shares to be delivered at such time.</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agrees to pay, or reimburse if paid by the Underwriters, whether or not the transactions contemplated hereby are consummated or this Agreement is terminated: (a) the costs incident to the authorization, issuance, sale and delivery of the Shares to the Underwriters and any taxes payable in that connection; (b) the costs incident to the registration of the Shares under the Securities Act; (c) the costs incident to the preparation, printing and distribution of the Registration Statement, the Base Prospectus, any Issuer Free Writing Prospectus, the General Disclosure Package, the Prospectus, any amendments, supplements and exhibits thereto or any document incorporated by reference therein; (d) the reasonable and documented fees and expenses of counsel to the Underwriters incurred in connection with securing any required review by FINRA and any filings made with FINRA; (e) all costs and expenses incident to listing the Shares on Nasdaq; (f) the fees and expenses of counsel for the Underwriters incurred in connection with qualifying the Shares under the securities laws of the several jurisdictions as provided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and of preparing, printing and distributing wrappers and blue sky memoranda; (g) the fees and expenses of the Trustee and any transfer agent, registrar or depository with respect to the Shares; (h) the expenses and application fees incurred in connection with the approval of the Shares for book-entry transfer by DTC; (i) the reasonable fees and disbursements of counsel to the Underwriters in an aggregate amount not to exceed $25,000 and (j) all other costs and expenses of the Company incident to the offering of the Shares by, or the performance of the obligations of, the Company under this Agreement (including, without limitation, the fees and expenses of the Company’s counsel and the Company’s independent accountants and the travel and other reasonable expenses incurred by Company personnel in connection with any “road show”).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56"/>
        <w:spacing w:after="0" w:line="259" w:lineRule="auto"/>
        <w:tabs>
          <w:tab w:leader="none" w:pos="8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to the Obligations of the Underwriters, and the Sale of the Shares</w:t>
      </w:r>
      <w:r>
        <w:rPr>
          <w:rFonts w:ascii="Times New Roman" w:cs="Times New Roman" w:eastAsia="Times New Roman" w:hAnsi="Times New Roman"/>
          <w:sz w:val="18"/>
          <w:szCs w:val="18"/>
          <w:color w:val="auto"/>
        </w:rPr>
        <w:t>. The obligations of the Underwriters hereunder,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sale of the Shares, are subject to the accuracy, when made and as of the Applicable Time and at the Time of Purchase, as the case may be, of the representations and warranties of the Company contained herein (except for inaccuracies that would not result in a Material Adverse Effect), to the accuracy of the statements of the Company made in any certificates pursuant to the provisions hereof, to the performance by the Company, in all material respects, of its obligations hereunder, and to each of the following additional terms and conditions:</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stop order suspending the effectiveness of the Registration Statement or any part thereof, preventing or suspending the use of the Base Prospectus, the Prospectus or any Permitted Free Writing Prospectus or any part thereof shall have been issued and no proceedings for that purpose or pursuant to Section 8A under the Securities Act shall have been initiated by the Commission, and all requests for additional information on the part of the Commission (to be included or incorporated by reference in the Registration Statement or the Prospectus or otherwise) shall have been complied with; the Rule 462(b) Registration Statement, if any, each Issuer Free Writing Prospectus, if any, and the Prospectus shall have been filed with the Commission within the applicable time period prescribed for such filing by, and in compliance with, the Rules and Regulations and in accordance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or supplement thereto shall not contain an untrue statement of a material fact or omit to state a material fact required to be stated therein or necessary to make the statements therein not misleading, and none of the General Disclosure Package, any Issuer Free Writing Prospectus or the Prospectus, or any amendment or supplement thereto, shall contain an untrue statement of a material fact or omit to state a material fact necessary in order to make the statements therein, in the light of the circumstances in which they were made,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dated the Closing Date, of its Chief Executive Officer and its Chief Financial Officer stating that (i) since the effective date of the Registration Statement, no event has occurred which should have been set forth in a supplement or amendment to the Registration Statement, the General Disclosure Package or the Prospectus, (ii) 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or incorporated by reference in the General Disclosure Package, any material adverse change in the financial position or results of operations of the Company and its Subsidiaries, taken as a whole, or any change or development that, individually or in the aggregate, would reasonably be expected to involve a material adverse change in or affecting the condition (financial or otherwise), results of operations, business or assets of the Company and its Subsidiaries, taken as a whole, except as set forth in the 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1304"/>
        <w:spacing w:after="0" w:line="254" w:lineRule="auto"/>
        <w:tabs>
          <w:tab w:leader="none" w:pos="1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date of the latest audited financial statements with respect to the Company and its Subsidiaries included in the General Disclosure Package or incorporated by reference in the General Disclosure Package as of the date hereof,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of the Company or any change in the long-term debt of the Company and its Subsidiaries, taken as a whole, or any change or any development in or affecting the business, general affairs, management, financial position, stockholders’ equity or results of operations of the Company and its Subsidiaries, taken as a whole, otherwise than as set forth in the General Disclosure Package, the effect of which, in any such case described in clause (i) or (ii)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would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law, statute, rule, regulation or order shall have been enacted, adopted or issued by any governmental agency or body which would prevent the issuance or sale of the Shares or result in a Material Adverse Effect; and no injunction, restraining order or order of any other nature by any United States federal or state court of competent jurisdiction shall have been issued which would prevent the issuance or sale of the Shares or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 impracticable or inadvisable to proceed with the sale or delivery of the Shares on the terms and in the manner contemplated in the General Disclosure Package and the Prospectus.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304"/>
        <w:spacing w:after="0" w:line="266" w:lineRule="auto"/>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(i) an opinion and negative assurance letter of Waller Lansden Dortch &amp; Davis, LLP, counsel for the Company, and (ii) Polsinelli PC, intellectual property counsel for the Company, dated the Closing Date, covering such matters as the Underwriters shall reasonably request.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the favorable opinion of Duane Morris LLP, counsel for the Underwriters, dated the Closing Date, and covering such matters as the Underwriters shall reasonably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from KMJ Corbin &amp; Company LLP letters dated, respectively, the date hereof, and the Closing Date, in form and substance satisfactory to the Representative containing statements and information of the type ordinarily included in accountants’ “comfort letters” to underwriters with respect to the financial statements and certain financial information contained in the General Disclosure Package, the Prospectus and the Registration Statement.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Closing Date the Representative shall have received a certificate of the Company’s Chief Financial Officer with respect to certain financial data contained in the Registration Statement, the Pricing Disclosure Package, the Prospectus, and investor presentation providing “management comfort” with respect to such information, in form and substance reasonably satisfactory to the Representative.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“lock-up” agreements between the Representative and the shareholders, officers and directors of the Company identified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relating to restrictions on sales and certain other dispositions of shares of Common Stock or certain other securities, delivered to the Representative on or before the date hereof, shall be in full force and effect on the Closing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such further certificates and documents as the Representative may reasonably require for the purpose of enabling the Underwriters to pass upon the issuance and sale of the Shares as herein contemplated.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to B. Riley Securities, Inc., in cash, a commitment fee in the amount of $750,000.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satisfied when and as required to be satisfied, this Agreement may be terminated in the absolute discretion of the Representative by notice to the Company at any time on or prior to the Closing Date, which termination shall be without liability on the part of any party to any other party (except to the extent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except that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shall at all times be effective and shall survive such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840" w:hanging="184"/>
        <w:spacing w:after="0"/>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 in Underwriters’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if any Underwriter shall default in its obligation to take up and pay for the Shares to be purchased by it hereunder (otherwise than for a failure of a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if the amount of Shares which all Underwriters so defaulting shall have agreed but failed to take up and pay for does not exceed 10% of the total amount of Shares, the non-defaulting Underwriters shall take up and pay for (in addition to the amount of Shares they are obligated to purchase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the amount of Shares agreed to be purchased by all such defaulting Underwriters, as hereinafter provided. Such Shares shall be taken up and paid for by such non-defaulting Underwriters in such amount or amounts as the Representative may designate with the consent of each Underwriter so designated or, in the event no such designation is made, such Shares shall be taken up and paid for by all non-defaulting Underwriters pro rata in proportion to the aggregate of Shares set opposite the names of such non-defaulting Underwriters in </w:t>
      </w:r>
      <w:r>
        <w:rPr>
          <w:rFonts w:ascii="Times New Roman" w:cs="Times New Roman" w:eastAsia="Times New Roman" w:hAnsi="Times New Roman"/>
          <w:sz w:val="18"/>
          <w:szCs w:val="18"/>
          <w:u w:val="single" w:color="auto"/>
          <w:color w:val="auto"/>
        </w:rPr>
        <w:t>Schedule A.</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relieving any defaulting Underwriter from its obligations hereunder, the Company agrees with the non-defaulting Underwriters that it will not sell any Shares hereunder unless all of the Shares are purchased by the Underwriters (or by substituted Underwriters selected by the Representative with the approval of the Company or selected by the Company with the Representative’s approval).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new Underwriter is or Underwriters are substituted by the Representative or by the Company for a defaulting Underwriter or Underwriters in accordance with the foregoing provision, the Company or the Representative shall have the right to postpone the time of purchase for a period not exceeding five business days in order that any necessary changes in the General Disclosure Package and other documents that may be effected.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 Underwriter as used in this Agreement shall refer to and include any Underwriter substituted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with like effect as if such substituted Underwriter had originally been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amount of Shares which the defaulting Underwriter or Underwriters agreed to purchase exceeds 10% of the total amount of Shares which all Underwriters agreed to purchase hereunder, and if neither the non-defaulting Underwriters nor the Company shall make arrangements within the five business day-period stated above for the purchase of all the Shares which the defaulting Underwriter or Underwriters agreed to purchase hereunder, then this Agreement shall terminate without further act or deed and without any liability on the part of the Company to any non-defaulting Underwriter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840" w:hanging="184"/>
        <w:spacing w:after="0"/>
        <w:tabs>
          <w:tab w:leader="none" w:pos="84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its respective affiliates and each of their respective directors, officers, members, employees, representatives and agents and their respective affiliates, and each person, if any, who controls such Underwriter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Underwriter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document incorporated by reference therein,</w:t>
      </w:r>
    </w:p>
    <w:p>
      <w:pPr>
        <w:jc w:val="both"/>
        <w:ind w:firstLine="8"/>
        <w:spacing w:after="0" w:line="251" w:lineRule="auto"/>
        <w:tabs>
          <w:tab w:leader="none" w:pos="2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omission or alleged omission to state in any Issuer Free Writing Prospectus, any “issuer information” filed or required to be filed pursuant to Rule 433(d) of the Rules and Regulations, any Registration Statement or the Prospectus, or in any amendment or supplement thereto or document incorporated by reference therein, a material fact required to be stated therein or necessary to make the statements therein not misleading, or (C) any breach of the representations and warranties of the Company contained herein or failure of the Company to perform its obligations hereunder or pursuant to any law, and shall reimburse the Underwriter Indemnified Party promptly upon demand for any legal fees or other expenses reasonably incurred by such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expense or liability arises out of or is based upon an untrue statement or alleged untrue statement in, or omission or alleged omission from, any Registration Statement or the Prospectus, or any such amendment or supplement thereto, or any Issuer Free Writing Prospectus made in reliance upon and in conformity with written information concerning the Underwriters furnished to the Company by or on behalf of the Underwriters specifically for use therein, which information the parties hereto agree is limited to the Underwriter’s Information. This indemnity agreement is not exclusive and will be in addition to any liability, which the Company may otherwise have and shall not limit any rights or remedies which may otherwise be available at law or in equity to each Underwriter Indemnified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Underwriter might otherwise have and shall not limit any rights or remedies which may otherwise be available under this Agreement, at law or in equity to the Company Indemnified Parties.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1304"/>
        <w:spacing w:after="0" w:line="251" w:lineRule="auto"/>
        <w:tabs>
          <w:tab w:leader="none" w:pos="15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the commencement of any action, the indemnified party shall, if a claim in respect thereof is to be made against an indemnifying party under this Section 8, notify such indemnifying party in writing of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8 except to the extent it has been materially prejudiced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to notify an indemnifying party shall not relieve it from any liability which it may have to an indemnified party otherwise than under this Section 8.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and approval by the indemnified party of counsel as set forth herein, except as provided herein, the indemnifying party shall not be liable to the indemnified party under Section 8 for any legal or other expenses subsequently incurred by the indemnified party in connection with the defense of such action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indemnified party shall have the right to employ separate counsel in any such action and to participate in the defense of such action but the fees and expenses of such counsel (other than reasonable costs of investigation which shall remain the expense of the Company) shall be at the expense of such indemnified party unless (i) in the case of an Underwriter Indemnified Party, the employment thereof has been specifically authorized in writing by the Company in the case of a claim for indemnification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Underwriter if the indemnified parties under this Section 8 consist of any Underwriter Indemnified Party or by the Company if the indemnified parties under this Section 8 consist of any Company Indemnified Parties. Subject to this Section 8(d), the amount payable by an indemnifying party under Section 8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herein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1304"/>
        <w:spacing w:after="0" w:line="252" w:lineRule="auto"/>
        <w:tabs>
          <w:tab w:leader="none" w:pos="15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unavailable or insufficient to hold harmless an indemnified party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then each applicable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hand from the Offering, or (ii) if the allocation provided by clause (i)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is not permitted by applicable law, in such proportion as is appropriate to reflect not only the relative benefits referred to in clause (i)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but also the relative fault of the Company on the one hand and each of the respective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pursuant to this Agreement (before deducting expenses) received by the Company bear to the total compensation received by the Underwriter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the intent of the parties and their relative knowledge, access to information and opportunity to correct or prevent such untrue statement, omission, act or failure to act.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the Underwriters agree that it would not be just and equitable if contributions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shall be deemed to include, for purposes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no Underwriter shall be required to contribute any amount in excess of the total compensation received by such Underwriter hereunder less the amount of any damages which such Underwriter has otherwise paid or become liable to pay by reason of any untrue or alleged untrue statement, omission or alleged omission, act or alleged act or failure to act or alleged failure to act.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10(f) of the Securities Act) shall be entitled to contribution from any person who was not guilty of such fraudulent misrepresentation.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840" w:hanging="184"/>
        <w:spacing w:after="0"/>
        <w:tabs>
          <w:tab w:leader="none" w:pos="8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responsibility to the Company is solely contractual in nature, the Underwriters have been retained solely to act as underwriters in connection with the Offering and no fiduciary, advisory or agency relationship between the Company and any Underwriter has been created in respect of any of the transactions contemplated by this Agreement, irrespective of whether such Underwriter has advised or is advising the Company on other matters;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Shares set forth in this Agreement was established by the Company following discussions and arms-length negotiations with the Underwriters, and the Company is capable of evaluating and understanding, and understands and accepts, the terms, risks and conditions of the transactions contemplated by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advised, and no Underwriter is advising, the Company or any other person as to any legal, tax, investment, accounting or regulatory matters in any jurisdiction with respect to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consult with its own advisors concerning such matters and shall be responsible for making its own independent investigation and appraisal of the transactions contemplated hereby, and no Underwriter shall have any responsibility or liability to the Company with respect thereto;</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or will be rendering an opinion to the Company as to the fairness of the terms of the offering of the Shares;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each Underwriter, and its respective affiliates, is engaged in a broad range of transactions which may involve interests that differ from those of the Company and no Underwriter has an obligation to disclose such interests and transactions to the Company by virtue of any fiduciary, advisory or agency relationship;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any Underwriter for breach of fiduciary duty or alleged breach of fiduciary duty and agrees that each Underwriter shall not have any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Persons Entitled to Benefit of Agreement</w:t>
      </w:r>
      <w:r>
        <w:rPr>
          <w:rFonts w:ascii="Times New Roman" w:cs="Times New Roman" w:eastAsia="Times New Roman" w:hAnsi="Times New Roman"/>
          <w:sz w:val="18"/>
          <w:szCs w:val="18"/>
          <w:color w:val="auto"/>
        </w:rPr>
        <w:t>. This Agreement shall inure to the benefit of and be binding upon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indemnity of the Underwriters shall be for benefit of the Company Indemnified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56"/>
        <w:spacing w:after="0" w:line="257" w:lineRule="auto"/>
        <w:tabs>
          <w:tab w:leader="none" w:pos="90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Indemnities, Representations, Warranties, Etc</w:t>
      </w:r>
      <w:r>
        <w:rPr>
          <w:rFonts w:ascii="Times New Roman" w:cs="Times New Roman" w:eastAsia="Times New Roman" w:hAnsi="Times New Roman"/>
          <w:sz w:val="18"/>
          <w:szCs w:val="18"/>
          <w:color w:val="auto"/>
        </w:rPr>
        <w:t>. The respective indemnities, covenants,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statements of the Company and the Underwriters, as set forth in this Agreement or made by them respectively, pursuant to this Agreement, shall remain in full force and effect, regardless of any investigation made by or on behalf of the Underwriters, the Company or any person controlling any of them and shall survive delivery of and payment for the Shares. Notwithstanding any termination of this Agreement, the indemnity and contribution agreements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covenants, representations, warranties set forth in this Agreement shall not terminate and shall remain in full force and effect at all times.</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w:t>
      </w:r>
    </w:p>
    <w:p>
      <w:pPr>
        <w:spacing w:after="0" w:line="232" w:lineRule="exact"/>
        <w:rPr>
          <w:rFonts w:ascii="Times New Roman" w:cs="Times New Roman" w:eastAsia="Times New Roman" w:hAnsi="Times New Roman"/>
          <w:sz w:val="18"/>
          <w:szCs w:val="18"/>
          <w:b w:val="1"/>
          <w:bCs w:val="1"/>
          <w:color w:val="auto"/>
        </w:rPr>
      </w:pPr>
    </w:p>
    <w:p>
      <w:pPr>
        <w:jc w:val="both"/>
        <w:ind w:firstLine="1304"/>
        <w:spacing w:after="0" w:line="225" w:lineRule="auto"/>
        <w:tabs>
          <w:tab w:leader="none" w:pos="154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overnight courier or email to B. Riley Securities, Inc., 299 Park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10171, Attention: Syndicate Department, with a copy to Duane Morris LLP Attn: James T. Seery, 1540 Broadway, New York, New York 10036.</w:t>
      </w:r>
    </w:p>
    <w:p>
      <w:pPr>
        <w:spacing w:after="0" w:line="20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overnight courier or email to Harrow Health, Inc., Attention: Mark L. Baum, 102 Woodmont Blvd., Suite 610, Nashville, Tennessee 37205, with a copy to Waller Lansden Dortch &amp; Davis, LLP Attn: James H. Nixon III, Nashville City Center, 511 Union Street, Suite 2700, Nashville, Tennessee 37219.</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Certain Terms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the Nasdaq Stock Market is open for</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w:t>
      </w:r>
    </w:p>
    <w:p>
      <w:pPr>
        <w:spacing w:after="0" w:line="20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5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Underwriter’s Information</w:t>
      </w:r>
      <w:r>
        <w:rPr>
          <w:rFonts w:ascii="Times New Roman" w:cs="Times New Roman" w:eastAsia="Times New Roman" w:hAnsi="Times New Roman"/>
          <w:sz w:val="18"/>
          <w:szCs w:val="18"/>
          <w:color w:val="auto"/>
        </w:rPr>
        <w:t>. The parties hereto acknowledge and agree that, for all purposes of this Agreement,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consists solely of the following information in the General Disclosure Package, the Prospectus and in the Registration Statement: the concession figure appearing in the first paragraph under the section entitled “Underwriting – Discounts and Expenses” and the information contained in the second and fourth paragraphs relating to stabilization transactions under the section entitled “Underwriting – Price Stabilization, Short Positions.”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clause or provision of this Agreement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56"/>
        <w:spacing w:after="0" w:line="259" w:lineRule="auto"/>
        <w:tabs>
          <w:tab w:leader="none" w:pos="93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thereto and hereto were upon the same instrument and such signatures may be delivered by facsimile.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Patrice McNicoll</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Co-Head of Investment Banking</w:t>
      </w: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0" w:type="dxa"/>
            <w:vAlign w:val="bottom"/>
            <w:gridSpan w:val="4"/>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453"/>
        </w:trPr>
        <w:tc>
          <w:tcPr>
            <w:tcW w:w="3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Underwriters</w:t>
            </w:r>
          </w:p>
        </w:tc>
        <w:tc>
          <w:tcPr>
            <w:tcW w:w="5040" w:type="dxa"/>
            <w:vAlign w:val="bottom"/>
            <w:gridSpan w:val="3"/>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to</w:t>
            </w: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36"/>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2,376,426</w:t>
            </w:r>
          </w:p>
        </w:tc>
        <w:tc>
          <w:tcPr>
            <w:tcW w:w="100" w:type="dxa"/>
            <w:vAlign w:val="bottom"/>
          </w:tcPr>
          <w:p>
            <w:pPr>
              <w:spacing w:after="0"/>
              <w:rPr>
                <w:sz w:val="19"/>
                <w:szCs w:val="19"/>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1" w:name="page32"/>
    <w:bookmarkEnd w:id="31"/>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2,376,426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for the Shares shall be $10.52.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proceeds for the Shares shall be $25,000,002.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to the underwriter shall be $9.8888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2" w:name="page33"/>
    <w:bookmarkEnd w:id="32"/>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3" w:name="page34"/>
    <w:bookmarkEnd w:id="33"/>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5"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b w:val="1"/>
          <w:bCs w:val="1"/>
          <w:color w:val="auto"/>
        </w:rPr>
        <w:t>Stockholders, Officers and Directors Subject to Lock-up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L. Lindstrom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A. Makary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Teresa F. Sparks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J. Sternberg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 Riley Securities, Inc.</w:t>
      </w:r>
    </w:p>
    <w:p>
      <w:pPr>
        <w:spacing w:after="0" w:line="205" w:lineRule="auto"/>
        <w:rPr>
          <w:sz w:val="20"/>
          <w:szCs w:val="20"/>
          <w:color w:val="auto"/>
        </w:rPr>
      </w:pPr>
      <w:r>
        <w:rPr>
          <w:rFonts w:ascii="Times New Roman" w:cs="Times New Roman" w:eastAsia="Times New Roman" w:hAnsi="Times New Roman"/>
          <w:sz w:val="18"/>
          <w:szCs w:val="18"/>
          <w:color w:val="auto"/>
        </w:rPr>
        <w:t>299 Park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Harrow Health,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B. Riley Securities, Inc. is acting as representative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$35,000,000 aggregate principal amount of 11.875% Senior Notes due 2027 (the “</w:t>
      </w:r>
      <w:r>
        <w:rPr>
          <w:rFonts w:ascii="Times New Roman" w:cs="Times New Roman" w:eastAsia="Times New Roman" w:hAnsi="Times New Roman"/>
          <w:sz w:val="18"/>
          <w:szCs w:val="18"/>
          <w:b w:val="1"/>
          <w:bCs w:val="1"/>
          <w:color w:val="auto"/>
        </w:rPr>
        <w:t>Firm Notes</w:t>
      </w:r>
      <w:r>
        <w:rPr>
          <w:rFonts w:ascii="Times New Roman" w:cs="Times New Roman" w:eastAsia="Times New Roman" w:hAnsi="Times New Roman"/>
          <w:sz w:val="18"/>
          <w:szCs w:val="18"/>
          <w:color w:val="auto"/>
        </w:rPr>
        <w:t>”). In addition, the Company proposes to grant to the Underwriters the option to purchase from the Company up to an additional $5,250,000 aggregate principal amount of 11.875% Senior Notes due 2027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The Firm Notes and, if and to the extent such option is exercised, the Additional Notes are hereinafter collectively referred to as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Notes will be issued under an indenture dated as of April 20, 2021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(i) the First Supplemental Indenture dated as of April 20, 2021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(ii) the Second Supplemental Indenture dated as of December 20, 2022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 with the First Supplemental Indenture and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Notes will be issued to Cede &amp; Co., as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pursuant to a blanket letter of representations (the “</w:t>
      </w:r>
      <w:r>
        <w:rPr>
          <w:rFonts w:ascii="Times New Roman" w:cs="Times New Roman" w:eastAsia="Times New Roman" w:hAnsi="Times New Roman"/>
          <w:sz w:val="18"/>
          <w:szCs w:val="18"/>
          <w:b w:val="1"/>
          <w:bCs w:val="1"/>
          <w:color w:val="auto"/>
        </w:rPr>
        <w:t>DTC Agreement</w:t>
      </w:r>
      <w:r>
        <w:rPr>
          <w:rFonts w:ascii="Times New Roman" w:cs="Times New Roman" w:eastAsia="Times New Roman" w:hAnsi="Times New Roman"/>
          <w:sz w:val="18"/>
          <w:szCs w:val="18"/>
          <w:color w:val="auto"/>
        </w:rPr>
        <w:t>”) to be dated on or prior to the Closing Date (as defined herein), between the Company and DTC. The Indenture will be qualified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Underwriters agree as follows:</w:t>
      </w:r>
    </w:p>
    <w:p>
      <w:pPr>
        <w:spacing w:after="0" w:line="221" w:lineRule="exact"/>
        <w:rPr>
          <w:sz w:val="20"/>
          <w:szCs w:val="20"/>
          <w:color w:val="auto"/>
        </w:rPr>
      </w:pPr>
    </w:p>
    <w:p>
      <w:pPr>
        <w:jc w:val="both"/>
        <w:ind w:firstLine="656"/>
        <w:spacing w:after="0" w:line="259" w:lineRule="auto"/>
        <w:tabs>
          <w:tab w:leader="none" w:pos="82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Offering</w:t>
      </w:r>
      <w:r>
        <w:rPr>
          <w:rFonts w:ascii="Times New Roman" w:cs="Times New Roman" w:eastAsia="Times New Roman" w:hAnsi="Times New Roman"/>
          <w:sz w:val="18"/>
          <w:szCs w:val="18"/>
          <w:color w:val="auto"/>
        </w:rPr>
        <w:t>. Upon the basis of the representations and warranties and subject to the terms and conditions herein set forth, the Company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issue and sell to the Underwriters, severally and not jointly, the aggregate principal amount of Firm Notes set forth opposite the name of such Underwriter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and each of the Underwriters, severally and not jointly, agrees to purchase from the Company at the price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aggregate principal amount of Firm Notes set forth opposite the name of such Underwriter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adjustment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Notes to be purchased by each of them, all or a portion of the Additional Notes, at the same Purchase Price to be paid by the Underwriters for the Firm Notes (without giving effect to any accrued interest from the Closing Date to the Additional Closing Date (as defined below)). This option may be exercised by the Representative on behalf of the several Underwriters at any time and from time to time in whole or in part by written notice from the Representative to the Company, which notice may be given at any time within 30 days from the date of this Agreement. Such notice shall set forth (i) the aggregate principal amount of Additional Notes as to which the option is being exercised and (ii) the date, time and place at which such Additional Notes are to be delivered (such date, the “</w:t>
      </w:r>
      <w:r>
        <w:rPr>
          <w:rFonts w:ascii="Times New Roman" w:cs="Times New Roman" w:eastAsia="Times New Roman" w:hAnsi="Times New Roman"/>
          <w:sz w:val="18"/>
          <w:szCs w:val="18"/>
          <w:b w:val="1"/>
          <w:bCs w:val="1"/>
          <w:color w:val="auto"/>
        </w:rPr>
        <w:t>Additional Closing Date</w:t>
      </w:r>
      <w:r>
        <w:rPr>
          <w:rFonts w:ascii="Times New Roman" w:cs="Times New Roman" w:eastAsia="Times New Roman" w:hAnsi="Times New Roman"/>
          <w:sz w:val="18"/>
          <w:szCs w:val="18"/>
          <w:color w:val="auto"/>
        </w:rPr>
        <w:t>” and such time of such date,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 of Purchase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Additional Time of Purchase may be simultaneous with, but shall not be earlier than the Time of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defined below) and shall not be earlier than two nor later than five full business days after delivery of such notice of exercise. The aggregate principal amount of Additional Notes to be sold to each Underwriter shall be the aggregate principal amount which bears the same proportion to the total aggregate principal amount of Additional Notes being purchased as the number of Firm Notes set forth opposite the name of such Underwriter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total aggregate principal amount of Firm Notes, subject to adjustment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The Representative may cancel the option at any time prior to its expiration by giving written notice of such cancellation to the Company.</w:t>
      </w:r>
    </w:p>
    <w:p>
      <w:pPr>
        <w:spacing w:after="0" w:line="193" w:lineRule="exact"/>
        <w:rPr>
          <w:sz w:val="20"/>
          <w:szCs w:val="20"/>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Underwriters that: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15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and filed in conformity with the requirements of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published rules and regulations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adopted by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(as hereinafter defined) on Form S-3 (File No. 333-265244), which was declared effective by the Commission as of June 6,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including a base prospectus relating to the securities registered pursuant to such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such amendments and supplements thereto as may have been required to the date of this Agreement.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used in this Agreement means the registration statement (including all exhibits, financial schedules and all documents and information deemed to be a part of the Registration Statement pursuant to Rule 430B of the Rules and Regulations), as amended and/or supplemented to the date of this Agreement, including the Base Prospectus. The Registration Statement is effective under the Securities Act, and no stop order preventing or suspending the effectiveness of the Registration Statement or suspending or preventing the use of the Prospectus (as defined below) has been issued by the Commission, and to the knowledge of the Company, no proceedings for that purpose have been instituted or are threatened by the Commission. The Company has prepared a prospectus supplement to the Base Prospectus included as part of such registration statement specifically relating to the Notes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has or will file such Prospectus Supplement with the Commission pursuant to Rule 424(b) of the Rules and Regulations.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used in this Agreement means the Base Prospectus, as it may be supplemented by the Prospectus Supplement, in the forms in which such Base Prospectus or Prospectus Supplement has been or is to be filed with the Commission pursuant to Rule 424(b) of the Rules and Regulations, except that if any revised prospectus or prospectus supplement shall be provided to the Underwriters by the Company for use in connection with the offering and sale of the Notes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which differs from the Prospectus (whether or not such revised prospectus or prospectus supplement is required to be filed by the Company pursuant to Rule 424(b) of the Rules and Regulations),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before the last to occur of the Effective Date, or the date of the Prospectus, and any reference herein to the terms “amend,” “amendment,” or “supplement” with respect to the Registration Statement or the Prospectus shall be deemed to refer to and include (i) the filing of any document under the Exchange Act after the Effective Date or the date of the Prospectus, as the case may be, which is incorporated by reference and (ii) any such document so filed. If needed to complete the Offering, the Company will file an abbreviated registration statement to register additional securities pursuant to Rule 462(b) under the Rules and Regulations (the “</w:t>
      </w:r>
      <w:r>
        <w:rPr>
          <w:rFonts w:ascii="Times New Roman" w:cs="Times New Roman" w:eastAsia="Times New Roman" w:hAnsi="Times New Roman"/>
          <w:sz w:val="18"/>
          <w:szCs w:val="18"/>
          <w:b w:val="1"/>
          <w:bCs w:val="1"/>
          <w:color w:val="auto"/>
        </w:rPr>
        <w:t>462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any reference herein to the Registration Statement shall also be deemed to include such 462(b) Registration Statement.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304"/>
        <w:spacing w:after="0" w:line="252" w:lineRule="auto"/>
        <w:tabs>
          <w:tab w:leader="none" w:pos="15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Applicable Time (as defined below) and as of the Time of Purchase and any Additional Time of Purchase, as the case may be, none of (i) any General Use Free Writing Prospectus (as defined below) issued at or prior to the Applicable Time, and the Pricing Prospectus (as defined below),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xml:space="preserve">”), (ii) any individual Limited Use Free Writing Prospectus (as defined below) issued at or prior to the Time of Purchase and any Additional Time of Purchase, as the case may be, or (iii) the bona fide electronic road show, if any (as defined in Rule 433(h)(5) of the Rules and Regulations), that has been made available without restriction to any person, when considered together with the General Disclosure Package, included or will include any untrue statement of a material fact or omitted, or as of the Time of Purchase and any Additional Time of Purchase, as the case may be,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representations or warranties as to information contained in or omitted from the General Disclosure Package, any individual Limited Use Free Writing Prospectus or the bona fide electronic road show, if any, in reliance upon, and in conformity with, written information furnished to the Company by or on behalf of the Underwriters specifically for inclusion therein, which information the parties hereto agree is limited to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 xml:space="preserve">” which is defined as the information set forth in </w:t>
      </w:r>
      <w:r>
        <w:rPr>
          <w:rFonts w:ascii="Times New Roman" w:cs="Times New Roman" w:eastAsia="Times New Roman" w:hAnsi="Times New Roman"/>
          <w:sz w:val="18"/>
          <w:szCs w:val="18"/>
          <w:u w:val="single" w:color="auto"/>
          <w:color w:val="auto"/>
        </w:rPr>
        <w:t>Section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elsewhere in this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6:00 P.M., Eastern Standard Time, on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Free Writing Prospectus</w:t>
      </w:r>
      <w:r>
        <w:rPr>
          <w:rFonts w:ascii="Times New Roman" w:cs="Times New Roman" w:eastAsia="Times New Roman" w:hAnsi="Times New Roman"/>
          <w:sz w:val="18"/>
          <w:szCs w:val="18"/>
          <w:color w:val="auto"/>
        </w:rPr>
        <w:t xml:space="preserve">” means any Issuer Free Writing Prospectus identified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as defined in Rule 433 of the Rules and Regulations relating to the Notes in the form filed or required to be filed with the Commission or, if not required to be filed, in the form retained in the Company’s records pursuant to Rule 433(g) of the Rules and Regulations.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Free Writing Prospectuses</w:t>
      </w:r>
      <w:r>
        <w:rPr>
          <w:rFonts w:ascii="Times New Roman" w:cs="Times New Roman" w:eastAsia="Times New Roman" w:hAnsi="Times New Roman"/>
          <w:sz w:val="18"/>
          <w:szCs w:val="18"/>
          <w:color w:val="auto"/>
        </w:rPr>
        <w:t>” means any Issuer Free Writing Prospectus that is not a General Use Free Writing Prospectus.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59" w:lineRule="exact"/>
        <w:rPr>
          <w:sz w:val="20"/>
          <w:szCs w:val="20"/>
          <w:color w:val="auto"/>
        </w:rPr>
      </w:pPr>
    </w:p>
    <w:p>
      <w:pPr>
        <w:jc w:val="both"/>
        <w:ind w:firstLine="1304"/>
        <w:spacing w:after="0" w:line="266" w:lineRule="auto"/>
        <w:tabs>
          <w:tab w:leader="none" w:pos="15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preventing or suspending the use of any Issuer Free Writing Prospectus or the Prospectus relating to the Offering has been issued by the Commission, and no proceeding for that purpose or pursuant to Section 8A of the Securities Act has been instituted or, to the knowledge of the Company, is threatened by the Commission.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Registration Statement became effective, at the Applicable Time and at the Time of Purchase and any Additional Time of Purchase, as the case may be, the Registration Statement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the Prospectus, at the time the Prospectus became effective and at the Time of Purchase and any Additional Time of Purchase, as the case may be,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representations and warranties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not apply to information contained in or omitted from the Registration Statement or the Prospectus in reliance upon, and in conformity with, the Underwriter’s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if any, as of its issue date and at all subsequent times through the completion of the public offer and sale of the Notes or until any earlier date that the Company notified or notifies the Representative as described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did not, does not and will not include any information that conflicted, conflicts or will conflict with the information contained in the Registration Statement, Pricing Prospectus or the Prospectus, including any document incorporated by reference therein and any prospectus supplement deemed to be a part thereof that has not been superseded or modified, or includes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in reliance upon, and in conformity with, the Underwriter’s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1304"/>
        <w:spacing w:after="0" w:line="254" w:lineRule="auto"/>
        <w:tabs>
          <w:tab w:leader="none" w:pos="1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Prospectus, when they became effective or were filed with the Commission, as the case may be, conformed in all material respects to the requirements of the Securities Act or the Exchange Act, as applicable, the Rules and Regulations and the rules and regulations of the Commission under the Exchange Act, and none of such documents contained any untrue statement of a material fact or omitted to state any material fact required to be stated therein or necessary to make the statements therein, in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the Rules and Regulations and the rules and regulations of the Commission under the Exchange Act and will not contain any untrue statement of a material fact or omit to state any material fact required to be stated therein or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The Company has not, directly or indirectly, distributed and will not distribute any offering material in connection with the Offering other than the Registration Statement, the Pricing Prospectus, the Prospectus, any General Use Free Writing Prospectuses and any Limited Use Free Writing Prospectuses reviewed and consented to by the Representative (which consent shall not be unreasonably withheld). The Company will file with the Commission all Issuer Free Writing Prospectuses (other than a “road show,” as defined in Rule 433(d)(8) of the Rules and Regulations), if any, in the time and manner required under Rules 163(b)(2) and 433(d) of the Rules and Regulations.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organized and is validly existing as a corporation or other legal entity in good standing (or the foreign equivalent thereof) under the laws of its jurisdiction of incorporation or organization. Each of the Company and its Subsidiaries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and any such effect as described in clauses (i) or (ii), pro forma for the Acquisition (as defined below), a “</w:t>
      </w:r>
      <w:r>
        <w:rPr>
          <w:rFonts w:ascii="Times New Roman" w:cs="Times New Roman" w:eastAsia="Times New Roman" w:hAnsi="Times New Roman"/>
          <w:sz w:val="18"/>
          <w:szCs w:val="18"/>
          <w:b w:val="1"/>
          <w:bCs w:val="1"/>
          <w:color w:val="auto"/>
        </w:rPr>
        <w:t>Pro Forma 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as defined in Rule 405 under the Securities Act.</w:t>
      </w:r>
    </w:p>
    <w:p>
      <w:pPr>
        <w:spacing w:after="0" w:line="19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by the Company and, as of the Closing Date, will be duly executed and delivered by the Company and, assuming it has been executed and delivered by the Trustee, will constitute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firstLine="1304"/>
        <w:spacing w:after="0" w:line="261" w:lineRule="auto"/>
        <w:tabs>
          <w:tab w:leader="none" w:pos="15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Agreement has been duly authorized, executed and delivered by the Company and is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that Asset Purchase Agreement dated as of December 13, 2022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by and among the Company, Novartis Technology, LLC and Novartis Ophthalmics AG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The Asset Purchase Agreement has been duly authorized, executed and delivered by the Company, and proceeds from this offering may be used for the Acquisition in accordance with the General Disclosure Package and the Prospectus.</w:t>
      </w:r>
    </w:p>
    <w:p>
      <w:pPr>
        <w:spacing w:after="0" w:line="18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(i) applicable bankruptcy, insolvency, reorganization, moratorium or other similar laws now or thereafter in effect relating to creditors’ rights generally and (ii) general principles of equity (regardless of whether enforcement is considered in a proceeding in equity or law), and will be entitled to the benefits of the Indenture relating thereto.</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full right, power and authority to execute and deliver, and perform its obligations under, this Agreement, the Indenture, the Notes, the DTC Agreement and the Asset Purchase Agreement.</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the Indenture conform in all material respects to the statements relating thereto contained in the General Disclosure Package and the Prospectus; and other than as described in the General Disclosure Package and the Prospectus, none of the Company or any of its Subsidiaries has issued any debt securities or entered into any agreement or arrangement relating to the issuance of any debt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capital stock of the Company outstanding prior to the issuance of the Firm Notes have been duly authorized and are validly issued, fully paid and non-assessable and were issued in compliance in all material respects with United States federal and applicable state securities laws. All of the Company’s options, warrants and other rights to purchase or exchange any securities for shares of the Company’s capital stock have been duly authorized and validly issued and were issued in compliance in all material respects with United States federal and applicable state securities laws. None of the outstanding shares of capital stock was issued in violation of any preemptive rights, rights of first refusal or other similar rights to subscribe for or purchase securities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firstLine="1304"/>
        <w:spacing w:after="0" w:line="261"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interests, capital stock, partnership interests or other similar equity interests, as applicable, of each Subsidiary have been, and following consummation of the Acquisition will be, duly authorized and validly issued, are fully paid and nonassessable and, except to the extent set forth in the General Disclosure Package, are owned by the Company directly, free and clear of any claim, lien, encumbrance, security interest, restriction upon voting or transfer or any other claim of any third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(1) the execution, delivery and performance of this Agreement and the Indenture by the Company and (2) the issuance and sale of the Notes by the Company (with or without notice or lapse of time or both) (x) conflicts with or results in a breach or violation of any of the terms or provisions of, constitutes a default under, gives rise to any right of termination or other right or the cancellation or acceleration of any right or obligation or loss of a benefit under or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(y) results in any violation of the provisions of the certificate of incorporation or bylaws (or analogous governing instruments, as applicable) of the Company or any of its Subsidiaries, or (z) results in any violation of provisions of any law, statute, rule, regulation, judgment, order or decree of any court or governmental agency or body, domestic or foreign, having jurisdiction over the Company or any of its Subsidiaries or any of their properties or assets; except, with respect to clauses (x) or (z), any contravention which would not have a Material Adverse Effect.</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or self-regulatory authority is required for the performance by the Company of its obligations under this Agreement, the Indenture, the DTC Agreement and the Notes, except as have been obtained or as may be required by (1) the securities or Blue Sky laws of the various states, (2) the bylaws, rules and regulations of FINRA or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(3) any necessary qualification under the Trust Indenture Act, in connection with the offer and sale of the Notes.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KMJ Corbin &amp; Company LLP, which has audited certain financial statements of the Company and related schedules included or incorporated by reference in the Registration Statement, the General Disclosure Package and the Prospectus, is an independent registered public accounting firm with respect to the Company as required by the Securities Act and the Rules and Regulations and the Public Company Accounting Oversight Board (United States). To the knowledge of the Company, except as pre-approved in accordance with the requirements set forth in Section 10A of the Exchange Act, the independent registered public accounting firm above has not been engaged by the Company or any of its Subsidiaries, as applicable, to perform any “prohibited activities” (as defined in Section 10A of the Exchange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General Disclosure Package, the Prospectus and the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1304"/>
        <w:spacing w:after="0" w:line="258" w:lineRule="auto"/>
        <w:tabs>
          <w:tab w:leader="none" w:pos="15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of the Company included or incorporated by reference in the Registration Statement, the General Disclosure Package or the Prospectus,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or governmental proceeding, action, suit or claim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General Disclosure Package or proceedings that would not have a Material Adverse Effect or a Pro Forma Material Adverse Effect, or (ii) that are required to be described in the Registration Statement, the General Disclosure Package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General Disclosure Package or the Prospectus or to be filed as exhibits to the Registration Statement that are not described or filed as required.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after giving effect to the Offering and the application of the proceeds thereof as described in the General Disclosure Package and the Prospectus, will become an “investment company” within the meaning of the Investment Company Act of 1940, as amended,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set forth in the General Disclosure Package as part of the offering contemplated hereby, neither the Company, its Subsidiaries nor any of the Company’s or its Subsidiaries’ officers, directors or affiliates has bid for or purchased, for any account in which it or any of its affiliated purchasers has a beneficial interest, any Notes, or attempted to induce any person to purchase any Notes; and has not, and has not caused its affiliated purchasers to, make bids or purchase for the purpose of creating actual, or apparent, active trading in or of raising the price of the Notes.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all real and personal property owned by them which is material to the business of the Company and its Subsidiaries, taken as a whole, in each case free and clear of all liens, encumbrances and defects of title except such as are described in the General Disclosure Package or would not individually or in the aggregate have a Material Adverse Effect; and any real property and buildings held under lease by the Company and its Subsidiaries are held by them under valid, subsisting and enforceable leases except such as are described in the General Disclosure Package or would not have a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1304"/>
        <w:spacing w:after="0" w:line="255" w:lineRule="auto"/>
        <w:tabs>
          <w:tab w:leader="none" w:pos="16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General Disclosure Package, neither the Company nor any of its Subsidiaries is, and the consummation of the Acquisition will not cause the Company to become,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or Pro Forma Material Adverse Effect; and the Company is not aware of any pending investigation which might lead to such a claim.</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General Disclosure Package,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or acquire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any of its Subsidiaries’ rights in or to or the validity of the scope of any of the Company’s or any Subsidiaries’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Subsidiaries’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the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1304"/>
        <w:spacing w:after="0" w:line="251" w:lineRule="auto"/>
        <w:tabs>
          <w:tab w:leader="none" w:pos="16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 are and at all times have been in material compliance with all applicable Health Care Laws (as defined below) relating to the ownership, testing, development, manufacture, packaging, processing, use, distribution, marketing, labeling, promotion, sale, offer for sale, storage, import, export or disposal of any product under development, manufactured, marketed, sold or distributed by the Company or the Subsidiaries, (B) have not received any Form 483 from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written notice of adverse finding, warning letter, or other written correspondence or notice from the FDA,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any other federal, state, local or foreign governmental or regulatory authority (each,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alleging or asserting noncompliance with any Health Care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which would, individually or in the aggregate, result in a Material Adverse Effect, (C) possess all Authorizations material to the Company and such Authorizations are valid and in full force and effect and neither the Company nor the Subsidiaries is in violation of any term of any such Authorizations; (D) have not received written notice of any material claim, action, suit, proceeding, hearing, enforcement, investigation, arbitration or other action from any Regulatory Authority or third party alleging that any Company product, operation or activity is in violation of any applicable Health Care Laws or Authorizations and has no knowledge that any Regulatory Authority or third party is considering any such claim, litigation, arbitration, action, suit, investigation or proceeding against the Company; (E) have not received written notice that any Regulatory Authority has taken, is taking or, to the knowledge of the Company,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Medicare (Title XVIII of the Social Security Act); (v) Medicaid (Title XIX of the Social Security Act); and (vi) any and all other applicable health care laws and regulations.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firstLine="1304"/>
        <w:spacing w:after="0" w:line="253" w:lineRule="auto"/>
        <w:tabs>
          <w:tab w:leader="none" w:pos="16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animal and other preclinical studies and clinical trials conducted by the Company or on behalf of the Company were, and, if still pending are, to the Company’s knowledge, being conducted in all material respects in compliance with all applicable Health Care Laws and in accordance with experimental protocols, procedures and controls generally used by qualified experts in the preclinical study and clinical trials of new drugs and biologics comparable to the Company’s products, except where such noncompliance would not reasonably be expected to have a Material Adverse Effect; the descriptions of the results of such preclinical studies and clinical trials contained in the Registration Statement, the General Disclosure Package and the Prospectus are accurate in all material respects, and the Company has no knowledge of any other clinical trials or preclinical studies, the results of which reasonably call into question the clinical trial or preclinical study results described or referred to in the Registration Statement, the General Disclosure Package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the General Disclosure Package and the Prospectus or the results of which are referred to in the Registration Statement, the General Disclosure Package and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having jurisdiction over the Company and performing functions similar to those performed by the FDA or EMA); except where such noncompliance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Except as described in the General Disclosure Package,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1304"/>
        <w:spacing w:after="0" w:line="261" w:lineRule="auto"/>
        <w:tabs>
          <w:tab w:leader="none" w:pos="1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and any of its Subsidiaries, on the one hand, and the directors, officers, stockholders (or analogous interest holders), customers or suppliers of the Company or any of its Subsidiaries or any of their affiliates, on the other hand, which is required to be described in the General Disclosure Package or the Prospectus or a document incorporated by reference therein and which is not so described.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consummation of the Acquisition will not result in such a violation. The Company and its Subsidiaries have instituted and maintain policies and procedures designed to ensure, and which are reasonably expected to continue to ensure, continued compliance therewith.</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and consummation of the Acquisition will not cause the Company or its Subsidiaries to fail to be,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currently subject to, and the consummation of the Acquisition will not cause the Company or any of its Subsidiaries to be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entity has the right to require registration of any securities of the Company or any of its Subsidiaries under the Securities Act because of the filing or effectiveness of the Registration Statement, except as set forth therein or in the General Disclosure Package.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the Company or the Underwriters for a brokerage commission, finder’s fee or like payment in connection with the Offering or any transaction contemplated by this Agreement, the Registration Statement, the General Disclosure Package or the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1304"/>
        <w:spacing w:after="0" w:line="266" w:lineRule="auto"/>
        <w:tabs>
          <w:tab w:leader="none" w:pos="17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As of the filing date of the Registration Statement and as of any update of the Registration Statement pursuant to Section 10(a)(3) of the Securities Act (including the filing of any Annual Report on Form 10-K), the Company was eligible to file a “shelf” Registration Statement on Form S-3 with the Commission.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provisions of the Sarbanes-Oxley Act of 2002 and all applicable rules and regulations promulgated thereunder or is implementing the provisions thereof that are currently in effect.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General Disclosure Package are based on or derived from sources that the Company believes to be reliable and accurate, and such data agree with the sources from which they are derived.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General Disclosure Package, each of the Company and its Subsidiaries possesses, and following consummation of the Acquisition each of the Company and its Subsidiaries will possess, such valid and current material certificates, authorizations or permits issued by the appropriate state, federal or foreign regulatory agencies or bodies necessary to conduct their respective businesses, and neither the Company nor any Subsidiary of the Company has received, or has any reason to believe that it will receive, any notice of proceedings relating to the revocation or modification of, or non-compliance with, any such certificate, authorization or permit which, individually or in the aggregate, if the subject of an unfavorable decision, ruling or finding, would reasonably be expected to result in a Material Adverse Effect or Pro Forma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filed all material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General Disclosure Package, neither the Company nor any Subsidiary directly or indirectly controls, is controlled by, or is under common control with, or is an associated person (within the meaning of Article I, Section 1(ee) of the By-laws of FINRA) of, any member firm of FINRA.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firstLine="1304"/>
        <w:spacing w:after="0" w:line="282" w:lineRule="auto"/>
        <w:tabs>
          <w:tab w:leader="none" w:pos="15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of the stockholders of the Company under the rules and regulations of Nasdaq (including Nasdaq Listing Rule 5635) is required for the Company to issue and deliver the Notes.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General Disclosure Package, the Company has not sold, issued or distributed any securities of the Company during the six-month period preceding the date hereof, including any sales pursuant to Rule 144A under, or Regulation D or S of, the Securities Act, other than shares of Common Stock issued pursuant to employee benefit plans, qualified equity compensation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General Disclosure Package, each of the Company and its 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nor, to the Company’s knowledge, any of its directors, officers or affiliates has not taken, directly or indirectly, any action designed to or that might be reasonably expected to cause or result in stabilization or manipulation of the price of any “reference security” (as defined in Rule 100 of Regulation M under the 1934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whether to facilitate the sale or resale of the Notes or otherwise, and has taken no action which would directly or indirectly violate Regulation M.</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distributed and will not distribute, prior to the later of (i) the expiration or termination of the option granted to the Underwriters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(ii) the completion of distribution of the Notes, any offering material in connection with the offering and sale of the Notes other than a preliminary prospectus, the Pricing Prospectus, the Prospectus, any free writing prospectus reviewed and consented to by the Representative, or the Registration Statement.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or on behalf of the Company and delivered to the Representative or to counsel for the Underwriters shall be deemed to be a representation and warranty by the Company to the Underwriters as to the matters covered thereby.</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Closing</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the Firm Notes shall be made to the Company by Federal Funds wire transfer against delivery of such Firm Notes to or as designated by the Representative through the facilities of DTC for the respective accounts of the Underwriters. Such payment and delivery shall be made at 10:00 A.M., Eastern Standard Time, on December 20, 2022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time at which such payment and delivery are to be made is hereinafter sometimes called the “</w:t>
      </w:r>
      <w:r>
        <w:rPr>
          <w:rFonts w:ascii="Times New Roman" w:cs="Times New Roman" w:eastAsia="Times New Roman" w:hAnsi="Times New Roman"/>
          <w:sz w:val="18"/>
          <w:szCs w:val="18"/>
          <w:b w:val="1"/>
          <w:bCs w:val="1"/>
          <w:color w:val="auto"/>
        </w:rPr>
        <w:t>Time of Purchase</w:t>
      </w:r>
      <w:r>
        <w:rPr>
          <w:rFonts w:ascii="Times New Roman" w:cs="Times New Roman" w:eastAsia="Times New Roman" w:hAnsi="Times New Roman"/>
          <w:sz w:val="18"/>
          <w:szCs w:val="18"/>
          <w:color w:val="auto"/>
        </w:rPr>
        <w:t>.” Electronic transfer of the Firm Notes shall be made at the Time of Purchase in such names and in such denominations as the Representative shall specify.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firstLine="1304"/>
        <w:spacing w:after="0" w:line="266" w:lineRule="auto"/>
        <w:tabs>
          <w:tab w:leader="none" w:pos="15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the Additional Notes shall be made at the Additional Time of Purchase in the same manner and at the same office and time of day as the payment for the Firm Notes. Electronic transfer of the Additional Notes shall be made at the Additional Time of Purchase in such names and in such denominations as the Representative shall specify.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the documents required to be delivered to the Underwriters pursuant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shall be at 10:00 A.M., Eastern Standard Time, on December 20, 2022, on the Closing Date or the Additional Closing Date, as the case may be, at the offices of Duane Morris LLP, 1540 Broadway, New York, New York 10036.</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Covenants and Agreements of 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Underwriters as follows:</w:t>
      </w:r>
    </w:p>
    <w:p>
      <w:pPr>
        <w:spacing w:after="0" w:line="225" w:lineRule="exact"/>
        <w:rPr>
          <w:sz w:val="20"/>
          <w:szCs w:val="20"/>
          <w:color w:val="auto"/>
        </w:rPr>
      </w:pPr>
    </w:p>
    <w:p>
      <w:pPr>
        <w:jc w:val="both"/>
        <w:ind w:firstLine="1304"/>
        <w:spacing w:after="0" w:line="252" w:lineRule="auto"/>
        <w:tabs>
          <w:tab w:leader="none" w:pos="15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Rule 462(b) Registration Statement, if necessary, in a form approved by the Representative, and file such Rule 462(b) Registration Statement with the Commission on the date hereof; to prepare the Prospectus in a form approved by the Representative, containing information previously omitted at the time of effectiveness of the Registration Statement in reliance on rules 430A, 430B and 430C and to file such Prospectus pursuant to Rule 424(b) of the Rules and Regulations not later than the second business day following the execution and delivery of this Agreement or, if applicable, such earlier time as may be required by Rule 430A of the Rules and Regulations; to notify the Representative promptly of the Company’s intention to file or prepare any supplement or amendment to any Registration Statement or to the Prospectus in connection with this Offering and to provide a draft of any such amendment or supplement to the Registration Statement, the General Disclosure Package or the Prospectus to the Representative, for review within an amount of time that is reasonably practical under the circumstances and prior to filing, and to file no such amendment or supplement to which the Representative shall have reasonably objected in writing; to advise the Representative, promptly after it receives notice thereof, of the time when any amendment to any Registration Statement has been filed in connection with the Offering or becomes effective or any supplement to the General Disclosure Package or the Prospectus or any amended Prospectus has been filed and to furnish the Representative with copies thereof; to file within the time periods prescribed by the Exchange Act, including any extension thereof, all material required to be filed by the Company with the Commission pursuant to Rule 433(d) or 163(b)(2), as the case may be; to advise the Representative, promptly after it receives notice thereof, of the issuance by the Commission of any stop order or of any order preventing or suspending the use of any Issuer Free Writing Prospectus or the Prospectus, of the suspension of the qualification of the Notes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Issuer Free Writing Prospectus or the Prospectus or suspending any such qualification, and promptly to use its best efforts to obtain the withdrawal of such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firstLine="1304"/>
        <w:spacing w:after="0" w:line="282" w:lineRule="auto"/>
        <w:tabs>
          <w:tab w:leader="none" w:pos="15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prepare a final term sheet for the Notes, containing solely a description of final terms of the Notes and the offering thereof, in the form approved by you and attached as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and to file such term sheet pursuant to, and within the time required by, Rule 433(d).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it obtains the prior consent of the Representative, it has not made and will not make any offer relating to the Notes that would constitute a “free writing prospectus” as defined in Rule 405 of the Rules and Regulations unless the prior written consent of the Representative has been received (each,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xml:space="preserve">”), other than a free writing prospectus containing the information contained in the final term sheet prepared and filed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hereof; provided that the prior written consent of the Representative shall be deemed to have been given in respect of the Free Writing Prospectuses included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and any electronic road show, if any. The Company shall furnish to the Representative, a reasonable amount of time prior to the proposed time of filing or use thereof, a copy of each proposed free writing prospectus or any amendment or supplement thereto to be prepared by or on behalf of, used by, or referred to by the Company. The Company represents that it has treated and agrees that it will treat each Permitted Free Writing Prospectus as an Issuer Free Writing Prospectus, and that it has and will comply with the requirements of Rules 164 and 433 of the Rules and Regulations applicable to any Issuer Free Writing Prospectus, including the requirements relating to timely filing with the Commission, legending and record keeping.</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Notes is required to be delivered under the Securities Act, any event occurs or condition exists as a result of which the Prospectus, as then amended or supplemented, would include any untrue statement of a material fact or omit to state a material fact necessary in order to make the statements therein, in light of the circumstances under which they were made, not misleading, or the Registration Statement, as then amended or supplemented, would include any untrue statement of a material fact or omit to state a material fact necessary to make the statements therein not misleading, or if for any other reason it is necessary at any time to amend or supplement any Registration Statement or the Prospectus to comply with the Securities Act or the Exchange Act, the Company will promptly notify the Representative, and upon the Representative’s request, the Company will promptly prepare and file with the Commission, at the Company’s expense, an amendment to the Registration Statement or an amendment or supplement to the Prospectus that corrects such statement or omission or effects such compliance. The Company consents to the use of the Prospectus or any amendment or supplement thereto by the Underwriters.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available on the Commission’s EDGAR system, to make generally available to its security holders as soon as practicable, but in any event not later than eighteen (18) months after the effective date of each Registration Statement (as defined in Rule 158(c) of the Rules and Regulations), an earnings statement of the Company and its consolidated Subsidiaries (which need not be audited) complying with Section 11(a) of the Securities Act and the Rules and Regulations (including, at the option of the Company, Rule 158).</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take promptly from time to time such actions as the Representative may reasonably request to qualify the Notes for offering and sale under the securities or Blue Sky laws of such jurisdictions (domestic or foreign) as the Representative may designate and to continue such qualifications in effect, and to comply with such laws, for so long as required to permit the offer and sale of Notes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and its Subsidiaries shall not be obligated to qualify as foreign corporations in any jurisdiction in which they are not so qualified or to file a general consent to service of process in any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1304"/>
        <w:spacing w:after="0" w:line="266" w:lineRule="auto"/>
        <w:tabs>
          <w:tab w:leader="none" w:pos="15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the Underwriters with copies of all correspondence to and from, and all documents issued to and by, the Commission in connection with the registration of the Notes under the Securities Act or the Registration Statement or the Prospectus, or any amendment or supplement thereto or document incorporated by reference therein.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Purchase and the Additional Time of Purchase, if any, not to issue any press release or other communication directly or indirectly or hold any press conference (other than the Company’s customary quarterly press release and conference call) without the prior written consent of the Representative (which consent shall not be unreasonably withheld).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Representative shall have notified the Company of the completion of the Offering, that the Company will not, and will cause its affiliated purchasers (as defined in Regulation M under the Exchange Act) not to, either alone or with one or more other persons, and except to the extent expressly set forth in the General Disclosure Package as part of the offering contemplated hereby, bid for or purchase, for any account in which it or any of its affiliated purchasers has a beneficial interest, any Notes, or attempt to induce any person to purchase any Notes; and not to, and to cause its affiliated purchasers not to, make bids or purchase for the purpose of creating actual, or apparent, active trading in or of raising the price of the Notes.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Notes as set forth in the Registration Statement, the General Disclosure Package and the Prospectus under the heading “Use of Proceeds.”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 for a period of 30 days after the date hereof without the prior written consent of the Representative, which may not be unreasonably withheld. The foregoing sentence shall not apply to the registration of the Notes and the sales to the Underwriters pursuant to this Agreement.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cooperate with the Representative and use its commercially reasonable efforts to permit the offered Securities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list, effect and maintain, subject to notice of issuance, the Notes on Nasdaq.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1304"/>
        <w:spacing w:after="0" w:line="266" w:lineRule="auto"/>
        <w:tabs>
          <w:tab w:leader="none" w:pos="156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Representative shall have notified the Company of the completion of the offering of the Notes, the Company will not take directly or indirectly any action designed, or that might reasonably be expected to cause or result in, or that will constitute, stabilization or manipulation of the price of any security of the Company to facilitate the sale or resale of any of the Notes.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do and perform all things required to be done or performed under this Agreement by the Company prior to the Time of Purchase or the Additional Time of Purchase, as applicable and to satisfy all conditions precedent to the delivery of the Notes to be delivered at such time.</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agrees to pay, or reimburse if paid by the Underwriters, whether or not the transactions contemplated hereby are consummated or this Agreement is terminated: (a) the costs incident to the authorization, issuance, sale and delivery of the Notes to the Underwriters and any taxes payable in that connection; (b) the costs incident to the registration of the Notes under the Securities Act; (c) the costs incident to the preparation, printing and distribution of the Registration Statement, the Base Prospectus, any Issuer Free Writing Prospectus, the General Disclosure Package, the Prospectus, any amendments, supplements and exhibits thereto or any document incorporated by reference therein; (d) the reasonable and documented fees and expenses of counsel to the Underwriters incurred in connection with securing any required review by FINRA and any filings made with FINRA; (e) all costs and expenses incident to listing the Notes on Nasdaq; (f) the fees and expenses of counsel for the Underwriters incurred in connection with qualifying the Notes under the securities laws of the several jurisdictions as provided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and of preparing, printing and distributing wrappers and blue sky memoranda; (g) the fees and expenses of the Trustee and any transfer agent, registrar or depository with respect to the Notes; (h) the expenses and application fees incurred in connection with the approval of the Notes for book-entry transfer by DTC; (i) the reasonable fees and disbursements of counsel to the Underwriters in an aggregate amount not to exceed $125,000 and (j) all other costs and expenses of the Company incident to the offering of the Notes by, or the performance of the obligations of, the Company under this Agreement (including, without limitation, the fees and expenses of the Company’s counsel and the Company’s independent accountants and the travel and other reasonable expenses incurred by Company personnel in connection with any “road show”).</w:t>
      </w:r>
    </w:p>
    <w:p>
      <w:pPr>
        <w:spacing w:after="0" w:line="193" w:lineRule="exact"/>
        <w:rPr>
          <w:sz w:val="20"/>
          <w:szCs w:val="20"/>
          <w:color w:val="auto"/>
        </w:rPr>
      </w:pPr>
    </w:p>
    <w:p>
      <w:pPr>
        <w:jc w:val="both"/>
        <w:ind w:firstLine="656"/>
        <w:spacing w:after="0" w:line="259" w:lineRule="auto"/>
        <w:tabs>
          <w:tab w:leader="none" w:pos="84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to the Obligations of the Underwriters, and the Sale of the Notes</w:t>
      </w:r>
      <w:r>
        <w:rPr>
          <w:rFonts w:ascii="Times New Roman" w:cs="Times New Roman" w:eastAsia="Times New Roman" w:hAnsi="Times New Roman"/>
          <w:sz w:val="18"/>
          <w:szCs w:val="18"/>
          <w:color w:val="auto"/>
        </w:rPr>
        <w:t>. The obligations of the Underwriters hereunder,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sale of the Notes, are subject to the accuracy, when made and as of the Applicable Time and at the Time of Purchase or the Additional Time of Purchase, as the case may be, of the representations and warranties of the Company contained herein (except for inaccuracies that would not result in a Material Adverse Effect), to the accuracy of the statements of the Company made in any certificates pursuant to the provisions hereof, to the performance by the Company, in all material respects, of its obligations hereunder, and to each of the following additional terms and conditions:</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stop order suspending the effectiveness of the Registration Statement or any part thereof, preventing or suspending the use of the Base Prospectus, the Prospectus or any Permitted Free Writing Prospectus or any part thereof shall have been issued and no proceedings for that purpose or pursuant to Section 8A under the Securities Act shall have been initiated by the Commission, and all requests for additional information on the part of the Commission (to be included or incorporated by reference in the Registration Statement or the Prospectus or otherwise) shall have been complied with; the Rule 462(b) Registration Statement, if any, each Issuer Free Writing Prospectus, if any, and the Prospectus shall have been filed with the Commission within the applicable time period prescribed for such filing by, and in compliance with, the Rules and Regulations and in accordance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1304"/>
        <w:spacing w:after="0" w:line="261" w:lineRule="auto"/>
        <w:tabs>
          <w:tab w:leader="none" w:pos="15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or supplement thereto shall not contain an untrue statement of a material fact or omit to state a material fact required to be stated therein or necessary to make the statements therein not misleading, and none of the General Disclosure Package, any Issuer Free Writing Prospectus or the Prospectus, or any amendment or supplement thereto, shall contain an untrue statement of a material fact or omit to state a material fact necessary in order to make the statements therein, in the light of the circumstances in which they were made,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72" w:lineRule="auto"/>
        <w:tabs>
          <w:tab w:leader="none" w:pos="154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furnished to the Representative a certificate, dated the Closing Date or the Additional Closing Date, as the case may be, of its Chief Executive Officer and its Chief Financial Officer stating that (i) since the effective date of the Registration Statement, no event has occurred which should have been set forth in a supplement or amendment to the Registration Statement, the General Disclosure Package or the Prospectus,</w:t>
      </w:r>
    </w:p>
    <w:p>
      <w:pPr>
        <w:spacing w:after="0" w:line="1" w:lineRule="exact"/>
        <w:rPr>
          <w:rFonts w:ascii="Times New Roman" w:cs="Times New Roman" w:eastAsia="Times New Roman" w:hAnsi="Times New Roman"/>
          <w:sz w:val="17"/>
          <w:szCs w:val="17"/>
          <w:color w:val="auto"/>
        </w:rPr>
      </w:pPr>
    </w:p>
    <w:p>
      <w:pPr>
        <w:jc w:val="both"/>
        <w:ind w:firstLine="8"/>
        <w:spacing w:after="0" w:line="252" w:lineRule="auto"/>
        <w:tabs>
          <w:tab w:leader="none" w:pos="2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or incorporated by reference in the General Disclosure Package, any material adverse change in the financial position or results of operations of the Company and its Subsidiaries, taken as a whole, or any change or development that, individually or in the aggregate, would reasonably be expected to involve a material adverse change in or affecting the condition (financial or otherwise), results of operations, business or assets of the Company and its Subsidiaries, taken as a whole, except as set forth in the Prospectus.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date of the latest audited financial statements with respect to the Company and its Subsidiaries included in the General Disclosure Package or incorporated by reference in the General Disclosure Package as of the date hereof,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of the Company or any change in the long-term debt of the Company and its Subsidiaries, taken as a whole, or any change or any development in or affecting the business, general affairs, management, financial position, stockholders’ equity or results of operations of the Company and its Subsidiaries, taken as a whole, otherwise than as set forth in the General Disclosure Package, the effect of which, in any such case described in clause (i) or (ii)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would result in 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firstLine="1304"/>
        <w:spacing w:after="0" w:line="261" w:lineRule="auto"/>
        <w:tabs>
          <w:tab w:leader="none" w:pos="15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law, statute, rule, regulation or order shall have been enacted, adopted or issued by any governmental agency or body which would prevent the issuance or sale of the Notes or result in a Material Adverse Effect; and no injunction, restraining order or order of any other nature by any United States federal or state court of competent jurisdiction shall have been issued which would prevent the issuance or sale of the Notes or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 impracticable or inadvisable to proceed with the sale or delivery of the Notes on the terms and in the manner contemplated in the General Disclosure Package and the Prospectus.</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(i) an opinion and negative assurance letter of Waller Lansden Dortch &amp; Davis, LLP, counsel for the Company, and (ii) Polsinelli PC, intellectual property counsel for the Company, each dated the Closing Date or the Additional Closing Date, as the case may be, covering such matters as the Underwriters shall reasonably request.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the favorable opinion of Duane Morris LLP, counsel for the Underwriters, dated the Closing Date or the Additional Closing Date, as the case may be, and covering such matters as the Underwriters shall reasonably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firstLine="1304"/>
        <w:spacing w:after="0" w:line="261" w:lineRule="auto"/>
        <w:tabs>
          <w:tab w:leader="none" w:pos="15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from KMJ Corbin &amp; Company LLP letters dated, respectively, the date hereof, the Closing Date and, if applicable, the Additional Closing Date, in form and substance satisfactory to the Representative containing statements and information of the type ordinarily included in accountants’ “comfort letters” to underwriters with respect to the financial statements and certain financial information contained in the General Disclosure Package, the Prospectus and the Registration Statement.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Closing Date the Representative shall have received a certificate of the Company’s Chief Financial Officer with respect to certain financial data contained in the Registration Statement, the Pricing Disclosure Package, the Prospectus, and investor presentation providing “management comfort” with respect to such information, in form and substance reasonably satisfactory to the Representative.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such further certificates and documents as the Representative may reasonably require for the purpose of enabling the Underwriters to pass upon the issuance and sale of the Notes as herein contemplated.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to B. Riley Securities, Inc., in cash, a commitment fee in the amount of $3,000,000 and a structuring fee in the amount of $350,000.</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shall have executed and delivered the Second Supplemental Indenture and the Notes.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satisfied when and as required to be satisfied, this Agreement may be terminated in the absolute discretion of the Representative by notice to the Company at any time on or prior to the Closing Date and, with respect to the Additional Notes, at any time on or prior to the applicable Additional Closing Date, which termination shall be without liability on the part of any party to any other party (except to the extent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except that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shall at all times be effective and shall survive such termination.</w:t>
      </w:r>
    </w:p>
    <w:p>
      <w:pPr>
        <w:spacing w:after="0" w:line="176" w:lineRule="exact"/>
        <w:rPr>
          <w:sz w:val="20"/>
          <w:szCs w:val="20"/>
          <w:color w:val="auto"/>
        </w:rPr>
      </w:pPr>
    </w:p>
    <w:p>
      <w:pPr>
        <w:ind w:left="840" w:hanging="184"/>
        <w:spacing w:after="0"/>
        <w:tabs>
          <w:tab w:leader="none" w:pos="8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 in Underwriters’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if any Underwriter shall default in its obligation to take up and pay for the Firm Notes to be purchased by it hereunder (otherwise than for a failure of a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if the aggregate principal amount of Firm Notes which all Underwriters so defaulting shall have agreed but failed to take up and pay for does not exceed 10% of the total aggregate principal amount of Firm Notes, the non-defaulting Underwriters shall take up and pay for (in addition to the aggregate principal amount of Firm Notes they are obligated to purchase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the aggregate principal amount of Firm Notes agreed to be purchased by all such defaulting Underwriters, as hereinafter provided. Such Notes shall be taken up and paid for by such non-defaulting Underwriters in such amount or amounts as the Representative may designate with the consent of each Underwriter so designated or, in the event no such designation is made, such Notes shall be taken up and paid for by all non-defaulting Underwriters pro rata in proportion to the aggregate principal amount of Firm Notes set opposite the names of such non-defaulting Underwriters in </w:t>
      </w:r>
      <w:r>
        <w:rPr>
          <w:rFonts w:ascii="Times New Roman" w:cs="Times New Roman" w:eastAsia="Times New Roman" w:hAnsi="Times New Roman"/>
          <w:sz w:val="18"/>
          <w:szCs w:val="18"/>
          <w:u w:val="single" w:color="auto"/>
          <w:color w:val="auto"/>
        </w:rPr>
        <w:t>Schedule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relieving any defaulting Underwriter from its obligations hereunder, the Company agrees with the non-defaulting Underwriters that it will not sell any Firm Notes hereunder unless all of the Firm Notes are purchased by the Underwriters (or by substituted Underwriters selected by the Representative with the approval of the Company or selected by the Company with the Representative’s approval).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new Underwriter is or Underwriters are substituted by the Representative or by the Company for a defaulting Underwriter or Underwriters in accordance with the foregoing provision, the Company or the Representative shall have the right to postpone the time of purchase for a period not exceeding five business days in order that any necessary changes in the General Disclosure Package and other documents that may be effected.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 Underwriter as used in this Agreement shall refer to and include any Underwriter substituted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with like effect as if such substituted Underwriter had originally been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aggregate principal amount of Firm Notes which the defaulting Underwriter or Underwriters agreed to purchase exceeds 10% of the total aggregate principal amount of Firm Notes which all Underwriters agreed to purchase hereunder, and if neither the non-defaulting Underwriters nor the Company shall make arrangements within the five business day-period stated above for the purchase of all the Firm Notes which the defaulting Underwriter or Underwriters agreed to purchase hereunder, then this Agreement shall terminate without further act or deed and without any liability on the part of the Company to any non-defaulting Underwriter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85" w:lineRule="exact"/>
        <w:rPr>
          <w:sz w:val="20"/>
          <w:szCs w:val="20"/>
          <w:color w:val="auto"/>
        </w:rPr>
      </w:pPr>
    </w:p>
    <w:p>
      <w:pPr>
        <w:ind w:left="840" w:hanging="184"/>
        <w:spacing w:after="0"/>
        <w:tabs>
          <w:tab w:leader="none" w:pos="84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its respective affiliates and each of their respective directors, officers, members, employees, representatives and agents and their respective affiliates, and each person, if any, who controls such Underwriter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Underwriter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document incorporated by reference therein,</w:t>
      </w:r>
    </w:p>
    <w:p>
      <w:pPr>
        <w:jc w:val="both"/>
        <w:ind w:firstLine="8"/>
        <w:spacing w:after="0" w:line="251" w:lineRule="auto"/>
        <w:tabs>
          <w:tab w:leader="none" w:pos="2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omission or alleged omission to state in any Issuer Free Writing Prospectus, any “issuer information” filed or required to be filed pursuant to Rule 433(d) of the Rules and Regulations, any Registration Statement or the Prospectus, or in any amendment or supplement thereto or document incorporated by reference therein, a material fact required to be stated therein or necessary to make the statements therein not misleading, or (C) any breach of the representations and warranties of the Company contained herein or failure of the Company to perform its obligations hereunder or pursuant to any law, and shall reimburse the Underwriter Indemnified Party promptly upon demand for any legal fees or other expenses reasonably incurred by such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expense or liability arises out of or is based upon an untrue statement or alleged untrue statement in, or omission or alleged omission from, any Registration Statement or the Prospectus, or any such amendment or supplement thereto, or any Issuer Free Writing Prospectus made in reliance upon and in conformity with written information concerning the Underwriters furnished to the Company by or on behalf of the Underwriters specifically for use therein, which information the parties hereto agree is limited to the Underwriter’s Information. This indemnity agreement is not exclusive and will be in addition to any liability, which the Company may otherwise have and shall not limit any rights or remedies which may otherwise be available at law or in equity to each Underwriter Indemnified Party.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1304"/>
        <w:spacing w:after="0" w:line="252" w:lineRule="auto"/>
        <w:tabs>
          <w:tab w:leader="none" w:pos="15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Underwriter might otherwise have and shall not limit any rights or remedies which may otherwise be available under this Agreement, at law or in equity to the Company Indemnified Parties.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1304"/>
        <w:spacing w:after="0" w:line="251" w:lineRule="auto"/>
        <w:tabs>
          <w:tab w:leader="none" w:pos="15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the commencement of any action, the indemnified party shall, if a claim in respect thereof is to be made against an indemnifying party under this Section 8, notify such indemnifying party in writing of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8 except to the extent it has been materially prejudiced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to notify an indemnifying party shall not relieve it from any liability which it may have to an indemnified party otherwise than under this Section 8.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and approval by the indemnified party of counsel as set forth herein, except as provided herein, the indemnifying party shall not be liable to the indemnified party under Section 8 for any legal or other expenses subsequently incurred by the indemnified party in connection with the defense of such action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indemnified party shall have the right to employ separate counsel in any such action and to participate in the defense of such action but the fees and expenses of such counsel (other than reasonable costs of investigation which shall remain the expense of the Company) shall be at the expense of such indemnified party unless (i) in the case of an Underwriter Indemnified Party, the employment thereof has been specifically authorized in writing by the Company in the case of a claim for indemnification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Underwriter if the indemnified parties under this Section 8 consist of any Underwriter Indemnified Party or by the Company if the indemnified parties under this Section 8 consist of any Company Indemnified Parties. Subject to this Section 8(d), the amount payable by an indemnifying party under Section 8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herein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1304"/>
        <w:spacing w:after="0" w:line="252" w:lineRule="auto"/>
        <w:tabs>
          <w:tab w:leader="none" w:pos="15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unavailable or insufficient to hold harmless an indemnified party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then each applicable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hand from the Offering, or (ii) if the allocation provided by clause (i)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is not permitted by applicable law, in such proportion as is appropriate to reflect not only the relative benefits referred to in clause (i)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but also the relative fault of the Company on the one hand and each of the respective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pursuant to this Agreement (before deducting expenses) received by the Company bear to the total compensation received by the Underwriter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the intent of the parties and their relative knowledge, access to information and opportunity to correct or prevent such untrue statement, omission, act or failure to act.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the Underwriters agree that it would not be just and equitable if contributions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shall be deemed to include, for purposes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no Underwriter shall be required to contribute any amount in excess of the total compensation received by such Underwriter hereunder less the amount of any damages which such Underwriter has otherwise paid or become liable to pay by reason of any untrue or alleged untrue statement, omission or alleged omission, act or alleged act or failure to act or alleged failure to act.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10(f) of the Securities Act) shall be entitled to contribution from any person who was not guilty of such fraudulent misrepresentation.</w:t>
      </w:r>
    </w:p>
    <w:p>
      <w:pPr>
        <w:spacing w:after="0" w:line="158" w:lineRule="exact"/>
        <w:rPr>
          <w:sz w:val="20"/>
          <w:szCs w:val="20"/>
          <w:color w:val="auto"/>
        </w:rPr>
      </w:pPr>
    </w:p>
    <w:p>
      <w:pPr>
        <w:ind w:left="840" w:hanging="184"/>
        <w:spacing w:after="0"/>
        <w:tabs>
          <w:tab w:leader="none" w:pos="8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responsibility to the Company is solely contractual in nature, the Underwriters have been retained solely to act as underwriters in connection with the Offering and no fiduciary, advisory or agency relationship between the Company and any Underwriter has been created in respect of any of the transactions contemplated by this Agreement, irrespective of whether such Underwriter has advised or is advising the Company on other matters;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Notes set forth in this Agreement was established by the Company following discussions and arms-length negotiations with the Underwriters, and the Company is capable of evaluating and understanding, and understands and accepts, the terms, risks and conditions of the transactions contemplated by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advised, and no Underwriter is advising, the Company or any other person as to any legal, tax, investment, accounting or regulatory matters in any jurisdiction with respect to the transactions contemplated 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firstLine="1304"/>
        <w:spacing w:after="0" w:line="266" w:lineRule="auto"/>
        <w:tabs>
          <w:tab w:leader="none" w:pos="156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consult with its own advisors concerning such matters and shall be responsible for making its own independent investigation and appraisal of the transactions contemplated hereby, and no Underwriter shall have any responsibility or liability to the Company with respect thereto;</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or will be rendering an opinion to the Company as to the fairness of the terms of the offering of the Notes;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each Underwriter, and its respective affiliates, is engaged in a broad range of transactions which may involve interests that differ from those of the Company and no Underwriter has an obligation to disclose such interests and transactions to the Company by virtue of any fiduciary, advisory or agency relationship;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any Underwriter for breach of fiduciary duty or alleged breach of fiduciary duty and agrees that each Underwriter shall not have any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Persons Entitled to Benefit of Agreement</w:t>
      </w:r>
      <w:r>
        <w:rPr>
          <w:rFonts w:ascii="Times New Roman" w:cs="Times New Roman" w:eastAsia="Times New Roman" w:hAnsi="Times New Roman"/>
          <w:sz w:val="18"/>
          <w:szCs w:val="18"/>
          <w:color w:val="auto"/>
        </w:rPr>
        <w:t>. This Agreement shall inure to the benefit of and be binding upon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indemnity of the Underwriters shall be for benefit of the Company Indemnified Parties.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0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Indemnities, Representations, Warranties, Etc</w:t>
      </w:r>
      <w:r>
        <w:rPr>
          <w:rFonts w:ascii="Times New Roman" w:cs="Times New Roman" w:eastAsia="Times New Roman" w:hAnsi="Times New Roman"/>
          <w:sz w:val="18"/>
          <w:szCs w:val="18"/>
          <w:color w:val="auto"/>
        </w:rPr>
        <w:t>. The respective indemnities, covenants,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statements of the Company and the Underwriters, as set forth in this Agreement or made by them respectively, pursuant to this Agreement, shall remain in full force and effect, regardless of any investigation made by or on behalf of the Underwriters, the Company or any person controlling any of them and shall survive delivery of and payment for the Notes. Notwithstanding any termination of this Agreement, the indemnity and contribution agreements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covenants, representations, warranties set forth in this Agreement shall not terminate and shall remain in full force and effect at all times.</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w:t>
      </w:r>
    </w:p>
    <w:p>
      <w:pPr>
        <w:spacing w:after="0" w:line="232" w:lineRule="exact"/>
        <w:rPr>
          <w:rFonts w:ascii="Times New Roman" w:cs="Times New Roman" w:eastAsia="Times New Roman" w:hAnsi="Times New Roman"/>
          <w:sz w:val="18"/>
          <w:szCs w:val="18"/>
          <w:b w:val="1"/>
          <w:bCs w:val="1"/>
          <w:color w:val="auto"/>
        </w:rPr>
      </w:pPr>
    </w:p>
    <w:p>
      <w:pPr>
        <w:jc w:val="both"/>
        <w:ind w:firstLine="1304"/>
        <w:spacing w:after="0" w:line="225" w:lineRule="auto"/>
        <w:tabs>
          <w:tab w:leader="none" w:pos="154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overnight courier or email to B. Riley Securities, Inc., 299 Park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10171, Attention: Syndicate Department, with a copy to Duane Morris LLP Attn: James T. Seery, 1540 Broadway, New York, New York 10036.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1304"/>
        <w:spacing w:after="0" w:line="266" w:lineRule="auto"/>
        <w:tabs>
          <w:tab w:leader="none" w:pos="156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overnight courier or email to Harrow Health, Inc., Attention: Mark L. Baum, 102 Woodmont Blvd., Suite 610, Nashville, Tennessee 37205, with a copy to Waller Lansden Dortch &amp; Davis, LLP Attn: James H. Nixon III, Nashville City Center, 511 Union Street, Suite 2700, Nashville, Tennessee 37219.</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Certain Terms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the Nasdaq Stock Market is open for</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w:t>
      </w:r>
    </w:p>
    <w:p>
      <w:pPr>
        <w:spacing w:after="0" w:line="20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5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Underwriter’s Information</w:t>
      </w:r>
      <w:r>
        <w:rPr>
          <w:rFonts w:ascii="Times New Roman" w:cs="Times New Roman" w:eastAsia="Times New Roman" w:hAnsi="Times New Roman"/>
          <w:sz w:val="18"/>
          <w:szCs w:val="18"/>
          <w:color w:val="auto"/>
        </w:rPr>
        <w:t>. The parties hereto acknowledge and agree that, for all purposes of this Agreement,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consists solely of the following information in the General Disclosure Package, the Prospectus and in the Registration Statement: the concession figure appearing in the first paragraph under the section entitled “Underwriting – Discounts and Expenses” and the information contained in the second and fourth paragraphs relating to stabilization transactions under the section entitled “Underwriting – Price Stabilization, Short Positions.”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clause or provision of this Agreement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3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thereto and hereto were upon the same instrument and such signatures may be delivered by facsimile.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Patrice McNicoll</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Co-Head of Investment Banking</w:t>
      </w: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5060" w:type="dxa"/>
            <w:vAlign w:val="bottom"/>
            <w:gridSpan w:val="3"/>
          </w:tcPr>
          <w:p>
            <w:pPr>
              <w:jc w:val="right"/>
              <w:ind w:right="321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40" w:type="dxa"/>
            <w:vAlign w:val="bottom"/>
          </w:tcPr>
          <w:p>
            <w:pPr>
              <w:spacing w:after="0"/>
              <w:rPr>
                <w:sz w:val="24"/>
                <w:szCs w:val="24"/>
                <w:color w:val="auto"/>
              </w:rPr>
            </w:pPr>
          </w:p>
        </w:tc>
        <w:tc>
          <w:tcPr>
            <w:tcW w:w="5060" w:type="dxa"/>
            <w:vAlign w:val="bottom"/>
            <w:gridSpan w:val="3"/>
          </w:tcPr>
          <w:p>
            <w:pPr>
              <w:jc w:val="right"/>
              <w:ind w:right="3270"/>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4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4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Securities to</w:t>
            </w:r>
          </w:p>
        </w:tc>
      </w:tr>
      <w:tr>
        <w:trPr>
          <w:trHeight w:val="245"/>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4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16"/>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4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Janney Montgomery Scott LLC</w:t>
            </w: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2,887,500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3,412,500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Aegis Capital Corp.</w:t>
            </w: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Brownstone Investment Group, LLC</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612,500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InspereX LLC</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1,487,500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962,500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Newbridge Securities Corporation</w:t>
            </w: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w:t>
            </w: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Revere Securities LLC</w:t>
            </w: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4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principal amount of the Firm Notes is $35,000,000 (representing 1,400,000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for the Notes shall be $25.00.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proceeds for the Notes shall be $35,000,000.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Notes to be paid by the several Underwriters shall be 96.0% of the public 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is 11.875 %.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the Notes shall be December 31, 2027.</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prior to December 31, 2024, the Company may redeem the Notes for cash in whole or in part at any time at its option at a redemption price equal to 100.0% of the principal amount thereof plus the Make-Whole Amount (as defined in the Preliminary Prospectus Supplement) as of, and accrued and unpaid interest to, but excluding, the date of redemption. The Company may redeem the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failure by the Company to consummate the Acquisition (as defined in the Preliminary Prospectus Supplement) (excluding the milestone payment related to the commercial availability of Triesence) within 180 days after the original issue date of the Notes, or, in certain circumstances, there is a Material Change (as defined in the Preliminary Prospectus Supplement) the Company shall redeem the Notes for cash, in whole but not in part, at the redemption price equal to $25.50 per Note, plus accrued and unpaid interest to, but excluding,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Final term sheet as prepared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hereto to be filed as an Issuer Free Writing Prospectus by the Company with the Commission on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5"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7"/>
          <w:szCs w:val="17"/>
          <w:b w:val="1"/>
          <w:bCs w:val="1"/>
          <w:color w:val="auto"/>
        </w:rPr>
        <w:t>Filed pursuant to Rule 433</w:t>
      </w:r>
    </w:p>
    <w:p>
      <w:pPr>
        <w:spacing w:after="0" w:line="43"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7"/>
          <w:szCs w:val="17"/>
          <w:b w:val="1"/>
          <w:bCs w:val="1"/>
          <w:color w:val="auto"/>
        </w:rPr>
        <w:t>Registration No. 333- 265244</w:t>
      </w:r>
    </w:p>
    <w:p>
      <w:pPr>
        <w:spacing w:after="0" w:line="21"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7"/>
          <w:szCs w:val="17"/>
          <w:b w:val="1"/>
          <w:bCs w:val="1"/>
          <w:color w:val="auto"/>
        </w:rPr>
        <w:t>Issuer Free Writing Prospectus</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Supplementing the Preliminary Prospectus Supplement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December 14,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$35,000,000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Term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15,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pricing term sheet is qualified in its entirety by reference to the Preliminary Prospectus Supplement, dated December 14, 2022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Harrow Health,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11.875% Senior Notes Due 2027 (the “Notes”)</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Type: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16, 2022</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20, 2022</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Nasdaq “HROWM”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Number of Notes: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1,400,000 (equal to $35,000,000 principal amount)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Option Notes:</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Up to 210,000 (up to $5,250,000 of additional principal amount)</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December 31, 2027</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Rating:</w:t>
            </w: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The Notes have received a “BB” rating from Egan-Jones Ratings Co., an independent,</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unaffiliated rating agency. Ratings are not a recommendation to purchase, hold or sell notes,</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inasmuch as the ratings do not comment as to market price or suitability for a particular</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investor. The ratings are based upon current information furnished to the rating agency by the</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Issuer and information obtained by the rating agency from other sources. The ratings are only</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accurate as of the date thereof and may be changed, superseded or withdrawn as a result of</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changes in, or unavailability of, such information, and therefore a prospective purchaser</w:t>
            </w:r>
          </w:p>
        </w:tc>
      </w:tr>
      <w:tr>
        <w:trPr>
          <w:trHeight w:val="216"/>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should check the current ratings before purchasing the Notes. Each rating should be</w:t>
            </w:r>
          </w:p>
        </w:tc>
      </w:tr>
      <w:tr>
        <w:trPr>
          <w:trHeight w:val="234"/>
        </w:trPr>
        <w:tc>
          <w:tcPr>
            <w:tcW w:w="2900" w:type="dxa"/>
            <w:vAlign w:val="bottom"/>
          </w:tcPr>
          <w:p>
            <w:pPr>
              <w:spacing w:after="0"/>
              <w:rPr>
                <w:sz w:val="20"/>
                <w:szCs w:val="20"/>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evaluated independently of any other rating.</w:t>
            </w:r>
          </w:p>
        </w:tc>
      </w:tr>
      <w:tr>
        <w:trPr>
          <w:trHeight w:val="439"/>
        </w:trPr>
        <w:tc>
          <w:tcPr>
            <w:tcW w:w="29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Annual Coupon:</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11.875 %, paid quarterly in arrears</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January 31, April 30, July 31 and October 31, commencing January 31, 2023, and at maturity</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Price to the Public:</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Day Count:</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30/360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At any time prior to December 31, 2024, the Issuer may redeem the Notes for cash in whole</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or in part at any time at its option at a redemption price equal to 100.0% of the principal</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amount thereof plus the Make-Whole Amount (as defined in the Preliminary Prospectus</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Supplement) as of, and accrued and unpaid interest to, but excluding, the date of redemption.</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Issuer may redeem the Notes for cash in whole or in part at any time at its option (i) on</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or after December 31, 2024 and prior to December 31, 2025, at a price equal to $25.50 per</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note, plus accrued and unpaid interest to, but excluding, the date of redemption, (ii) on or</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after December 31, 2025 and prior to December 31, 2026, at a price equal to $25.25 per note,</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plus accrued and unpaid interest to, but excluding, the date of redemption, and (iii) on or</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after December 31, 2026 and prior to maturity, at a price equal to 100% of their principal</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amount, plus accrued and unpaid interest to, but excluding, the date of redemption.</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Mandatory Redemption</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 the event of a failure by the Company to consummate the Acquisition (as defined in the</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Preliminary Prospectus Supplement) (excluding the milestone payment related to the</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commercial availability of Triesence) within 180 days after the original issue date of the</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Notes, or, in certain circumstances, there is a Material Change (as defined in the Preliminary</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Prospectus Supplement) the Company shall redeem the Notes for cash, in whole but not in</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 at the redemption price equal to $25.50 per Note, plus accrued and unpaid interest to,</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but excluding, the date of redemption.</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Minimum Denomination / Multiples:</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$25.00/$25.00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415858 307/ US4158583074</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Book-Running Managers:</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 Riley Securities, Inc., Janney Montgomery Scott LLC, Ladenburg Thalmann &amp; Co. Inc.,</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William Blair &amp; Company L.L.C.</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Lead Manager:</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Aegis Capital Corp., Brownstone Investment Group, LLC, Huntington Securities, Inc.,</w:t>
            </w:r>
          </w:p>
        </w:tc>
      </w:tr>
      <w:tr>
        <w:trPr>
          <w:trHeight w:val="216"/>
        </w:trPr>
        <w:tc>
          <w:tcPr>
            <w:tcW w:w="3600" w:type="dxa"/>
            <w:vAlign w:val="bottom"/>
          </w:tcPr>
          <w:p>
            <w:pPr>
              <w:spacing w:after="0"/>
              <w:rPr>
                <w:sz w:val="18"/>
                <w:szCs w:val="18"/>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InspereX LLC, Maxim Group LLC, Newbridge Securities Corporation, Revere Securities</w:t>
            </w:r>
          </w:p>
        </w:tc>
      </w:tr>
      <w:tr>
        <w:trPr>
          <w:trHeight w:val="234"/>
        </w:trPr>
        <w:tc>
          <w:tcPr>
            <w:tcW w:w="3600" w:type="dxa"/>
            <w:vAlign w:val="bottom"/>
          </w:tcPr>
          <w:p>
            <w:pPr>
              <w:spacing w:after="0"/>
              <w:rPr>
                <w:sz w:val="20"/>
                <w:szCs w:val="20"/>
                <w:color w:val="auto"/>
              </w:rPr>
            </w:pPr>
          </w:p>
        </w:tc>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LLC</w:t>
            </w:r>
          </w:p>
        </w:tc>
      </w:tr>
      <w:tr>
        <w:trPr>
          <w:trHeight w:val="439"/>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has filed a shelf registration statement (including a base prospectus dated June 6, 2022)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You may get these documents for free by visiting EDGAR on the SEC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Alternatively, the issuer, any underwriter or any 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156845</wp:posOffset>
            </wp:positionV>
            <wp:extent cx="5743575"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35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37205</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special securities counsel to Harrow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 on Form S-3 (Registration No. 333-265244), including the prospectus which forms a part thereof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dated December 13, 2022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relating to the sale by the Company of 2,376,426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such records, documents and other instruments as in our judgment are necessary and appropriate in order to express the opinions hereinafter set forth and have assumed the genuineness of all signatures, the legal capacity of all natural persons, the authenticity of all documents submitted to us as originals and the conformity to original documents of all documents submitted to us as certified or photostatic copies.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rendering the following opinions, we express no opinion as to the laws of any jurisdiction other than the General Corporation Law of the State of Delaware and the federal law of the United States to the extent specifically referred to herein. All opinions expressed are as of the date hereof except where expressly stated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and sold in the manner and on the terms described in the Prospectus,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under Section 7 of the Securities Act or the rules and regulations of the Commission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Secures Capital to Close Recently Announced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$35 Million Aggregate Principal Amount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NASHVILLE, Tenn., December 16, 2022 – Harrow Health, Inc. (Nasdaq: HROW), an eyecare pharmaceutical company exclusively focused on the discovery, development, and commercialization of innovative ophthalmic prescription therapies, today announced the pricing of its underwritten registered public offering of $35 million aggregate principal amount of 11.875% senior notes due 2027 (the “Notes”). Harrow has granted the underwriters a 30-day option to purchase an additional $5.25 million aggregate principal amount of Notes in connection with the offering. The offering is expected to close on December 20, 2022, subject to customary closing conditions.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Harrow and this issuance of Notes both received a rating of “BB” from Egan-Jones Ratings Company, an independent, unaffiliated rating agency. The Notes are expected to be listed on the Nasdaq Global Market under the symbol “HROWM.”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the net proceeds from the sale of the Notes, together with the proceeds of its recently priced common stock offering, available cash on hand, and the proceeds of a secured loan facility which an affiliate of B. Riley Financial, Inc. committed to provide at a fixed interest rate of 10.875%, to fund the purchase price payable for a previously announced acquisition, with any remaining net proceeds available for general corporate purposes, including funding future strategic product acquisitions and related investments, making capital expenditures, and funding working capital.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 Riley Securities, Janney Montgomery Scott, Ladenburg Thalmann and William Blair are acting as joint book-running managers for the offering. EF Hutton, division of Benchmark Investments, LLC, is acting as lead manager for the offering, and Aegis Capital Corp., Brownstone Investment Group, Huntington Capital Markets, InspereX, Maxim Group LLC, Newbridge Securities Corporation and Revere Securities LLC are acting as co-managers for the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will be offered by Harrow under its shelf registration statement on Form S-3, which was declared effective by the Securities and Exchange Commission (the “SEC”) on June 6, 2022. The offering of these Notes will be made solely by means of a prospectus supplement and accompanying base prospectus, which will be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Copies of the prospectus supplement and the accompanying base prospectus may be obtained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contacting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Riley Securities by phone at (703) 312-9580, or by emailing </w:t>
      </w:r>
      <w:r>
        <w:rPr>
          <w:rFonts w:ascii="Times New Roman" w:cs="Times New Roman" w:eastAsia="Times New Roman" w:hAnsi="Times New Roman"/>
          <w:sz w:val="18"/>
          <w:szCs w:val="18"/>
          <w:u w:val="single" w:color="auto"/>
          <w:color w:val="auto"/>
        </w:rPr>
        <w:t>prospectuses@brileyfin.com.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HROW Announces Pricing of $35 Million Offering of 11.875% Senior Notes Due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Harrow (Nasdaq: HROW) is an eyecare pharmaceutical company exclusively focused on the discovery, development, and commercialization of innovative ophthalmic prescription therapies for the U.S. market that are accessible and affordable. For more information about Harrow, please visit the Investors section of the corporate website, </w:t>
      </w:r>
      <w:r>
        <w:rPr>
          <w:rFonts w:ascii="Times New Roman" w:cs="Times New Roman" w:eastAsia="Times New Roman" w:hAnsi="Times New Roman"/>
          <w:sz w:val="18"/>
          <w:szCs w:val="18"/>
          <w:u w:val="single" w:color="auto"/>
          <w:color w:val="auto"/>
        </w:rPr>
        <w:t>harrow.com.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Harrow’s filings with the Securities and Exchange Commission, including its Annual Report on Form 10-K and its Quarterly Reports on Form 10-Q. Such documents may be read free of charge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accompany unaudited pro forma condensed consolidated balance sheet for Harrow Health, Inc. and subsidiaries (the “Company”) as of September 30, 2022 gives effect to the following transactions:</w:t>
      </w:r>
    </w:p>
    <w:p>
      <w:pPr>
        <w:spacing w:after="0" w:line="162" w:lineRule="exact"/>
        <w:rPr>
          <w:sz w:val="20"/>
          <w:szCs w:val="20"/>
          <w:color w:val="auto"/>
        </w:rPr>
      </w:pPr>
    </w:p>
    <w:p>
      <w:pPr>
        <w:ind w:firstLine="332"/>
        <w:spacing w:after="0" w:line="282" w:lineRule="auto"/>
        <w:tabs>
          <w:tab w:leader="none" w:pos="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received by the Company in connection with the Company’s sale and divestment of its non-ophthalmology related compounding revenue line and related intangible assets, and the net gain on sale;</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from the sale of 2,376,426 shares of the Company’s common stock, at a price of $10.52 per share, after deducting underwriting discounts and commissions, the structuring and commitment fees, and estimated offering expenses payable by the Company, which sale closed on December 16, 2022;</w:t>
      </w:r>
    </w:p>
    <w:p>
      <w:pPr>
        <w:spacing w:after="0" w:line="175" w:lineRule="exact"/>
        <w:rPr>
          <w:rFonts w:ascii="Times New Roman" w:cs="Times New Roman" w:eastAsia="Times New Roman" w:hAnsi="Times New Roman"/>
          <w:sz w:val="18"/>
          <w:szCs w:val="18"/>
          <w:color w:val="auto"/>
        </w:rPr>
      </w:pPr>
    </w:p>
    <w:p>
      <w:pPr>
        <w:ind w:right="20" w:firstLine="332"/>
        <w:spacing w:after="0" w:line="282"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$35,000,000 aggregate principal amount of 11.875% Senior Notes due 2027, after deducting underwriting discounts and commissions, the structuring and commitment fees, and estimated offering expenses payable by the Company;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$65,000,000 from a Senior Secured Loan facility which is committed to be provided to the Company, after deducting underwriting discounts and commissions, the structuring and commitment fees, original issue discount and estimated offering expenses payable by the Company.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pro forma condensed consolidated balance sheet reflects the transactions described above as if such events occurred on September 30, 2022.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has been prepared under U.S. GAAP. The adjustments necessary to fairly present the unaudited pro forma condensed consolidated balance sheet have been made based on available information and in the opinion of management are reasonable. Assumptions underlying the pro forma adjustments are described in the accompanying notes, which should be read in conjunction with this unaudited pro forma condensed consolidated balance sheet.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is for illustrative purposes only and does not purport to represent what our financial position would have been had the events noted above in fact occurred on the assumed date. Accordingly, the unaudited pro forma condensed consolidated balance sheet should not be used to project our financial position on any future date.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should be read in conjunction with the accompanying notes and the consolidated financial statements and notes thereto of the Company included in our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Historical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Pro Forma</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Adjustments</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(b)</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44,959,000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119,700,000</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164,659,000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4,162,000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6,743,000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6,743,000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5,283,000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5,283,000</w:t>
            </w: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2,927,000</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2,927,000</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64,074,000</w:t>
            </w: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119,700,000</w:t>
            </w: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183,774,000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3,291,000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1,878,000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7,688,000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7,688,000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19,632,000</w:t>
            </w:r>
          </w:p>
        </w:tc>
        <w:tc>
          <w:tcPr>
            <w:tcW w:w="180" w:type="dxa"/>
            <w:vAlign w:val="bottom"/>
          </w:tcPr>
          <w:p>
            <w:pPr>
              <w:spacing w:after="0"/>
              <w:rPr>
                <w:sz w:val="18"/>
                <w:szCs w:val="18"/>
                <w:color w:val="auto"/>
              </w:rPr>
            </w:pPr>
          </w:p>
        </w:tc>
        <w:tc>
          <w:tcPr>
            <w:tcW w:w="19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(686,000) (a)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18,946,000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2,097,000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2,097,000</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332,000</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332,000</w:t>
            </w: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98,992,000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14,112,000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14,112,000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3,441,000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3,441,000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loans payable, net of unamortized discount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1,479,000</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1,479,000</w:t>
            </w: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703,000</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703,000</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1,479,000</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7,520,000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7,520,000</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payable, net of current portion and unamortized debt discount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72,239,000</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89,621,000</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(d)</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161,860,000</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98,130,000</w:t>
            </w: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91,100,000</w:t>
            </w: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189,230,000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27,074,307 issued and outstanding, actual; 29,450,733 shares issued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pro forma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27,000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111,738,000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22,598,000</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134,336,000</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(110,548,000)</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5,314,000</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(105,234,000)</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HARROW HEALTH STOCKHOLDERS’ EQUITY</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1,217,000</w:t>
            </w: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27,914,000</w:t>
            </w: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29,131,000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(355,000)</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862,000</w:t>
            </w:r>
          </w:p>
        </w:tc>
        <w:tc>
          <w:tcPr>
            <w:tcW w:w="3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27,914,000</w:t>
            </w:r>
          </w:p>
        </w:tc>
        <w:tc>
          <w:tcPr>
            <w:tcW w:w="1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28,776,100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98,992,000</w:t>
            </w: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119,014,000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218,006,000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2022 is based on the historical consolidated balance sheet of Harrow Health, Inc. and subsidiaries (the “Company”) as of September 30, 2022, after giving effect to: (i) the cash received by the Company in connection with the Company’s sale and divestment of its non-ophthalmology related compounding revenue line and related intangible assets, and the net gain on sale; (ii) the net proceeds received from the sale of 2,376,426 shares of the Company’s common stock, at a price of $10.52 per share, after deducting underwriting discounts and commissions, the structuring and commitment fees, and estimated offering expenses payable by the Company, which sale closed on December 16, 2022; (iii) the sale of $35,000,000 aggregate principal amount of 11.875% Senior Notes due 2027, after deducting underwriting discounts and commissions, the structuring and commitment fees, and estimated offering expenses payable by the Company; and (iv) the proceeds of $65,000,000 from a Senior Secured Loan facility which is committed to be provided to the Company, after deducting underwriting discounts and commissions, the structuring and commitment fees, original issue discount, and estimated offering expenses payable by the Company (collectively, the “Recent Transactions”), and the assumptions, reclassifications and adjustments described in these notes to the unaudited pro forma condensed consolidated balance sheet.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assumptions and estimates have been made in determining the costs and net proceeds from the Recent Transactions in the unaudited pro forma condensed consolidated balance sheet. These preliminary estimates and assumptions are subject to change as the Company finalizes the calculations related to the Recent Transactions. These changes could result in material variances between the Company’s future consolidated financial position and the amounts presented in the unaudited pro forma condensed consolidated balance sheet, including variances in values recorded, as well as expenses and cash flows associated with these items.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Period Presented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2022 is presented as if the Recent Transactions occurred on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PRO FORMA AND RECLASSIFICATION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 forma adjustments are made to reflect the estimated amounts related to the Recent Transactions. The following describes the pro forma adjustments related to the Recent Transactions made in the accompanying unaudited pro forma condensed consolidated balance sheet as of September 30, 2022, giving effect to the Recent Transactions as if they had occurred on September 30, 2022:</w:t>
      </w:r>
    </w:p>
    <w:p>
      <w:pPr>
        <w:spacing w:after="0" w:line="176" w:lineRule="exact"/>
        <w:rPr>
          <w:sz w:val="20"/>
          <w:szCs w:val="20"/>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cash received ($6,000,000) by the Company in connection with the Company’s sale and divestment of its non-ophthalmology related compounding revenue line and the adjustment to remove the unamortized balance of the related intangible assets ($686,000) resulting in a net gain of $5,314,000;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cash proceeds ($22,600,000) from the sale of 2,376,426 shares of the Company’s common stock, at a price of $10.52 per share, after deducting underwriting discounts and commissions, the structuring and commitment fees, and estimated offering expenses payable by the Company ($2,400,000), which sale closed on December 16, 2022;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cash proceeds ($31,950,000) from the sale of $35,000,000 aggregate principal amount of 11.875% Senior Notes due 2027, after deducting underwriting discounts and commissions, the structuring and commitment fees, and estimated offering expenses payable by the Company ($3,050,000).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cash proceeds ($59,150,000) from a $65,000,000 Senior Secured Loan facility which is committed to be provided to the Company, after deducting underwriting discounts and commissions, the structuring and commitment fees, original issue discount and estimated offering expenses payable by the Company ($5,850,000), with a current portion, net of unamortized discounts, of $1,479,000.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4"/>
    </w:lvl>
  </w:abstractNum>
  <w:abstractNum w:abstractNumId="2">
    <w:nsid w:val="7724C67E"/>
    <w:multiLevelType w:val="hybridMultilevel"/>
    <w:lvl w:ilvl="0">
      <w:lvlJc w:val="left"/>
      <w:lvlText w:val="%1."/>
      <w:numFmt w:val="decimal"/>
      <w:start w:val="1"/>
    </w:lvl>
    <w:lvl w:ilvl="1">
      <w:lvlJc w:val="left"/>
      <w:lvlText w:val="(%2)"/>
      <w:numFmt w:val="lowerLetter"/>
      <w:start w:val="1"/>
    </w:lvl>
  </w:abstractNum>
  <w:abstractNum w:abstractNumId="3">
    <w:nsid w:val="5C482A97"/>
    <w:multiLevelType w:val="hybridMultilevel"/>
    <w:lvl w:ilvl="0">
      <w:lvlJc w:val="left"/>
      <w:lvlText w:val="(%1)"/>
      <w:numFmt w:val="lowerLetter"/>
      <w:start w:val="2"/>
    </w:lvl>
  </w:abstractNum>
  <w:abstractNum w:abstractNumId="4">
    <w:nsid w:val="2463B9EA"/>
    <w:multiLevelType w:val="hybridMultilevel"/>
    <w:lvl w:ilvl="0">
      <w:lvlJc w:val="left"/>
      <w:lvlText w:val="(%1)"/>
      <w:numFmt w:val="lowerLetter"/>
      <w:start w:val="3"/>
    </w:lvl>
  </w:abstractNum>
  <w:abstractNum w:abstractNumId="5">
    <w:nsid w:val="5E884ADC"/>
    <w:multiLevelType w:val="hybridMultilevel"/>
    <w:lvl w:ilvl="0">
      <w:lvlJc w:val="left"/>
      <w:lvlText w:val="(%1)"/>
      <w:numFmt w:val="lowerLetter"/>
      <w:start w:val="6"/>
    </w:lvl>
  </w:abstractNum>
  <w:abstractNum w:abstractNumId="6">
    <w:nsid w:val="51EAD36B"/>
    <w:multiLevelType w:val="hybridMultilevel"/>
    <w:lvl w:ilvl="0">
      <w:lvlJc w:val="left"/>
      <w:lvlText w:val="(%1)"/>
      <w:numFmt w:val="lowerLetter"/>
      <w:start w:val="9"/>
    </w:lvl>
  </w:abstractNum>
  <w:abstractNum w:abstractNumId="7">
    <w:nsid w:val="2D517796"/>
    <w:multiLevelType w:val="hybridMultilevel"/>
    <w:lvl w:ilvl="0">
      <w:lvlJc w:val="left"/>
      <w:lvlText w:val="(%1)"/>
      <w:numFmt w:val="lowerLetter"/>
      <w:start w:val="17"/>
    </w:lvl>
  </w:abstractNum>
  <w:abstractNum w:abstractNumId="8">
    <w:nsid w:val="580BD78F"/>
    <w:multiLevelType w:val="hybridMultilevel"/>
    <w:lvl w:ilvl="0">
      <w:lvlJc w:val="left"/>
      <w:lvlText w:val="(%1)"/>
      <w:numFmt w:val="lowerLetter"/>
      <w:start w:val="23"/>
    </w:lvl>
  </w:abstractNum>
  <w:abstractNum w:abstractNumId="9">
    <w:nsid w:val="153EA438"/>
    <w:multiLevelType w:val="hybridMultilevel"/>
    <w:lvl w:ilvl="0">
      <w:lvlJc w:val="left"/>
      <w:lvlText w:val="(%1)"/>
      <w:numFmt w:val="lowerLetter"/>
      <w:start w:val="27"/>
    </w:lvl>
  </w:abstractNum>
  <w:abstractNum w:abstractNumId="10">
    <w:nsid w:val="3855585C"/>
    <w:multiLevelType w:val="hybridMultilevel"/>
    <w:lvl w:ilvl="0">
      <w:lvlJc w:val="left"/>
      <w:lvlText w:val="(%1)"/>
      <w:numFmt w:val="lowerLetter"/>
      <w:start w:val="29"/>
    </w:lvl>
  </w:abstractNum>
  <w:abstractNum w:abstractNumId="11">
    <w:nsid w:val="70A64E2A"/>
    <w:multiLevelType w:val="hybridMultilevel"/>
    <w:lvl w:ilvl="0">
      <w:lvlJc w:val="left"/>
      <w:lvlText w:val="%1"/>
      <w:numFmt w:val="decimal"/>
      <w:start w:val="1"/>
    </w:lvl>
    <w:lvl w:ilvl="1">
      <w:lvlJc w:val="left"/>
      <w:lvlText w:val="(%2)"/>
      <w:numFmt w:val="lowerLetter"/>
      <w:start w:val="34"/>
    </w:lvl>
  </w:abstractNum>
  <w:abstractNum w:abstractNumId="12">
    <w:nsid w:val="6A2342EC"/>
    <w:multiLevelType w:val="hybridMultilevel"/>
    <w:lvl w:ilvl="0">
      <w:lvlJc w:val="left"/>
      <w:lvlText w:val="(%1)"/>
      <w:numFmt w:val="decimal"/>
      <w:start w:val="3"/>
    </w:lvl>
    <w:lvl w:ilvl="1">
      <w:lvlJc w:val="left"/>
      <w:lvlText w:val="%2"/>
      <w:numFmt w:val="lowerLetter"/>
      <w:start w:val="1"/>
    </w:lvl>
  </w:abstractNum>
  <w:abstractNum w:abstractNumId="13">
    <w:nsid w:val="2A487CB0"/>
    <w:multiLevelType w:val="hybridMultilevel"/>
    <w:lvl w:ilvl="0">
      <w:lvlJc w:val="left"/>
      <w:lvlText w:val="(%1)"/>
      <w:numFmt w:val="lowerLetter"/>
      <w:start w:val="40"/>
    </w:lvl>
  </w:abstractNum>
  <w:abstractNum w:abstractNumId="14">
    <w:nsid w:val="1D4ED43B"/>
    <w:multiLevelType w:val="hybridMultilevel"/>
    <w:lvl w:ilvl="0">
      <w:lvlJc w:val="left"/>
      <w:lvlText w:val="%1"/>
      <w:numFmt w:val="decimal"/>
      <w:start w:val="1"/>
    </w:lvl>
    <w:lvl w:ilvl="1">
      <w:lvlJc w:val="left"/>
      <w:lvlText w:val="(%2)"/>
      <w:numFmt w:val="lowerLetter"/>
      <w:start w:val="48"/>
    </w:lvl>
  </w:abstractNum>
  <w:abstractNum w:abstractNumId="15">
    <w:nsid w:val="725A06FB"/>
    <w:multiLevelType w:val="hybridMultilevel"/>
    <w:lvl w:ilvl="0">
      <w:lvlJc w:val="left"/>
      <w:lvlText w:val="%1."/>
      <w:numFmt w:val="decimal"/>
      <w:start w:val="3"/>
    </w:lvl>
    <w:lvl w:ilvl="1">
      <w:lvlJc w:val="left"/>
      <w:lvlText w:val="(%2)"/>
      <w:numFmt w:val="lowerLetter"/>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2"/>
    </w:lvl>
  </w:abstractNum>
  <w:abstractNum w:abstractNumId="18">
    <w:nsid w:val="7A6D8D3C"/>
    <w:multiLevelType w:val="hybridMultilevel"/>
    <w:lvl w:ilvl="0">
      <w:lvlJc w:val="left"/>
      <w:lvlText w:val="(%1)"/>
      <w:numFmt w:val="lowerLetter"/>
      <w:start w:val="4"/>
    </w:lvl>
  </w:abstractNum>
  <w:abstractNum w:abstractNumId="19">
    <w:nsid w:val="4B588F54"/>
    <w:multiLevelType w:val="hybridMultilevel"/>
    <w:lvl w:ilvl="0">
      <w:lvlJc w:val="left"/>
      <w:lvlText w:val="%1"/>
      <w:numFmt w:val="decimal"/>
      <w:start w:val="1"/>
    </w:lvl>
    <w:lvl w:ilvl="1">
      <w:lvlJc w:val="left"/>
      <w:lvlText w:val="(%2)"/>
      <w:numFmt w:val="lowerLetter"/>
      <w:start w:val="10"/>
    </w:lvl>
  </w:abstractNum>
  <w:abstractNum w:abstractNumId="20">
    <w:nsid w:val="542289EC"/>
    <w:multiLevelType w:val="hybridMultilevel"/>
    <w:lvl w:ilvl="0">
      <w:lvlJc w:val="left"/>
      <w:lvlText w:val="%1."/>
      <w:numFmt w:val="decimal"/>
      <w:start w:val="5"/>
    </w:lvl>
    <w:lvl w:ilvl="1">
      <w:lvlJc w:val="left"/>
      <w:lvlText w:val="%2"/>
      <w:numFmt w:val="lowerLetter"/>
      <w:start w:val="1"/>
    </w:lvl>
  </w:abstractNum>
  <w:abstractNum w:abstractNumId="21">
    <w:nsid w:val="6DE91B18"/>
    <w:multiLevelType w:val="hybridMultilevel"/>
    <w:lvl w:ilvl="0">
      <w:lvlJc w:val="left"/>
      <w:lvlText w:val="%1."/>
      <w:numFmt w:val="decimal"/>
      <w:start w:val="6"/>
    </w:lvl>
    <w:lvl w:ilvl="1">
      <w:lvlJc w:val="left"/>
      <w:lvlText w:val="(%2)"/>
      <w:numFmt w:val="lowerLetter"/>
      <w:start w:val="1"/>
    </w:lvl>
  </w:abstractNum>
  <w:abstractNum w:abstractNumId="22">
    <w:nsid w:val="38437FDB"/>
    <w:multiLevelType w:val="hybridMultilevel"/>
    <w:lvl w:ilvl="0">
      <w:lvlJc w:val="left"/>
      <w:lvlText w:val="(%1)"/>
      <w:numFmt w:val="lowerLetter"/>
      <w:start w:val="4"/>
    </w:lvl>
  </w:abstractNum>
  <w:abstractNum w:abstractNumId="23">
    <w:nsid w:val="7644A45C"/>
    <w:multiLevelType w:val="hybridMultilevel"/>
    <w:lvl w:ilvl="0">
      <w:lvlJc w:val="left"/>
      <w:lvlText w:val="(%1)"/>
      <w:numFmt w:val="lowerLetter"/>
      <w:start w:val="7"/>
    </w:lvl>
  </w:abstractNum>
  <w:abstractNum w:abstractNumId="24">
    <w:nsid w:val="32FFF902"/>
    <w:multiLevelType w:val="hybridMultilevel"/>
    <w:lvl w:ilvl="0">
      <w:lvlJc w:val="left"/>
      <w:lvlText w:val="%1."/>
      <w:numFmt w:val="decimal"/>
      <w:start w:val="7"/>
    </w:lvl>
  </w:abstractNum>
  <w:abstractNum w:abstractNumId="25">
    <w:nsid w:val="684A481A"/>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6">
    <w:nsid w:val="579478F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27">
    <w:nsid w:val="749ABB43"/>
    <w:multiLevelType w:val="hybridMultilevel"/>
    <w:lvl w:ilvl="0">
      <w:lvlJc w:val="left"/>
      <w:lvlText w:val="(%1)"/>
      <w:numFmt w:val="lowerLetter"/>
      <w:start w:val="3"/>
    </w:lvl>
  </w:abstractNum>
  <w:abstractNum w:abstractNumId="28">
    <w:nsid w:val="3DC240FB"/>
    <w:multiLevelType w:val="hybridMultilevel"/>
    <w:lvl w:ilvl="0">
      <w:lvlJc w:val="left"/>
      <w:lvlText w:val="(%1)"/>
      <w:numFmt w:val="lowerLetter"/>
      <w:start w:val="4"/>
    </w:lvl>
  </w:abstractNum>
  <w:abstractNum w:abstractNumId="29">
    <w:nsid w:val="1BA026FA"/>
    <w:multiLevelType w:val="hybridMultilevel"/>
    <w:lvl w:ilvl="0">
      <w:lvlJc w:val="left"/>
      <w:lvlText w:val="%1."/>
      <w:numFmt w:val="decimal"/>
      <w:start w:val="9"/>
    </w:lvl>
    <w:lvl w:ilvl="1">
      <w:lvlJc w:val="left"/>
      <w:lvlText w:val="(%2)"/>
      <w:numFmt w:val="lowerLetter"/>
      <w:start w:val="1"/>
    </w:lvl>
  </w:abstractNum>
  <w:abstractNum w:abstractNumId="30">
    <w:nsid w:val="79A1DEAA"/>
    <w:multiLevelType w:val="hybridMultilevel"/>
    <w:lvl w:ilvl="0">
      <w:lvlJc w:val="left"/>
      <w:lvlText w:val="%1."/>
      <w:numFmt w:val="decimal"/>
      <w:start w:val="11"/>
    </w:lvl>
    <w:lvl w:ilvl="1">
      <w:lvlJc w:val="left"/>
      <w:lvlText w:val="(%2)"/>
      <w:numFmt w:val="lowerLetter"/>
      <w:start w:val="1"/>
    </w:lvl>
  </w:abstractNum>
  <w:abstractNum w:abstractNumId="31">
    <w:nsid w:val="75C6C33A"/>
    <w:multiLevelType w:val="hybridMultilevel"/>
    <w:lvl w:ilvl="0">
      <w:lvlJc w:val="left"/>
      <w:lvlText w:val="%1."/>
      <w:numFmt w:val="decimal"/>
      <w:start w:val="17"/>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2"/>
    </w:lvl>
    <w:lvl w:ilvl="1">
      <w:lvlJc w:val="left"/>
      <w:lvlText w:val="(%2)"/>
      <w:numFmt w:val="lowerLetter"/>
      <w:start w:val="1"/>
    </w:lvl>
  </w:abstractNum>
  <w:abstractNum w:abstractNumId="34">
    <w:nsid w:val="520EEDD1"/>
    <w:multiLevelType w:val="hybridMultilevel"/>
    <w:lvl w:ilvl="0">
      <w:lvlJc w:val="left"/>
      <w:lvlText w:val="(%1)"/>
      <w:numFmt w:val="lowerLetter"/>
      <w:start w:val="2"/>
    </w:lvl>
  </w:abstractNum>
  <w:abstractNum w:abstractNumId="35">
    <w:nsid w:val="374A3FE6"/>
    <w:multiLevelType w:val="hybridMultilevel"/>
    <w:lvl w:ilvl="0">
      <w:lvlJc w:val="left"/>
      <w:lvlText w:val="(%1)"/>
      <w:numFmt w:val="lowerLetter"/>
      <w:start w:val="3"/>
    </w:lvl>
  </w:abstractNum>
  <w:abstractNum w:abstractNumId="36">
    <w:nsid w:val="4F4EF005"/>
    <w:multiLevelType w:val="hybridMultilevel"/>
    <w:lvl w:ilvl="0">
      <w:lvlJc w:val="left"/>
      <w:lvlText w:val="(%1)"/>
      <w:numFmt w:val="lowerLetter"/>
      <w:start w:val="6"/>
    </w:lvl>
  </w:abstractNum>
  <w:abstractNum w:abstractNumId="37">
    <w:nsid w:val="23F9C13C"/>
    <w:multiLevelType w:val="hybridMultilevel"/>
    <w:lvl w:ilvl="0">
      <w:lvlJc w:val="left"/>
      <w:lvlText w:val="(%1)"/>
      <w:numFmt w:val="lowerLetter"/>
      <w:start w:val="11"/>
    </w:lvl>
  </w:abstractNum>
  <w:abstractNum w:abstractNumId="38">
    <w:nsid w:val="649BB77C"/>
    <w:multiLevelType w:val="hybridMultilevel"/>
    <w:lvl w:ilvl="0">
      <w:lvlJc w:val="left"/>
      <w:lvlText w:val="(%1)"/>
      <w:numFmt w:val="lowerLetter"/>
      <w:start w:val="17"/>
    </w:lvl>
  </w:abstractNum>
  <w:abstractNum w:abstractNumId="39">
    <w:nsid w:val="275AC794"/>
    <w:multiLevelType w:val="hybridMultilevel"/>
    <w:lvl w:ilvl="0">
      <w:lvlJc w:val="left"/>
      <w:lvlText w:val="(%1)"/>
      <w:numFmt w:val="lowerLetter"/>
      <w:start w:val="22"/>
    </w:lvl>
  </w:abstractNum>
  <w:abstractNum w:abstractNumId="40">
    <w:nsid w:val="39386575"/>
    <w:multiLevelType w:val="hybridMultilevel"/>
    <w:lvl w:ilvl="0">
      <w:lvlJc w:val="left"/>
      <w:lvlText w:val="(%1)"/>
      <w:numFmt w:val="lowerLetter"/>
      <w:start w:val="27"/>
    </w:lvl>
  </w:abstractNum>
  <w:abstractNum w:abstractNumId="41">
    <w:nsid w:val="1CF10FD8"/>
    <w:multiLevelType w:val="hybridMultilevel"/>
    <w:lvl w:ilvl="0">
      <w:lvlJc w:val="left"/>
      <w:lvlText w:val="(%1)"/>
      <w:numFmt w:val="lowerLetter"/>
      <w:start w:val="29"/>
    </w:lvl>
  </w:abstractNum>
  <w:abstractNum w:abstractNumId="42">
    <w:nsid w:val="180115BE"/>
    <w:multiLevelType w:val="hybridMultilevel"/>
    <w:lvl w:ilvl="0">
      <w:lvlJc w:val="left"/>
      <w:lvlText w:val="(%1)"/>
      <w:numFmt w:val="lowerLetter"/>
      <w:start w:val="30"/>
    </w:lvl>
  </w:abstractNum>
  <w:abstractNum w:abstractNumId="43">
    <w:nsid w:val="235BA861"/>
    <w:multiLevelType w:val="hybridMultilevel"/>
    <w:lvl w:ilvl="0">
      <w:lvlJc w:val="left"/>
      <w:lvlText w:val="(%1)"/>
      <w:numFmt w:val="lowerLetter"/>
      <w:start w:val="33"/>
    </w:lvl>
  </w:abstractNum>
  <w:abstractNum w:abstractNumId="44">
    <w:nsid w:val="47398C89"/>
    <w:multiLevelType w:val="hybridMultilevel"/>
    <w:lvl w:ilvl="0">
      <w:lvlJc w:val="left"/>
      <w:lvlText w:val="(%1)"/>
      <w:numFmt w:val="lowerLetter"/>
      <w:start w:val="39"/>
    </w:lvl>
  </w:abstractNum>
  <w:abstractNum w:abstractNumId="45">
    <w:nsid w:val="354FE9F9"/>
    <w:multiLevelType w:val="hybridMultilevel"/>
    <w:lvl w:ilvl="0">
      <w:lvlJc w:val="left"/>
      <w:lvlText w:val="%1"/>
      <w:numFmt w:val="decimal"/>
      <w:start w:val="1"/>
    </w:lvl>
    <w:lvl w:ilvl="1">
      <w:lvlJc w:val="left"/>
      <w:lvlText w:val="(%2)"/>
      <w:numFmt w:val="lowerLetter"/>
      <w:start w:val="46"/>
    </w:lvl>
  </w:abstractNum>
  <w:abstractNum w:abstractNumId="46">
    <w:nsid w:val="15B5AF5C"/>
    <w:multiLevelType w:val="hybridMultilevel"/>
    <w:lvl w:ilvl="0">
      <w:lvlJc w:val="left"/>
      <w:lvlText w:val="%1."/>
      <w:numFmt w:val="decimal"/>
      <w:start w:val="3"/>
    </w:lvl>
    <w:lvl w:ilvl="1">
      <w:lvlJc w:val="left"/>
      <w:lvlText w:val="(%2)"/>
      <w:numFmt w:val="lowerLetter"/>
      <w:start w:val="1"/>
    </w:lvl>
  </w:abstractNum>
  <w:abstractNum w:abstractNumId="47">
    <w:nsid w:val="741226BB"/>
    <w:multiLevelType w:val="hybridMultilevel"/>
    <w:lvl w:ilvl="0">
      <w:lvlJc w:val="left"/>
      <w:lvlText w:val="%1"/>
      <w:numFmt w:val="decimal"/>
      <w:start w:val="1"/>
    </w:lvl>
    <w:lvl w:ilvl="1">
      <w:lvlJc w:val="left"/>
      <w:lvlText w:val="(%2)"/>
      <w:numFmt w:val="lowerLetter"/>
      <w:start w:val="2"/>
    </w:lvl>
  </w:abstractNum>
  <w:abstractNum w:abstractNumId="48">
    <w:nsid w:val="D34B6A8"/>
    <w:multiLevelType w:val="hybridMultilevel"/>
    <w:lvl w:ilvl="0">
      <w:lvlJc w:val="left"/>
      <w:lvlText w:val="%1."/>
      <w:numFmt w:val="decimal"/>
      <w:start w:val="4"/>
    </w:lvl>
    <w:lvl w:ilvl="1">
      <w:lvlJc w:val="left"/>
      <w:lvlText w:val="%2"/>
      <w:numFmt w:val="lowerLetter"/>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2"/>
    </w:lvl>
  </w:abstractNum>
  <w:abstractNum w:abstractNumId="51">
    <w:nsid w:val="61574095"/>
    <w:multiLevelType w:val="hybridMultilevel"/>
    <w:lvl w:ilvl="0">
      <w:lvlJc w:val="left"/>
      <w:lvlText w:val="(%1)"/>
      <w:numFmt w:val="lowerLetter"/>
      <w:start w:val="7"/>
    </w:lvl>
  </w:abstractNum>
  <w:abstractNum w:abstractNumId="52">
    <w:nsid w:val="7E0C57B1"/>
    <w:multiLevelType w:val="hybridMultilevel"/>
    <w:lvl w:ilvl="0">
      <w:lvlJc w:val="left"/>
      <w:lvlText w:val="%1"/>
      <w:numFmt w:val="decimal"/>
      <w:start w:val="1"/>
    </w:lvl>
    <w:lvl w:ilvl="1">
      <w:lvlJc w:val="left"/>
      <w:lvlText w:val="(%2)"/>
      <w:numFmt w:val="lowerLetter"/>
      <w:start w:val="14"/>
    </w:lvl>
  </w:abstractNum>
  <w:abstractNum w:abstractNumId="53">
    <w:nsid w:val="77AE35EB"/>
    <w:multiLevelType w:val="hybridMultilevel"/>
    <w:lvl w:ilvl="0">
      <w:lvlJc w:val="left"/>
      <w:lvlText w:val="%1."/>
      <w:numFmt w:val="decimal"/>
      <w:start w:val="5"/>
    </w:lvl>
    <w:lvl w:ilvl="1">
      <w:lvlJc w:val="left"/>
      <w:lvlText w:val="%2"/>
      <w:numFmt w:val="lowerLetter"/>
      <w:start w:val="1"/>
    </w:lvl>
  </w:abstractNum>
  <w:abstractNum w:abstractNumId="54">
    <w:nsid w:val="579BE4F1"/>
    <w:multiLevelType w:val="hybridMultilevel"/>
    <w:lvl w:ilvl="0">
      <w:lvlJc w:val="left"/>
      <w:lvlText w:val="%1."/>
      <w:numFmt w:val="decimal"/>
      <w:start w:val="6"/>
    </w:lvl>
    <w:lvl w:ilvl="1">
      <w:lvlJc w:val="left"/>
      <w:lvlText w:val="(%2)"/>
      <w:numFmt w:val="lowerLetter"/>
      <w:start w:val="1"/>
    </w:lvl>
  </w:abstractNum>
  <w:abstractNum w:abstractNumId="55">
    <w:nsid w:val="310C50B3"/>
    <w:multiLevelType w:val="hybridMultilevel"/>
    <w:lvl w:ilvl="0">
      <w:lvlJc w:val="left"/>
      <w:lvlText w:val="%1"/>
      <w:numFmt w:val="lowerLetter"/>
      <w:start w:val="1"/>
    </w:lvl>
    <w:lvl w:ilvl="1">
      <w:lvlJc w:val="left"/>
      <w:lvlText w:val="(%2)"/>
      <w:numFmt w:val="lowerLetter"/>
      <w:start w:val="2"/>
    </w:lvl>
  </w:abstractNum>
  <w:abstractNum w:abstractNumId="56">
    <w:nsid w:val="5FF87E05"/>
    <w:multiLevelType w:val="hybridMultilevel"/>
    <w:lvl w:ilvl="0">
      <w:lvlJc w:val="left"/>
      <w:lvlText w:val="(%1)"/>
      <w:numFmt w:val="lowerLetter"/>
      <w:start w:val="35"/>
    </w:lvl>
    <w:lvl w:ilvl="1">
      <w:lvlJc w:val="left"/>
      <w:lvlText w:val="(%2)"/>
      <w:numFmt w:val="lowerLetter"/>
      <w:start w:val="4"/>
    </w:lvl>
  </w:abstractNum>
  <w:abstractNum w:abstractNumId="57">
    <w:nsid w:val="2F305DEF"/>
    <w:multiLevelType w:val="hybridMultilevel"/>
    <w:lvl w:ilvl="0">
      <w:lvlJc w:val="left"/>
      <w:lvlText w:val="(%1)"/>
      <w:numFmt w:val="lowerLetter"/>
      <w:start w:val="5"/>
    </w:lvl>
  </w:abstractNum>
  <w:abstractNum w:abstractNumId="58">
    <w:nsid w:val="25A70BF7"/>
    <w:multiLevelType w:val="hybridMultilevel"/>
    <w:lvl w:ilvl="0">
      <w:lvlJc w:val="left"/>
      <w:lvlText w:val="(%1)"/>
      <w:numFmt w:val="lowerLetter"/>
      <w:start w:val="9"/>
    </w:lvl>
  </w:abstractNum>
  <w:abstractNum w:abstractNumId="59">
    <w:nsid w:val="1DBABF00"/>
    <w:multiLevelType w:val="hybridMultilevel"/>
    <w:lvl w:ilvl="0">
      <w:lvlJc w:val="left"/>
      <w:lvlText w:val="%1."/>
      <w:numFmt w:val="decimal"/>
      <w:start w:val="7"/>
    </w:lvl>
  </w:abstractNum>
  <w:abstractNum w:abstractNumId="60">
    <w:nsid w:val="4AD084E9"/>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61">
    <w:nsid w:val="1F48EAA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62">
    <w:nsid w:val="1381823A"/>
    <w:multiLevelType w:val="hybridMultilevel"/>
    <w:lvl w:ilvl="0">
      <w:lvlJc w:val="left"/>
      <w:lvlText w:val="(%1)"/>
      <w:numFmt w:val="lowerLetter"/>
      <w:start w:val="2"/>
    </w:lvl>
  </w:abstractNum>
  <w:abstractNum w:abstractNumId="63">
    <w:nsid w:val="5DB70AE5"/>
    <w:multiLevelType w:val="hybridMultilevel"/>
    <w:lvl w:ilvl="0">
      <w:lvlJc w:val="left"/>
      <w:lvlText w:val="(%1)"/>
      <w:numFmt w:val="lowerLetter"/>
      <w:start w:val="3"/>
    </w:lvl>
  </w:abstractNum>
  <w:abstractNum w:abstractNumId="64">
    <w:nsid w:val="100F8FCA"/>
    <w:multiLevelType w:val="hybridMultilevel"/>
    <w:lvl w:ilvl="0">
      <w:lvlJc w:val="left"/>
      <w:lvlText w:val="(%1)"/>
      <w:numFmt w:val="lowerLetter"/>
      <w:start w:val="4"/>
    </w:lvl>
  </w:abstractNum>
  <w:abstractNum w:abstractNumId="65">
    <w:nsid w:val="6590700B"/>
    <w:multiLevelType w:val="hybridMultilevel"/>
    <w:lvl w:ilvl="0">
      <w:lvlJc w:val="left"/>
      <w:lvlText w:val="%1."/>
      <w:numFmt w:val="decimal"/>
      <w:start w:val="9"/>
    </w:lvl>
    <w:lvl w:ilvl="1">
      <w:lvlJc w:val="left"/>
      <w:lvlText w:val="(%2)"/>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4"/>
    </w:lvl>
  </w:abstractNum>
  <w:abstractNum w:abstractNumId="67">
    <w:nsid w:val="5F5E7FD0"/>
    <w:multiLevelType w:val="hybridMultilevel"/>
    <w:lvl w:ilvl="0">
      <w:lvlJc w:val="left"/>
      <w:lvlText w:val="%1."/>
      <w:numFmt w:val="decimal"/>
      <w:start w:val="10"/>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2"/>
    </w:lvl>
  </w:abstractNum>
  <w:abstractNum w:abstractNumId="69">
    <w:nsid w:val="799D0247"/>
    <w:multiLevelType w:val="hybridMultilevel"/>
    <w:lvl w:ilvl="0">
      <w:lvlJc w:val="left"/>
      <w:lvlText w:val="%1."/>
      <w:numFmt w:val="decimal"/>
      <w:start w:val="13"/>
    </w:lvl>
    <w:lvl w:ilvl="1">
      <w:lvlJc w:val="left"/>
      <w:lvlText w:val="%2"/>
      <w:numFmt w:val="lowerLetter"/>
      <w:start w:val="1"/>
    </w:lvl>
  </w:abstractNum>
  <w:abstractNum w:abstractNumId="70">
    <w:nsid w:val="6B94764"/>
    <w:multiLevelType w:val="hybridMultilevel"/>
    <w:lvl w:ilvl="0">
      <w:lvlJc w:val="left"/>
      <w:lvlText w:val="(%1)"/>
      <w:numFmt w:val="lowerRoman"/>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2022-12-16T15:49:35Z</dcterms:created>
  <dcterms:modified xsi:type="dcterms:W3CDTF">2022-12-16T15:49:35Z</dcterms:modified>
</cp:coreProperties>
</file>