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BAUM MARK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HARROW,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102 WOODMONT BLVD, SUITE 610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37205</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HARROW,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HROW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5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03/22/2024</w:t>
            </w:r>
          </w:p>
        </w:tc>
        <w:tc>
          <w:tcPr>
            <w:tcW w:w="2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520" w:type="dxa"/>
            <w:vAlign w:val="bottom"/>
            <w:gridSpan w:val="3"/>
            <w:vMerge w:val="continue"/>
          </w:tcPr>
          <w:p>
            <w:pPr>
              <w:spacing w:after="0"/>
              <w:rPr>
                <w:sz w:val="11"/>
                <w:szCs w:val="11"/>
                <w:color w:val="auto"/>
              </w:rPr>
            </w:pPr>
          </w:p>
        </w:tc>
        <w:tc>
          <w:tcPr>
            <w:tcW w:w="2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9,000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2,137,525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purchased in multiple transactions at a price of $11.585. The reporting person undertakes to provide to Harrow, Inc. ("Harrow"), any security holder of Harrow, or the staff of the Securities and Exchange Commission, upon request, full information regarding the number of shares purchased at each separate price within the range set forth in this footnote.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Mark L. Baum</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03/25/2024</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4282"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2024-03-25T06:02:59Z</dcterms:created>
  <dcterms:modified xsi:type="dcterms:W3CDTF">2024-03-25T06:02:59Z</dcterms:modified>
</cp:coreProperties>
</file>