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8-K/A</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January 1, 2015</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4320" w:type="dxa"/>
            <w:vAlign w:val="bottom"/>
          </w:tcPr>
          <w:p>
            <w:pPr>
              <w:jc w:val="center"/>
              <w:ind w:right="2350"/>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jc w:val="center"/>
              <w:ind w:right="1250"/>
              <w:spacing w:after="0"/>
              <w:rPr>
                <w:sz w:val="20"/>
                <w:szCs w:val="20"/>
                <w:color w:val="auto"/>
              </w:rPr>
            </w:pPr>
            <w:r>
              <w:rPr>
                <w:rFonts w:ascii="Arial" w:cs="Arial" w:eastAsia="Arial" w:hAnsi="Arial"/>
                <w:sz w:val="18"/>
                <w:szCs w:val="18"/>
                <w:b w:val="1"/>
                <w:bCs w:val="1"/>
                <w:color w:val="auto"/>
                <w:w w:val="90"/>
              </w:rPr>
              <w:t>001-35814</w:t>
            </w:r>
          </w:p>
        </w:tc>
        <w:tc>
          <w:tcPr>
            <w:tcW w:w="2680" w:type="dxa"/>
            <w:vAlign w:val="bottom"/>
          </w:tcPr>
          <w:p>
            <w:pPr>
              <w:jc w:val="right"/>
              <w:ind w:right="13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4320" w:type="dxa"/>
            <w:vAlign w:val="bottom"/>
          </w:tcPr>
          <w:p>
            <w:pPr>
              <w:jc w:val="center"/>
              <w:ind w:right="2350"/>
              <w:spacing w:after="0"/>
              <w:rPr>
                <w:sz w:val="20"/>
                <w:szCs w:val="20"/>
                <w:color w:val="auto"/>
              </w:rPr>
            </w:pPr>
            <w:r>
              <w:rPr>
                <w:rFonts w:ascii="Arial" w:cs="Arial" w:eastAsia="Arial" w:hAnsi="Arial"/>
                <w:sz w:val="18"/>
                <w:szCs w:val="18"/>
                <w:color w:val="auto"/>
                <w:w w:val="91"/>
              </w:rPr>
              <w:t>(State or other jurisdiction</w:t>
            </w:r>
          </w:p>
        </w:tc>
        <w:tc>
          <w:tcPr>
            <w:tcW w:w="2360" w:type="dxa"/>
            <w:vAlign w:val="bottom"/>
          </w:tcPr>
          <w:p>
            <w:pPr>
              <w:jc w:val="center"/>
              <w:ind w:right="1250"/>
              <w:spacing w:after="0"/>
              <w:rPr>
                <w:sz w:val="20"/>
                <w:szCs w:val="20"/>
                <w:color w:val="auto"/>
              </w:rPr>
            </w:pPr>
            <w:r>
              <w:rPr>
                <w:rFonts w:ascii="Arial" w:cs="Arial" w:eastAsia="Arial" w:hAnsi="Arial"/>
                <w:sz w:val="18"/>
                <w:szCs w:val="18"/>
                <w:color w:val="auto"/>
                <w:w w:val="93"/>
              </w:rPr>
              <w:t>(Commission</w:t>
            </w:r>
          </w:p>
        </w:tc>
        <w:tc>
          <w:tcPr>
            <w:tcW w:w="2680" w:type="dxa"/>
            <w:vAlign w:val="bottom"/>
          </w:tcPr>
          <w:p>
            <w:pPr>
              <w:jc w:val="center"/>
              <w:ind w:left="1250"/>
              <w:spacing w:after="0"/>
              <w:rPr>
                <w:sz w:val="20"/>
                <w:szCs w:val="20"/>
                <w:color w:val="auto"/>
              </w:rPr>
            </w:pPr>
            <w:r>
              <w:rPr>
                <w:rFonts w:ascii="Arial" w:cs="Arial" w:eastAsia="Arial" w:hAnsi="Arial"/>
                <w:sz w:val="18"/>
                <w:szCs w:val="18"/>
                <w:color w:val="auto"/>
                <w:w w:val="93"/>
              </w:rPr>
              <w:t>(IRS Employer</w:t>
            </w:r>
          </w:p>
        </w:tc>
      </w:tr>
      <w:tr>
        <w:trPr>
          <w:trHeight w:val="230"/>
        </w:trPr>
        <w:tc>
          <w:tcPr>
            <w:tcW w:w="4320" w:type="dxa"/>
            <w:vAlign w:val="bottom"/>
          </w:tcPr>
          <w:p>
            <w:pPr>
              <w:jc w:val="center"/>
              <w:ind w:right="2350"/>
              <w:spacing w:after="0"/>
              <w:rPr>
                <w:sz w:val="20"/>
                <w:szCs w:val="20"/>
                <w:color w:val="auto"/>
              </w:rPr>
            </w:pPr>
            <w:r>
              <w:rPr>
                <w:rFonts w:ascii="Arial" w:cs="Arial" w:eastAsia="Arial" w:hAnsi="Arial"/>
                <w:sz w:val="18"/>
                <w:szCs w:val="18"/>
                <w:color w:val="auto"/>
                <w:w w:val="95"/>
              </w:rPr>
              <w:t>of incorporation)</w:t>
            </w:r>
          </w:p>
        </w:tc>
        <w:tc>
          <w:tcPr>
            <w:tcW w:w="2360" w:type="dxa"/>
            <w:vAlign w:val="bottom"/>
          </w:tcPr>
          <w:p>
            <w:pPr>
              <w:jc w:val="center"/>
              <w:ind w:right="1250"/>
              <w:spacing w:after="0"/>
              <w:rPr>
                <w:sz w:val="20"/>
                <w:szCs w:val="20"/>
                <w:color w:val="auto"/>
              </w:rPr>
            </w:pPr>
            <w:r>
              <w:rPr>
                <w:rFonts w:ascii="Arial" w:cs="Arial" w:eastAsia="Arial" w:hAnsi="Arial"/>
                <w:sz w:val="18"/>
                <w:szCs w:val="18"/>
                <w:color w:val="auto"/>
                <w:w w:val="94"/>
              </w:rPr>
              <w:t>File Number)</w:t>
            </w:r>
          </w:p>
        </w:tc>
        <w:tc>
          <w:tcPr>
            <w:tcW w:w="2680" w:type="dxa"/>
            <w:vAlign w:val="bottom"/>
          </w:tcPr>
          <w:p>
            <w:pPr>
              <w:jc w:val="center"/>
              <w:ind w:left="12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320" w:type="dxa"/>
            <w:vAlign w:val="bottom"/>
          </w:tcPr>
          <w:p>
            <w:pPr>
              <w:jc w:val="center"/>
              <w:ind w:left="1350"/>
              <w:spacing w:after="0"/>
              <w:rPr>
                <w:sz w:val="20"/>
                <w:szCs w:val="20"/>
                <w:color w:val="auto"/>
              </w:rPr>
            </w:pPr>
            <w:r>
              <w:rPr>
                <w:rFonts w:ascii="Arial" w:cs="Arial" w:eastAsia="Arial" w:hAnsi="Arial"/>
                <w:sz w:val="18"/>
                <w:szCs w:val="18"/>
                <w:b w:val="1"/>
                <w:bCs w:val="1"/>
                <w:color w:val="auto"/>
                <w:w w:val="91"/>
              </w:rPr>
              <w:t>12264 El Camino Real, Suite 350</w:t>
            </w:r>
          </w:p>
        </w:tc>
        <w:tc>
          <w:tcPr>
            <w:tcW w:w="23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0"/>
        </w:trPr>
        <w:tc>
          <w:tcPr>
            <w:tcW w:w="4320" w:type="dxa"/>
            <w:vAlign w:val="bottom"/>
          </w:tcPr>
          <w:p>
            <w:pPr>
              <w:jc w:val="center"/>
              <w:ind w:left="1350"/>
              <w:spacing w:after="0"/>
              <w:rPr>
                <w:sz w:val="20"/>
                <w:szCs w:val="20"/>
                <w:color w:val="auto"/>
              </w:rPr>
            </w:pPr>
            <w:r>
              <w:rPr>
                <w:rFonts w:ascii="Arial" w:cs="Arial" w:eastAsia="Arial" w:hAnsi="Arial"/>
                <w:sz w:val="18"/>
                <w:szCs w:val="18"/>
                <w:b w:val="1"/>
                <w:bCs w:val="1"/>
                <w:color w:val="auto"/>
                <w:w w:val="90"/>
              </w:rPr>
              <w:t>San Diego, CA</w:t>
            </w:r>
          </w:p>
        </w:tc>
        <w:tc>
          <w:tcPr>
            <w:tcW w:w="2360" w:type="dxa"/>
            <w:vAlign w:val="bottom"/>
          </w:tcPr>
          <w:p>
            <w:pPr>
              <w:spacing w:after="0"/>
              <w:rPr>
                <w:sz w:val="19"/>
                <w:szCs w:val="19"/>
                <w:color w:val="auto"/>
              </w:rPr>
            </w:pPr>
          </w:p>
        </w:tc>
        <w:tc>
          <w:tcPr>
            <w:tcW w:w="2680" w:type="dxa"/>
            <w:vAlign w:val="bottom"/>
          </w:tcPr>
          <w:p>
            <w:pPr>
              <w:jc w:val="right"/>
              <w:ind w:right="350"/>
              <w:spacing w:after="0"/>
              <w:rPr>
                <w:sz w:val="20"/>
                <w:szCs w:val="20"/>
                <w:color w:val="auto"/>
              </w:rPr>
            </w:pPr>
            <w:r>
              <w:rPr>
                <w:rFonts w:ascii="Arial" w:cs="Arial" w:eastAsia="Arial" w:hAnsi="Arial"/>
                <w:sz w:val="18"/>
                <w:szCs w:val="18"/>
                <w:b w:val="1"/>
                <w:bCs w:val="1"/>
                <w:color w:val="auto"/>
              </w:rPr>
              <w:t>92130</w:t>
            </w:r>
          </w:p>
        </w:tc>
      </w:tr>
      <w:tr>
        <w:trPr>
          <w:trHeight w:val="230"/>
        </w:trPr>
        <w:tc>
          <w:tcPr>
            <w:tcW w:w="4320" w:type="dxa"/>
            <w:vAlign w:val="bottom"/>
          </w:tcPr>
          <w:p>
            <w:pPr>
              <w:jc w:val="center"/>
              <w:ind w:left="1330"/>
              <w:spacing w:after="0"/>
              <w:rPr>
                <w:sz w:val="20"/>
                <w:szCs w:val="20"/>
                <w:color w:val="auto"/>
              </w:rPr>
            </w:pPr>
            <w:r>
              <w:rPr>
                <w:rFonts w:ascii="Arial" w:cs="Arial" w:eastAsia="Arial" w:hAnsi="Arial"/>
                <w:sz w:val="18"/>
                <w:szCs w:val="18"/>
                <w:color w:val="auto"/>
                <w:w w:val="92"/>
              </w:rPr>
              <w:t>(Address of principal executive offices)</w:t>
            </w:r>
          </w:p>
        </w:tc>
        <w:tc>
          <w:tcPr>
            <w:tcW w:w="2360" w:type="dxa"/>
            <w:vAlign w:val="bottom"/>
          </w:tcPr>
          <w:p>
            <w:pPr>
              <w:spacing w:after="0"/>
              <w:rPr>
                <w:sz w:val="20"/>
                <w:szCs w:val="20"/>
                <w:color w:val="auto"/>
              </w:rPr>
            </w:pPr>
          </w:p>
        </w:tc>
        <w:tc>
          <w:tcPr>
            <w:tcW w:w="2680" w:type="dxa"/>
            <w:vAlign w:val="bottom"/>
          </w:tcPr>
          <w:p>
            <w:pPr>
              <w:jc w:val="center"/>
              <w:ind w:left="12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1891665</wp:posOffset>
            </wp:positionH>
            <wp:positionV relativeFrom="paragraph">
              <wp:posOffset>23495</wp:posOffset>
            </wp:positionV>
            <wp:extent cx="348170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81705" cy="17145"/>
                    </a:xfrm>
                    <a:prstGeom prst="rect">
                      <a:avLst/>
                    </a:prstGeom>
                    <a:noFill/>
                  </pic:spPr>
                </pic:pic>
              </a:graphicData>
            </a:graphic>
          </wp:anchor>
        </w:drawing>
      </w: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1" w:name="page2"/>
    <w:bookmarkEnd w:id="1"/>
    <w:p>
      <w:pPr>
        <w:jc w:val="both"/>
        <w:spacing w:after="0" w:line="255" w:lineRule="auto"/>
        <w:rPr>
          <w:sz w:val="20"/>
          <w:szCs w:val="20"/>
          <w:color w:val="auto"/>
        </w:rPr>
      </w:pPr>
      <w:r>
        <w:rPr>
          <w:rFonts w:ascii="Arial" w:cs="Arial" w:eastAsia="Arial" w:hAnsi="Arial"/>
          <w:sz w:val="18"/>
          <w:szCs w:val="18"/>
          <w:color w:val="auto"/>
        </w:rPr>
        <w:t>On January 6, 2015, Imprimis Pharmaceuticals, Inc. (the “Company”) filed a Current Report on Form 8-K (the “Initial Form 8-K”) reporting on the closing on January 1, 2015 of the Company’s acquisition of all of the outstanding capital stock of South Coast Specialty Compounding, Inc. D/B/A Park Compounding (“Park”) from its owners (the “Sellers”). This Amendment No. 1 on Form 8-K/A amends and supplements the Initial Form 8-K and is being filed to provide the historical financial information and the pro forma financial information required pursuant to Item 9.01 on Form 8-K. In accordance with the requirements of Item 9.01 of Form 8-K, this Amendment No. 1 on Form 8-K/A is being filed within 71 calendar days of the date that the Initial Form 8-K was required to be filed.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Financial Statements of Businesses Acquired.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audited financial statements of Park are attached hereto as Exhibit 99.1 and incorporated herein by reference:</w:t>
      </w:r>
    </w:p>
    <w:p>
      <w:pPr>
        <w:spacing w:after="0" w:line="225" w:lineRule="exact"/>
        <w:rPr>
          <w:sz w:val="20"/>
          <w:szCs w:val="20"/>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Independent Auditors’ Report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Balance Sheets as of December 31, 2014 and 2013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Statements of Income for the years ended December 31, 2014 and 2013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Statement of Stockholders’ Equity for the years ended December 31, 2014 and 2013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Statements of Cash Flows for the years ended December 31, 2014 and 2013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Notes to the Financial Statements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Pro Forma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unaudited pro forma financial information is attached hereto as Exhibit 99.2 and incorporated herein by reference:</w:t>
      </w:r>
    </w:p>
    <w:p>
      <w:pPr>
        <w:spacing w:after="0" w:line="225" w:lineRule="exact"/>
        <w:rPr>
          <w:sz w:val="20"/>
          <w:szCs w:val="20"/>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Unaudited Pro Forma Condensed Combined Balance Sheets as of December 31, 2014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Unaudited Pro Forma Condensed Combined Statement of Operations for the year ended December 31, 2014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Notes to Unaudited Pro Forma Condensed Combined Financial Statements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EXHIBIT</w:t>
            </w:r>
          </w:p>
        </w:tc>
        <w:tc>
          <w:tcPr>
            <w:tcW w:w="10260" w:type="dxa"/>
            <w:vAlign w:val="bottom"/>
          </w:tcPr>
          <w:p>
            <w:pPr>
              <w:spacing w:after="0"/>
              <w:rPr>
                <w:sz w:val="18"/>
                <w:szCs w:val="18"/>
                <w:color w:val="auto"/>
              </w:rPr>
            </w:pPr>
          </w:p>
        </w:tc>
      </w:tr>
      <w:tr>
        <w:trPr>
          <w:trHeight w:val="241"/>
        </w:trPr>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NUMBER</w:t>
            </w:r>
          </w:p>
        </w:tc>
        <w:tc>
          <w:tcPr>
            <w:tcW w:w="10260" w:type="dxa"/>
            <w:vAlign w:val="bottom"/>
          </w:tcPr>
          <w:p>
            <w:pPr>
              <w:ind w:left="4500"/>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2.1*</w:t>
            </w:r>
          </w:p>
        </w:tc>
        <w:tc>
          <w:tcPr>
            <w:tcW w:w="24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Stock Purchase Agreement, dated January 1, 2015, among Dennis Saadeh and Tina Sulic-Saadeh (as Sellers) and Imprimis Pharmaceuticals,</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 (Incorporated by reference to Exhibit 2.1 of the Company’s Form 8-K filed on December 2, 2014.)</w:t>
            </w: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Independent Auditors.</w:t>
            </w: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Audited Financial Statements listed in Item 9.01(a)</w:t>
            </w: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Unaudited Pro Forma Financial Information listed in Item 9.01(b)</w:t>
            </w:r>
          </w:p>
        </w:tc>
      </w:tr>
    </w:tbl>
    <w:p>
      <w:pPr>
        <w:spacing w:after="0" w:line="202" w:lineRule="exact"/>
        <w:rPr>
          <w:sz w:val="20"/>
          <w:szCs w:val="20"/>
          <w:color w:val="auto"/>
        </w:rPr>
      </w:pPr>
    </w:p>
    <w:p>
      <w:pPr>
        <w:jc w:val="both"/>
        <w:ind w:firstLine="8"/>
        <w:spacing w:after="0" w:line="264" w:lineRule="auto"/>
        <w:tabs>
          <w:tab w:leader="none" w:pos="158" w:val="left"/>
        </w:tabs>
        <w:numPr>
          <w:ilvl w:val="0"/>
          <w:numId w:val="4"/>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Item 601(b)(2) of Regulation S-K. A copy of any omitted schedule or exhibit will be furnished supplementally to the Securities and Exchange Commission upon request; provided, however that the Company may request confidential treatment pursuant to Rule 24b-2 of the Securities Exchange Act of 1934, as amended, for any schedule or exhibit so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March 12,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rPr>
              <w:t>EXHIBIT</w:t>
            </w:r>
          </w:p>
        </w:tc>
        <w:tc>
          <w:tcPr>
            <w:tcW w:w="10260" w:type="dxa"/>
            <w:vAlign w:val="bottom"/>
          </w:tcPr>
          <w:p>
            <w:pPr>
              <w:spacing w:after="0"/>
              <w:rPr>
                <w:sz w:val="24"/>
                <w:szCs w:val="24"/>
                <w:color w:val="auto"/>
              </w:rPr>
            </w:pPr>
          </w:p>
        </w:tc>
      </w:tr>
      <w:tr>
        <w:trPr>
          <w:trHeight w:val="241"/>
        </w:trPr>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NUMBER</w:t>
            </w:r>
          </w:p>
        </w:tc>
        <w:tc>
          <w:tcPr>
            <w:tcW w:w="10260" w:type="dxa"/>
            <w:vAlign w:val="bottom"/>
          </w:tcPr>
          <w:p>
            <w:pPr>
              <w:ind w:left="4500"/>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2.1*</w:t>
            </w:r>
          </w:p>
        </w:tc>
        <w:tc>
          <w:tcPr>
            <w:tcW w:w="240" w:type="dxa"/>
            <w:vAlign w:val="bottom"/>
          </w:tcPr>
          <w:p>
            <w:pPr>
              <w:spacing w:after="0"/>
              <w:rPr>
                <w:sz w:val="24"/>
                <w:szCs w:val="24"/>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Stock Purchase Agreement, dated January 1, 2015, among Dennis Saadeh and Tina Sulic-Saadeh (as Sellers) and Imprimis Pharmaceuticals,</w:t>
            </w: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Inc.* (Incorporated by reference to Exhibit 2.1 of the Company’s Form 8-K filed on [January 6, 2015].)</w:t>
            </w: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Consent of Independent Auditors.</w:t>
            </w: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Audited Financial Statements listed in Item 9.01(a)</w:t>
            </w:r>
          </w:p>
        </w:tc>
      </w:tr>
      <w:tr>
        <w:trPr>
          <w:trHeight w:val="432"/>
        </w:trPr>
        <w:tc>
          <w:tcPr>
            <w:tcW w:w="920" w:type="dxa"/>
            <w:vAlign w:val="bottom"/>
          </w:tcPr>
          <w:p>
            <w:pPr>
              <w:jc w:val="center"/>
              <w:spacing w:after="0"/>
              <w:rPr>
                <w:sz w:val="20"/>
                <w:szCs w:val="20"/>
                <w:color w:val="auto"/>
              </w:rPr>
            </w:pPr>
            <w:r>
              <w:rPr>
                <w:rFonts w:ascii="Arial" w:cs="Arial" w:eastAsia="Arial" w:hAnsi="Arial"/>
                <w:sz w:val="18"/>
                <w:szCs w:val="18"/>
                <w:color w:val="auto"/>
                <w:w w:val="91"/>
              </w:rPr>
              <w:t>99.2</w:t>
            </w:r>
          </w:p>
        </w:tc>
        <w:tc>
          <w:tcPr>
            <w:tcW w:w="2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Unaudited Pro Forma Financial Information listed in Item 9.01(b)</w:t>
            </w:r>
          </w:p>
        </w:tc>
      </w:tr>
    </w:tbl>
    <w:p>
      <w:pPr>
        <w:spacing w:after="0" w:line="202" w:lineRule="exact"/>
        <w:rPr>
          <w:sz w:val="20"/>
          <w:szCs w:val="20"/>
          <w:color w:val="auto"/>
        </w:rPr>
      </w:pPr>
    </w:p>
    <w:p>
      <w:pPr>
        <w:jc w:val="both"/>
        <w:ind w:firstLine="8"/>
        <w:spacing w:after="0" w:line="264" w:lineRule="auto"/>
        <w:tabs>
          <w:tab w:leader="none" w:pos="158" w:val="left"/>
        </w:tabs>
        <w:numPr>
          <w:ilvl w:val="0"/>
          <w:numId w:val="5"/>
        </w:numPr>
        <w:rPr>
          <w:rFonts w:ascii="Arial" w:cs="Arial" w:eastAsia="Arial" w:hAnsi="Arial"/>
          <w:sz w:val="18"/>
          <w:szCs w:val="18"/>
          <w:color w:val="auto"/>
        </w:rPr>
      </w:pPr>
      <w:r>
        <w:rPr>
          <w:rFonts w:ascii="Arial" w:cs="Arial" w:eastAsia="Arial" w:hAnsi="Arial"/>
          <w:sz w:val="18"/>
          <w:szCs w:val="18"/>
          <w:color w:val="auto"/>
        </w:rPr>
        <w:t>Schedules and exhibits have been omitted pursuant to Item 601(b)(2) of Regulation S-K. A copy of any omitted schedule or exhibit will be furnished supplementally to the Securities and Exchange Commission upon request; provided, however that the Company may request confidential treatment pursuant to Rule 24b-2 of the Securities Exchange Act of 1934, as amended, for any schedule or exhibit so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consent to the incorporation by reference in Registration Statement Nos. 333-159159, 333-183488 and 333-198674 on Form S-8 and Registration Statement No. 333-198675 on Form S-3 of Imprimis Pharmaceuticals, Inc. of our report dated March 12, 2015, relating to the financial statements of South Coast Specialty Compounding, Inc. d/b/a Park Compounding, which appears in this Form 8-K/A of Imprimis Pharmaceuticals, Inc. dated March 12, 2015.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KMJ Corbin &amp; Company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8580" w:type="dxa"/>
            <w:vAlign w:val="bottom"/>
            <w:gridSpan w:val="2"/>
          </w:tcPr>
          <w:p>
            <w:pPr>
              <w:ind w:left="7440"/>
              <w:spacing w:after="0"/>
              <w:rPr>
                <w:sz w:val="20"/>
                <w:szCs w:val="20"/>
                <w:color w:val="auto"/>
              </w:rPr>
            </w:pPr>
            <w:r>
              <w:rPr>
                <w:rFonts w:ascii="Arial" w:cs="Arial" w:eastAsia="Arial" w:hAnsi="Arial"/>
                <w:sz w:val="18"/>
                <w:szCs w:val="18"/>
                <w:b w:val="1"/>
                <w:bCs w:val="1"/>
                <w:color w:val="auto"/>
              </w:rPr>
              <w:t>EXHIBIT 99.1</w:t>
            </w:r>
          </w:p>
        </w:tc>
      </w:tr>
      <w:tr>
        <w:trPr>
          <w:trHeight w:val="414"/>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580" w:type="dxa"/>
            <w:vAlign w:val="bottom"/>
            <w:gridSpan w:val="2"/>
          </w:tcPr>
          <w:p>
            <w:pPr>
              <w:jc w:val="center"/>
              <w:ind w:right="2750"/>
              <w:spacing w:after="0"/>
              <w:rPr>
                <w:sz w:val="20"/>
                <w:szCs w:val="20"/>
                <w:color w:val="auto"/>
              </w:rPr>
            </w:pPr>
            <w:r>
              <w:rPr>
                <w:rFonts w:ascii="Arial" w:cs="Arial" w:eastAsia="Arial" w:hAnsi="Arial"/>
                <w:sz w:val="18"/>
                <w:szCs w:val="18"/>
                <w:b w:val="1"/>
                <w:bCs w:val="1"/>
                <w:color w:val="auto"/>
                <w:w w:val="90"/>
              </w:rPr>
              <w:t>South Coast Specialty Compounding, Inc. d/b/a Park Compounding</w:t>
            </w:r>
          </w:p>
        </w:tc>
      </w:tr>
      <w:tr>
        <w:trPr>
          <w:trHeight w:val="220"/>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580" w:type="dxa"/>
            <w:vAlign w:val="bottom"/>
            <w:gridSpan w:val="2"/>
          </w:tcPr>
          <w:p>
            <w:pPr>
              <w:jc w:val="center"/>
              <w:ind w:right="2750"/>
              <w:spacing w:after="0"/>
              <w:rPr>
                <w:sz w:val="20"/>
                <w:szCs w:val="20"/>
                <w:color w:val="auto"/>
              </w:rPr>
            </w:pPr>
            <w:r>
              <w:rPr>
                <w:rFonts w:ascii="Arial" w:cs="Arial" w:eastAsia="Arial" w:hAnsi="Arial"/>
                <w:sz w:val="18"/>
                <w:szCs w:val="18"/>
                <w:b w:val="1"/>
                <w:bCs w:val="1"/>
                <w:color w:val="auto"/>
                <w:w w:val="89"/>
              </w:rPr>
              <w:t>Financial Statements</w:t>
            </w:r>
          </w:p>
        </w:tc>
      </w:tr>
      <w:tr>
        <w:trPr>
          <w:trHeight w:val="230"/>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8580" w:type="dxa"/>
            <w:vAlign w:val="bottom"/>
            <w:gridSpan w:val="2"/>
          </w:tcPr>
          <w:p>
            <w:pPr>
              <w:jc w:val="center"/>
              <w:ind w:right="2730"/>
              <w:spacing w:after="0"/>
              <w:rPr>
                <w:sz w:val="20"/>
                <w:szCs w:val="20"/>
                <w:color w:val="auto"/>
              </w:rPr>
            </w:pPr>
            <w:r>
              <w:rPr>
                <w:rFonts w:ascii="Arial" w:cs="Arial" w:eastAsia="Arial" w:hAnsi="Arial"/>
                <w:sz w:val="18"/>
                <w:szCs w:val="18"/>
                <w:color w:val="auto"/>
                <w:w w:val="88"/>
              </w:rPr>
              <w:t>Years ended December 31, 2014 and 2013</w:t>
            </w:r>
          </w:p>
        </w:tc>
      </w:tr>
      <w:tr>
        <w:trPr>
          <w:trHeight w:val="459"/>
        </w:trPr>
        <w:tc>
          <w:tcPr>
            <w:tcW w:w="20" w:type="dxa"/>
            <w:vAlign w:val="bottom"/>
          </w:tcPr>
          <w:p>
            <w:pPr>
              <w:spacing w:after="0"/>
              <w:rPr>
                <w:sz w:val="24"/>
                <w:szCs w:val="24"/>
                <w:color w:val="auto"/>
              </w:rPr>
            </w:pPr>
          </w:p>
        </w:tc>
        <w:tc>
          <w:tcPr>
            <w:tcW w:w="2820" w:type="dxa"/>
            <w:vAlign w:val="bottom"/>
            <w:tcBorders>
              <w:bottom w:val="single" w:sz="8" w:color="CCEEFF"/>
            </w:tcBorders>
          </w:tcPr>
          <w:p>
            <w:pPr>
              <w:spacing w:after="0"/>
              <w:rPr>
                <w:sz w:val="24"/>
                <w:szCs w:val="24"/>
                <w:color w:val="auto"/>
              </w:rPr>
            </w:pPr>
          </w:p>
        </w:tc>
        <w:tc>
          <w:tcPr>
            <w:tcW w:w="79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Contents</w:t>
            </w:r>
          </w:p>
        </w:tc>
      </w:tr>
      <w:tr>
        <w:trPr>
          <w:trHeight w:val="210"/>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Independent Auditors’ Report</w:t>
            </w:r>
          </w:p>
        </w:tc>
        <w:tc>
          <w:tcPr>
            <w:tcW w:w="79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Balance Sheets</w:t>
            </w:r>
          </w:p>
        </w:tc>
        <w:tc>
          <w:tcPr>
            <w:tcW w:w="8580" w:type="dxa"/>
            <w:vAlign w:val="bottom"/>
            <w:gridSpan w:val="2"/>
          </w:tcPr>
          <w:p>
            <w:pPr>
              <w:jc w:val="center"/>
              <w:ind w:left="7850"/>
              <w:spacing w:after="0"/>
              <w:rPr>
                <w:sz w:val="20"/>
                <w:szCs w:val="20"/>
                <w:color w:val="auto"/>
              </w:rPr>
            </w:pPr>
            <w:r>
              <w:rPr>
                <w:rFonts w:ascii="Arial" w:cs="Arial" w:eastAsia="Arial" w:hAnsi="Arial"/>
                <w:sz w:val="18"/>
                <w:szCs w:val="18"/>
                <w:color w:val="auto"/>
                <w:w w:val="79"/>
              </w:rPr>
              <w:t>3</w:t>
            </w: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Statements of Income</w:t>
            </w:r>
          </w:p>
        </w:tc>
        <w:tc>
          <w:tcPr>
            <w:tcW w:w="8580" w:type="dxa"/>
            <w:vAlign w:val="bottom"/>
            <w:gridSpan w:val="2"/>
            <w:shd w:val="clear" w:color="auto" w:fill="CCEEFF"/>
          </w:tcPr>
          <w:p>
            <w:pPr>
              <w:jc w:val="center"/>
              <w:ind w:left="7850"/>
              <w:spacing w:after="0"/>
              <w:rPr>
                <w:sz w:val="20"/>
                <w:szCs w:val="20"/>
                <w:color w:val="auto"/>
              </w:rPr>
            </w:pPr>
            <w:r>
              <w:rPr>
                <w:rFonts w:ascii="Arial" w:cs="Arial" w:eastAsia="Arial" w:hAnsi="Arial"/>
                <w:sz w:val="18"/>
                <w:szCs w:val="18"/>
                <w:color w:val="auto"/>
                <w:w w:val="79"/>
              </w:rPr>
              <w:t>4</w:t>
            </w: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w w:val="99"/>
              </w:rPr>
              <w:t>Statements of Shareholders’ Equity</w:t>
            </w:r>
          </w:p>
        </w:tc>
        <w:tc>
          <w:tcPr>
            <w:tcW w:w="8580" w:type="dxa"/>
            <w:vAlign w:val="bottom"/>
            <w:gridSpan w:val="2"/>
          </w:tcPr>
          <w:p>
            <w:pPr>
              <w:jc w:val="center"/>
              <w:ind w:left="7850"/>
              <w:spacing w:after="0"/>
              <w:rPr>
                <w:sz w:val="20"/>
                <w:szCs w:val="20"/>
                <w:color w:val="auto"/>
              </w:rPr>
            </w:pPr>
            <w:r>
              <w:rPr>
                <w:rFonts w:ascii="Arial" w:cs="Arial" w:eastAsia="Arial" w:hAnsi="Arial"/>
                <w:sz w:val="18"/>
                <w:szCs w:val="18"/>
                <w:color w:val="auto"/>
                <w:w w:val="79"/>
              </w:rPr>
              <w:t>5</w:t>
            </w: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Statements of Cash Flows</w:t>
            </w:r>
          </w:p>
        </w:tc>
        <w:tc>
          <w:tcPr>
            <w:tcW w:w="8580" w:type="dxa"/>
            <w:vAlign w:val="bottom"/>
            <w:gridSpan w:val="2"/>
            <w:shd w:val="clear" w:color="auto" w:fill="CCEEFF"/>
          </w:tcPr>
          <w:p>
            <w:pPr>
              <w:jc w:val="center"/>
              <w:ind w:left="7850"/>
              <w:spacing w:after="0"/>
              <w:rPr>
                <w:sz w:val="20"/>
                <w:szCs w:val="20"/>
                <w:color w:val="auto"/>
              </w:rPr>
            </w:pPr>
            <w:r>
              <w:rPr>
                <w:rFonts w:ascii="Arial" w:cs="Arial" w:eastAsia="Arial" w:hAnsi="Arial"/>
                <w:sz w:val="18"/>
                <w:szCs w:val="18"/>
                <w:color w:val="auto"/>
                <w:w w:val="79"/>
              </w:rPr>
              <w:t>6</w:t>
            </w:r>
          </w:p>
        </w:tc>
      </w:tr>
      <w:tr>
        <w:trPr>
          <w:trHeight w:val="230"/>
        </w:trPr>
        <w:tc>
          <w:tcPr>
            <w:tcW w:w="2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Notes to the Financial Statements</w:t>
            </w:r>
          </w:p>
        </w:tc>
        <w:tc>
          <w:tcPr>
            <w:tcW w:w="8580" w:type="dxa"/>
            <w:vAlign w:val="bottom"/>
            <w:gridSpan w:val="2"/>
          </w:tcPr>
          <w:p>
            <w:pPr>
              <w:jc w:val="center"/>
              <w:ind w:left="7850"/>
              <w:spacing w:after="0"/>
              <w:rPr>
                <w:sz w:val="20"/>
                <w:szCs w:val="20"/>
                <w:color w:val="auto"/>
              </w:rPr>
            </w:pPr>
            <w:r>
              <w:rPr>
                <w:rFonts w:ascii="Arial" w:cs="Arial" w:eastAsia="Arial" w:hAnsi="Arial"/>
                <w:sz w:val="18"/>
                <w:szCs w:val="18"/>
                <w:color w:val="auto"/>
                <w:w w:val="79"/>
              </w:rPr>
              <w:t>7</w:t>
            </w:r>
          </w:p>
        </w:tc>
      </w:tr>
      <w:tr>
        <w:trPr>
          <w:trHeight w:val="452"/>
        </w:trPr>
        <w:tc>
          <w:tcPr>
            <w:tcW w:w="20" w:type="dxa"/>
            <w:vAlign w:val="bottom"/>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jc w:val="center"/>
              <w:ind w:right="2110"/>
              <w:spacing w:after="0"/>
              <w:rPr>
                <w:sz w:val="20"/>
                <w:szCs w:val="20"/>
                <w:color w:val="auto"/>
              </w:rPr>
            </w:pPr>
            <w:r>
              <w:rPr>
                <w:rFonts w:ascii="Arial" w:cs="Arial" w:eastAsia="Arial" w:hAnsi="Arial"/>
                <w:sz w:val="18"/>
                <w:szCs w:val="18"/>
                <w:color w:val="auto"/>
                <w:w w:val="99"/>
              </w:rPr>
              <w:t>1</w:t>
            </w: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INDEPENDENT AUDITORS’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Coast Specialty Compounding, Inc. d/b/a Park Compounding</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audited the accompanying balance sheets of South Coast Specialty Compounding, Inc. d/b/a Park Compounding (the “Company”) as of December 31, 2014 and 2013, and the related statements of income, shareholders’ equity and cash flows for the years then ended, and the related notes to the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Auditors’ Responsibility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audits to obtain reasonable assurance about whether the financial statements are free from material misstatement.</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Company’s preparation and fair presentation of the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South Coast Specialty Compounding, Inc. d/b/a Park Compounding as of December 31, 2014 and 2013, and the results of its operations and its cash flows for the years then ended in accordance with accounting principles generally accepted in the United States of America.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Emphasis of Matter</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in Note 8 to the financial statements, the Company’s shareholders sold 100% of their shares of common stock subsequent to December 31, 2014. Our opinion is not modified with respect to this matter.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KMJ Corbin &amp; Company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Costa Mesa,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2015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SOUTH COAST SPECIALTY COMPOUNDING, INC. d/b/a PARK COMPOUNDING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2"/>
          </w:tcPr>
          <w:p>
            <w:pPr>
              <w:ind w:left="60"/>
              <w:spacing w:after="0"/>
              <w:rPr>
                <w:sz w:val="20"/>
                <w:szCs w:val="20"/>
                <w:color w:val="auto"/>
              </w:rPr>
            </w:pPr>
            <w:r>
              <w:rPr>
                <w:rFonts w:ascii="Arial" w:cs="Arial" w:eastAsia="Arial" w:hAnsi="Arial"/>
                <w:sz w:val="18"/>
                <w:szCs w:val="18"/>
                <w:color w:val="auto"/>
              </w:rPr>
              <w:t>December 31, 2014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3"/>
          </w:tcPr>
          <w:p>
            <w:pPr>
              <w:ind w:left="60"/>
              <w:spacing w:after="0"/>
              <w:rPr>
                <w:sz w:val="20"/>
                <w:szCs w:val="20"/>
                <w:color w:val="auto"/>
              </w:rPr>
            </w:pPr>
            <w:r>
              <w:rPr>
                <w:rFonts w:ascii="Arial" w:cs="Arial" w:eastAsia="Arial" w:hAnsi="Arial"/>
                <w:sz w:val="18"/>
                <w:szCs w:val="18"/>
                <w:color w:val="auto"/>
              </w:rPr>
              <w:t>December 31, 2013</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ind w:left="3220"/>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124,713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713,334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398,757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239,242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0"/>
                <w:szCs w:val="20"/>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231,759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254,045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755,229</w:t>
            </w: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1,224,430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Furniture and equipment, net</w:t>
            </w:r>
          </w:p>
        </w:tc>
        <w:tc>
          <w:tcPr>
            <w:tcW w:w="140" w:type="dxa"/>
            <w:vAlign w:val="bottom"/>
          </w:tcPr>
          <w:p>
            <w:pPr>
              <w:spacing w:after="0"/>
              <w:rPr>
                <w:sz w:val="20"/>
                <w:szCs w:val="20"/>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251,470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316,995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1,006,699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1,541,425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ind w:left="1700"/>
              <w:spacing w:after="0"/>
              <w:rPr>
                <w:sz w:val="20"/>
                <w:szCs w:val="20"/>
                <w:color w:val="auto"/>
              </w:rPr>
            </w:pPr>
            <w:r>
              <w:rPr>
                <w:rFonts w:ascii="Arial" w:cs="Arial" w:eastAsia="Arial" w:hAnsi="Arial"/>
                <w:sz w:val="18"/>
                <w:szCs w:val="18"/>
                <w:color w:val="auto"/>
              </w:rPr>
              <w:t>LIABILITIES AND SHAREHOLDERS’ EQUITY</w:t>
            </w: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268,004</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122,193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payroll and related liabilities</w:t>
            </w:r>
          </w:p>
        </w:tc>
        <w:tc>
          <w:tcPr>
            <w:tcW w:w="1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30,905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Customer deposits</w:t>
            </w:r>
          </w:p>
        </w:tc>
        <w:tc>
          <w:tcPr>
            <w:tcW w:w="14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36,318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69,923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lease obligation</w:t>
            </w:r>
          </w:p>
        </w:tc>
        <w:tc>
          <w:tcPr>
            <w:tcW w:w="14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3,549</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338,776</w:t>
            </w:r>
          </w:p>
        </w:tc>
        <w:tc>
          <w:tcPr>
            <w:tcW w:w="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242,531</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32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Common stock, no par value, 1,000,000 shares authorized, 500 shares issued and outstanding</w:t>
            </w:r>
          </w:p>
        </w:tc>
        <w:tc>
          <w:tcPr>
            <w:tcW w:w="1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 December 31, 2014 and 2013</w:t>
            </w:r>
          </w:p>
        </w:tc>
        <w:tc>
          <w:tcPr>
            <w:tcW w:w="14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227,046</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227,046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20"/>
                <w:szCs w:val="20"/>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440,877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1,071,848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667,923</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1,298,894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7320" w:type="dxa"/>
            <w:vAlign w:val="bottom"/>
          </w:tcPr>
          <w:p>
            <w:pPr>
              <w:ind w:left="36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1,006,699</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1,541,425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SOUTH COAST SPECIALTY COMPOUNDING, INC. d/b/a PARK COMPOUNDING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INCOME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For the</w:t>
            </w:r>
          </w:p>
        </w:tc>
      </w:tr>
      <w:tr>
        <w:trPr>
          <w:trHeight w:val="230"/>
        </w:trPr>
        <w:tc>
          <w:tcPr>
            <w:tcW w:w="7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Year Ended</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Year Ended</w:t>
            </w:r>
          </w:p>
        </w:tc>
      </w:tr>
      <w:tr>
        <w:trPr>
          <w:trHeight w:val="237"/>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December 31, 2014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December 31, 2013</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4,077,765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3,790,841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20"/>
                <w:szCs w:val="20"/>
                <w:color w:val="auto"/>
              </w:rPr>
            </w:pP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(2,071,411)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(2,024,454)</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2,006,354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1,766,387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1,382,081</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1,526,398</w:t>
            </w: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1,382,081</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1,526,398</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624,273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239,989</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 expense:</w:t>
            </w: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w:t>
            </w: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expense</w:t>
            </w:r>
          </w:p>
        </w:tc>
        <w:tc>
          <w:tcPr>
            <w:tcW w:w="14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(357</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624,244</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239,632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p>
      <w:pPr>
        <w:jc w:val="center"/>
        <w:ind w:left="260" w:right="2340"/>
        <w:spacing w:after="0" w:line="266" w:lineRule="auto"/>
        <w:rPr>
          <w:sz w:val="20"/>
          <w:szCs w:val="20"/>
          <w:color w:val="auto"/>
        </w:rPr>
      </w:pPr>
      <w:r>
        <w:rPr>
          <w:rFonts w:ascii="Arial" w:cs="Arial" w:eastAsia="Arial" w:hAnsi="Arial"/>
          <w:sz w:val="18"/>
          <w:szCs w:val="18"/>
          <w:b w:val="1"/>
          <w:bCs w:val="1"/>
          <w:color w:val="auto"/>
        </w:rPr>
        <w:t>SOUTH COAST SPECIALTY COMPOUNDING, INC. d/b/a PARK COMPOUNDING STATEMENTS OF SHAREHOLDERS’ EQUITY For the years ended December 31, 2014 and 2013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Total</w:t>
            </w:r>
          </w:p>
        </w:tc>
      </w:tr>
      <w:tr>
        <w:trPr>
          <w:trHeight w:val="251"/>
        </w:trPr>
        <w:tc>
          <w:tcPr>
            <w:tcW w:w="5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180" w:type="dxa"/>
            <w:vAlign w:val="bottom"/>
            <w:gridSpan w:val="6"/>
          </w:tcPr>
          <w:p>
            <w:pPr>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Retained</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Shareholders’</w:t>
            </w:r>
          </w:p>
        </w:tc>
      </w:tr>
      <w:tr>
        <w:trPr>
          <w:trHeight w:val="237"/>
        </w:trPr>
        <w:tc>
          <w:tcPr>
            <w:tcW w:w="5260" w:type="dxa"/>
            <w:vAlign w:val="bottom"/>
          </w:tcPr>
          <w:p>
            <w:pPr>
              <w:spacing w:after="0"/>
              <w:rPr>
                <w:sz w:val="20"/>
                <w:szCs w:val="20"/>
                <w:color w:val="auto"/>
              </w:rPr>
            </w:pPr>
          </w:p>
        </w:tc>
        <w:tc>
          <w:tcPr>
            <w:tcW w:w="88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w w:val="80"/>
              </w:rPr>
              <w:t>Shares</w:t>
            </w:r>
          </w:p>
        </w:tc>
        <w:tc>
          <w:tcPr>
            <w:tcW w:w="4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Amount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Earnings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Equity</w:t>
            </w:r>
          </w:p>
        </w:tc>
      </w:tr>
      <w:tr>
        <w:trPr>
          <w:trHeight w:val="216"/>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1, 2013</w:t>
            </w:r>
          </w:p>
        </w:tc>
        <w:tc>
          <w:tcPr>
            <w:tcW w:w="8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227,046</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891,619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1,118,665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Distributions paid</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(59,403)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(59,403)</w:t>
            </w:r>
          </w:p>
        </w:tc>
      </w:tr>
      <w:tr>
        <w:trPr>
          <w:trHeight w:val="250"/>
        </w:trPr>
        <w:tc>
          <w:tcPr>
            <w:tcW w:w="6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239,632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239,632</w:t>
            </w:r>
          </w:p>
        </w:tc>
      </w:tr>
      <w:tr>
        <w:trPr>
          <w:trHeight w:val="203"/>
        </w:trPr>
        <w:tc>
          <w:tcPr>
            <w:tcW w:w="52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Balance at December 31, 2013</w:t>
            </w:r>
          </w:p>
        </w:tc>
        <w:tc>
          <w:tcPr>
            <w:tcW w:w="88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500</w:t>
            </w: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227,046</w:t>
            </w: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1,071,848</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1,298,894</w:t>
            </w:r>
          </w:p>
        </w:tc>
        <w:tc>
          <w:tcPr>
            <w:tcW w:w="100" w:type="dxa"/>
            <w:vAlign w:val="bottom"/>
            <w:tcBorders>
              <w:top w:val="single" w:sz="8" w:color="CCEEFF"/>
            </w:tcBorders>
          </w:tcPr>
          <w:p>
            <w:pPr>
              <w:spacing w:after="0"/>
              <w:rPr>
                <w:sz w:val="17"/>
                <w:szCs w:val="17"/>
                <w:color w:val="auto"/>
              </w:rPr>
            </w:pPr>
          </w:p>
        </w:tc>
      </w:tr>
      <w:tr>
        <w:trPr>
          <w:trHeight w:val="216"/>
        </w:trPr>
        <w:tc>
          <w:tcPr>
            <w:tcW w:w="6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Distributions paid</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(1,255,215)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(1,255,215)</w:t>
            </w:r>
          </w:p>
        </w:tc>
      </w:tr>
      <w:tr>
        <w:trPr>
          <w:trHeight w:val="237"/>
        </w:trPr>
        <w:tc>
          <w:tcPr>
            <w:tcW w:w="614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624,244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624,244</w:t>
            </w:r>
          </w:p>
        </w:tc>
      </w:tr>
      <w:tr>
        <w:trPr>
          <w:trHeight w:val="230"/>
        </w:trPr>
        <w:tc>
          <w:tcPr>
            <w:tcW w:w="5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880" w:type="dxa"/>
            <w:vAlign w:val="bottom"/>
            <w:tcBorders>
              <w:top w:val="single" w:sz="8" w:color="auto"/>
              <w:bottom w:val="single" w:sz="8" w:color="auto"/>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227,046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440,877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667,923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SOUTH COAST COMPOUNDING, INC. d/b/a PARK COMPOUNDING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For the</w:t>
            </w:r>
          </w:p>
        </w:tc>
      </w:tr>
      <w:tr>
        <w:trPr>
          <w:trHeight w:val="230"/>
        </w:trPr>
        <w:tc>
          <w:tcPr>
            <w:tcW w:w="7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Year Ended</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Year Ended</w:t>
            </w:r>
          </w:p>
        </w:tc>
      </w:tr>
      <w:tr>
        <w:trPr>
          <w:trHeight w:val="237"/>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December 31, 2014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December 31, 2013</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624,244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239,632</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5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107,760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93,416</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54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(159,515)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(28,763)</w:t>
            </w:r>
          </w:p>
        </w:tc>
      </w:tr>
      <w:tr>
        <w:trPr>
          <w:trHeight w:val="216"/>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17,809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506</w:t>
            </w:r>
          </w:p>
        </w:tc>
      </w:tr>
      <w:tr>
        <w:trPr>
          <w:trHeight w:val="216"/>
        </w:trPr>
        <w:tc>
          <w:tcPr>
            <w:tcW w:w="7320" w:type="dxa"/>
            <w:vAlign w:val="bottom"/>
          </w:tcPr>
          <w:p>
            <w:pPr>
              <w:ind w:left="54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Arial" w:cs="Arial" w:eastAsia="Arial" w:hAnsi="Arial"/>
                <w:sz w:val="18"/>
                <w:szCs w:val="18"/>
                <w:color w:val="auto"/>
              </w:rPr>
              <w:t>22,286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(45,469)</w:t>
            </w:r>
          </w:p>
        </w:tc>
      </w:tr>
      <w:tr>
        <w:trPr>
          <w:trHeight w:val="216"/>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145,811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(9,183)</w:t>
            </w:r>
          </w:p>
        </w:tc>
      </w:tr>
      <w:tr>
        <w:trPr>
          <w:trHeight w:val="216"/>
        </w:trPr>
        <w:tc>
          <w:tcPr>
            <w:tcW w:w="7320" w:type="dxa"/>
            <w:vAlign w:val="bottom"/>
          </w:tcPr>
          <w:p>
            <w:pPr>
              <w:ind w:left="540"/>
              <w:spacing w:after="0"/>
              <w:rPr>
                <w:sz w:val="20"/>
                <w:szCs w:val="20"/>
                <w:color w:val="auto"/>
              </w:rPr>
            </w:pPr>
            <w:r>
              <w:rPr>
                <w:rFonts w:ascii="Arial" w:cs="Arial" w:eastAsia="Arial" w:hAnsi="Arial"/>
                <w:sz w:val="18"/>
                <w:szCs w:val="18"/>
                <w:color w:val="auto"/>
              </w:rPr>
              <w:t>Accrued payroll and related liabilities</w:t>
            </w:r>
          </w:p>
        </w:tc>
        <w:tc>
          <w:tcPr>
            <w:tcW w:w="140" w:type="dxa"/>
            <w:vAlign w:val="bottom"/>
          </w:tcPr>
          <w:p>
            <w:pPr>
              <w:spacing w:after="0"/>
              <w:rPr>
                <w:sz w:val="18"/>
                <w:szCs w:val="18"/>
                <w:color w:val="auto"/>
              </w:rPr>
            </w:pP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(19,510)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7,588</w:t>
            </w:r>
          </w:p>
        </w:tc>
      </w:tr>
      <w:tr>
        <w:trPr>
          <w:trHeight w:val="250"/>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Customer deposits</w:t>
            </w:r>
          </w:p>
        </w:tc>
        <w:tc>
          <w:tcPr>
            <w:tcW w:w="14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(33,605)</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63,886</w:t>
            </w: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705,280</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321,613</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320" w:type="dxa"/>
            <w:vAlign w:val="bottom"/>
          </w:tcPr>
          <w:p>
            <w:pPr>
              <w:ind w:left="540"/>
              <w:spacing w:after="0"/>
              <w:rPr>
                <w:sz w:val="20"/>
                <w:szCs w:val="20"/>
                <w:color w:val="auto"/>
              </w:rPr>
            </w:pPr>
            <w:r>
              <w:rPr>
                <w:rFonts w:ascii="Arial" w:cs="Arial" w:eastAsia="Arial" w:hAnsi="Arial"/>
                <w:sz w:val="18"/>
                <w:szCs w:val="18"/>
                <w:color w:val="auto"/>
              </w:rPr>
              <w:t>Purchases of furniture and equipment</w:t>
            </w:r>
          </w:p>
        </w:tc>
        <w:tc>
          <w:tcPr>
            <w:tcW w:w="140" w:type="dxa"/>
            <w:vAlign w:val="bottom"/>
          </w:tcPr>
          <w:p>
            <w:pPr>
              <w:spacing w:after="0"/>
              <w:rPr>
                <w:sz w:val="20"/>
                <w:szCs w:val="20"/>
                <w:color w:val="auto"/>
              </w:rPr>
            </w:pP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(37,991)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(78,868)</w:t>
            </w: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(37,991</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(78,868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7320" w:type="dxa"/>
            <w:vAlign w:val="bottom"/>
          </w:tcPr>
          <w:p>
            <w:pPr>
              <w:spacing w:after="0" w:line="203" w:lineRule="exact"/>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Distributions to shareholders</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(1,255,215)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(59,403)</w:t>
            </w:r>
          </w:p>
        </w:tc>
      </w:tr>
      <w:tr>
        <w:trPr>
          <w:trHeight w:val="237"/>
        </w:trPr>
        <w:tc>
          <w:tcPr>
            <w:tcW w:w="7320" w:type="dxa"/>
            <w:vAlign w:val="bottom"/>
          </w:tcPr>
          <w:p>
            <w:pPr>
              <w:ind w:left="540"/>
              <w:spacing w:after="0"/>
              <w:rPr>
                <w:sz w:val="20"/>
                <w:szCs w:val="20"/>
                <w:color w:val="auto"/>
              </w:rPr>
            </w:pPr>
            <w:r>
              <w:rPr>
                <w:rFonts w:ascii="Arial" w:cs="Arial" w:eastAsia="Arial" w:hAnsi="Arial"/>
                <w:sz w:val="18"/>
                <w:szCs w:val="18"/>
                <w:color w:val="auto"/>
              </w:rPr>
              <w:t>Payments on capital lease obligation</w:t>
            </w:r>
          </w:p>
        </w:tc>
        <w:tc>
          <w:tcPr>
            <w:tcW w:w="140" w:type="dxa"/>
            <w:vAlign w:val="bottom"/>
          </w:tcPr>
          <w:p>
            <w:pPr>
              <w:spacing w:after="0"/>
              <w:rPr>
                <w:sz w:val="20"/>
                <w:szCs w:val="20"/>
                <w:color w:val="auto"/>
              </w:rPr>
            </w:pPr>
          </w:p>
        </w:tc>
        <w:tc>
          <w:tcPr>
            <w:tcW w:w="1900" w:type="dxa"/>
            <w:vAlign w:val="bottom"/>
            <w:gridSpan w:val="2"/>
          </w:tcPr>
          <w:p>
            <w:pPr>
              <w:jc w:val="right"/>
              <w:ind w:right="60"/>
              <w:spacing w:after="0"/>
              <w:rPr>
                <w:sz w:val="20"/>
                <w:szCs w:val="20"/>
                <w:color w:val="auto"/>
              </w:rPr>
            </w:pPr>
            <w:r>
              <w:rPr>
                <w:rFonts w:ascii="Arial" w:cs="Arial" w:eastAsia="Arial" w:hAnsi="Arial"/>
                <w:sz w:val="18"/>
                <w:szCs w:val="18"/>
                <w:color w:val="auto"/>
              </w:rPr>
              <w:t>(695)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(1,255,910</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(59,403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3"/>
        </w:trPr>
        <w:tc>
          <w:tcPr>
            <w:tcW w:w="7320" w:type="dxa"/>
            <w:vAlign w:val="bottom"/>
          </w:tcPr>
          <w:p>
            <w:pPr>
              <w:spacing w:after="0" w:line="203" w:lineRule="exact"/>
              <w:rPr>
                <w:sz w:val="20"/>
                <w:szCs w:val="20"/>
                <w:color w:val="auto"/>
              </w:rPr>
            </w:pPr>
            <w:r>
              <w:rPr>
                <w:rFonts w:ascii="Arial" w:cs="Arial" w:eastAsia="Arial" w:hAnsi="Arial"/>
                <w:sz w:val="18"/>
                <w:szCs w:val="18"/>
                <w:color w:val="auto"/>
              </w:rPr>
              <w:t>NET CHANGE IN CASH AND CASH EQUIVALENTS</w:t>
            </w:r>
          </w:p>
        </w:tc>
        <w:tc>
          <w:tcPr>
            <w:tcW w:w="14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Arial" w:cs="Arial" w:eastAsia="Arial" w:hAnsi="Arial"/>
                <w:sz w:val="18"/>
                <w:szCs w:val="18"/>
                <w:color w:val="auto"/>
              </w:rPr>
              <w:t>(588,621)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spacing w:after="0" w:line="203" w:lineRule="exact"/>
              <w:rPr>
                <w:sz w:val="20"/>
                <w:szCs w:val="20"/>
                <w:color w:val="auto"/>
              </w:rPr>
            </w:pPr>
            <w:r>
              <w:rPr>
                <w:rFonts w:ascii="Arial" w:cs="Arial" w:eastAsia="Arial" w:hAnsi="Arial"/>
                <w:sz w:val="18"/>
                <w:szCs w:val="18"/>
                <w:color w:val="auto"/>
              </w:rPr>
              <w:t>183,342</w:t>
            </w:r>
          </w:p>
        </w:tc>
        <w:tc>
          <w:tcPr>
            <w:tcW w:w="100" w:type="dxa"/>
            <w:vAlign w:val="bottom"/>
          </w:tcPr>
          <w:p>
            <w:pPr>
              <w:spacing w:after="0"/>
              <w:rPr>
                <w:sz w:val="17"/>
                <w:szCs w:val="17"/>
                <w:color w:val="auto"/>
              </w:rPr>
            </w:pP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4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713,334</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529,992</w:t>
            </w:r>
          </w:p>
        </w:tc>
      </w:tr>
      <w:tr>
        <w:trPr>
          <w:trHeight w:val="257"/>
        </w:trPr>
        <w:tc>
          <w:tcPr>
            <w:tcW w:w="732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color w:val="auto"/>
              </w:rPr>
              <w:t>CASH AND CASH EQUIVALENTS, end of year</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124,713</w:t>
            </w:r>
          </w:p>
        </w:tc>
        <w:tc>
          <w:tcPr>
            <w:tcW w:w="20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713,334</w:t>
            </w:r>
          </w:p>
        </w:tc>
        <w:tc>
          <w:tcPr>
            <w:tcW w:w="100" w:type="dxa"/>
            <w:vAlign w:val="bottom"/>
            <w:tcBorders>
              <w:top w:val="single" w:sz="8" w:color="CCEEFF"/>
              <w:bottom w:val="single" w:sz="8" w:color="CCEEFF"/>
            </w:tcBorders>
          </w:tcPr>
          <w:p>
            <w:pPr>
              <w:spacing w:after="0"/>
              <w:rPr>
                <w:sz w:val="22"/>
                <w:szCs w:val="22"/>
                <w:color w:val="auto"/>
              </w:rPr>
            </w:pPr>
          </w:p>
        </w:tc>
      </w:tr>
      <w:tr>
        <w:trPr>
          <w:trHeight w:val="197"/>
        </w:trPr>
        <w:tc>
          <w:tcPr>
            <w:tcW w:w="7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1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color w:val="auto"/>
              </w:rPr>
              <w:t>Interest paid</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357</w:t>
            </w:r>
          </w:p>
        </w:tc>
      </w:tr>
      <w:tr>
        <w:trPr>
          <w:trHeight w:val="216"/>
        </w:trPr>
        <w:tc>
          <w:tcPr>
            <w:tcW w:w="7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income taxes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r>
      <w:tr>
        <w:trPr>
          <w:trHeight w:val="202"/>
        </w:trPr>
        <w:tc>
          <w:tcPr>
            <w:tcW w:w="7320" w:type="dxa"/>
            <w:vAlign w:val="bottom"/>
          </w:tcPr>
          <w:p>
            <w:pPr>
              <w:spacing w:after="0" w:line="201" w:lineRule="exact"/>
              <w:rPr>
                <w:sz w:val="20"/>
                <w:szCs w:val="20"/>
                <w:color w:val="auto"/>
              </w:rPr>
            </w:pPr>
            <w:r>
              <w:rPr>
                <w:rFonts w:ascii="Arial" w:cs="Arial" w:eastAsia="Arial" w:hAnsi="Arial"/>
                <w:sz w:val="18"/>
                <w:szCs w:val="18"/>
                <w:color w:val="auto"/>
              </w:rPr>
              <w:t>SUPPLEMENTAL DISCLOSURES OF NON-CASH INVESTING AND FINANCING</w:t>
            </w: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equipment with capital lease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4,244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jc w:val="center"/>
        <w:ind w:left="260" w:right="2340"/>
        <w:spacing w:after="0" w:line="266" w:lineRule="auto"/>
        <w:rPr>
          <w:sz w:val="20"/>
          <w:szCs w:val="20"/>
          <w:color w:val="auto"/>
        </w:rPr>
      </w:pPr>
      <w:r>
        <w:rPr>
          <w:rFonts w:ascii="Arial" w:cs="Arial" w:eastAsia="Arial" w:hAnsi="Arial"/>
          <w:sz w:val="18"/>
          <w:szCs w:val="18"/>
          <w:b w:val="1"/>
          <w:bCs w:val="1"/>
          <w:color w:val="auto"/>
        </w:rPr>
        <w:t>SOUTH COAST SPECIALTY COMPOUNDING, INC. d/b/a PARK COMPOUNDING NOTES TO THE FINANCIAL STATEMENTS For the Years Ended December 31, 2014 and 2013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and Background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South Coast Specialty Compounding, Inc. d/b/a Park Compounding (“Park” or the “Company”) is a California corporation which for tax purposes has made an election under subchapter S of the Internal Revenue Code of 1986, as amended, and organized on March 20, 2002. The Company is a provider of customized sterile and non-sterile compounded pharmaceuticals located in Irvine, California.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financial statements have been prepared using the accrual method of accounting in accordance with accounting principles generally accepted in the United States of America (“GAAP”) and have been prepared on a going concern basis, which contemplates the realization of assets and the settlement of liabilities in the normal course of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S-Corporation Operating Agreement</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a subchapter S corporation, each shareholders’ liability is limited to the capital invested. Allocation of profits, losses and distributions is in accordance with the ownership amounts. The Company passes its corporate income/loss onto the shareholders for federal and California state income tax purposes. Consequently, federal and state income taxes are not payable by the Company. The Company’s net income or loss is allocated among the shareholders in accordance with the ownership amounts of the Company and shareholders are taxed individually on their share of the Company’s earnings.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Deferred Revenue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recognizes revenues when all of the following criteria have been met: (1) persuasive evidence of an arrangement exists; (2) delivery has occurred; (3) the selling price is fixed and determinable; and (4) collectability is reasonably assured.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Determination of criteria (3) and (4) will be based on management’s judgments regarding the fixed nature of the selling prices of the products delivered and the collectability of those amounts. Provisions for discounts and rebates to customers, estimated returns and allowances, and other adjustments are provided for in the same period the related sales are recorded. The Company defers any revenue for which the product has not been delivered or for which services have not been rendered or are subject to refund until such time that the Company and the customer jointly determine that the product has been delivered or services have been rendered or no refund will be required.</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revenue from prescriptions dispensed on an accrual basis when the product is shipped to or picked up by the customer. Payments are received directly from the customer at the point of sale, or the customers’ insurance provider is billed electronically. For third party providers (e.g. insurance companies and governmental agencies), contractual adjustments are recorded based on the expected amount to be collected from the third party providers.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 Billing and Collection Agreements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entered into two separate billing and collection agreements with certain third parties to assist in the billing and collection of workers’ compensation claims. One of the agreements began in December 2011 and ended in October 2014. Under the terms of the agreement, the Company was obligated to pay a fixed fee to the third party based on 55% of the amounts billed and collected under the workers’ compensation claims. The Company accrues for such fees in accounts payable and accrued expenses in the accompanying balance sheets. Total billing and collection management expense under this agreement for the years ended December 31, 2014 and 2013 was $348,210 and $282,852, respectively, and is included in selling, general and administrative expenses in the accompanying statements of income. The amount due under this agreement as of December 31, 2014 and 2013 is $150,720 and $103,118, respectively.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 w:name="page15"/>
    <w:bookmarkEnd w:id="14"/>
    <w:p>
      <w:pPr>
        <w:jc w:val="both"/>
        <w:spacing w:after="0" w:line="297" w:lineRule="auto"/>
        <w:rPr>
          <w:sz w:val="20"/>
          <w:szCs w:val="20"/>
          <w:color w:val="auto"/>
        </w:rPr>
      </w:pPr>
      <w:r>
        <w:rPr>
          <w:rFonts w:ascii="Arial" w:cs="Arial" w:eastAsia="Arial" w:hAnsi="Arial"/>
          <w:sz w:val="16"/>
          <w:szCs w:val="16"/>
          <w:color w:val="auto"/>
        </w:rPr>
        <w:t>The second agreement was entered into in October 2014. Under the terms of the agreement, the Company is obligated to pay a fee to the third party based on cash collections ranging from 25% to 40% on workers’ compensation claims. The fee is due and payable upon collection of the total billings by the Company on workers’ compensation claims and the Company accrues for such fees in accounts payable and accrued expenses in the accompanying balance sheets. Total billing and collection management expense under this agreement for the year ended December 31, 2014 was $6,274 and is included in selling, general and administrative expenses in the accompanying statement of income. The amount due under this agreement as of December 31, 2014 is $6,274.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sales includes direct and indirect costs to manufacture formulations and product sold, including packaging, storage, shipping and handling costs and the write-off of obsolete inventory.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places its cash with financial institutions deemed by management to be of high credit quality. The Federal Deposit Insurance Corporation (“FDIC”) provides basic deposit coverage with limits to $250,000 per owner. At December 31, 2014 and 2013, the Company had $177,403 and $344,232, respectively, in excess of FDIC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include short-term, highly liquid investments with maturities of three months or less at the time of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Accounts receivable are stated net of allowances for doubtful accounts and contractual adjustments. The accounts receivable balance primarily includes amounts due from customers invoiced but for which payment has not been received and from third party providers (e.g., insurance companies and governmental agencies). Charges to bad debt are based on both historical write-offs and specifically identified receivables. Contractual adjustments are determined by the amount expected to be collected from third party providers. Accounts receivable are presented net of allowances for doubtful accounts and contractual adjustments in the amount of $146,787 and $0 as of December 31, 2014 and 2013,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Inventories are stated at the lower of cost or market. Cost is determined on a first-in, first-out (“FIFO”) basis. The Company evaluates the carrying value of inventories on a regular basis, based on the price expected to be obtained for products in their respective markets compared with historical cost. Write-downs of inventories are considered to be permanent reductions in the cost basis of inventories.</w:t>
      </w:r>
    </w:p>
    <w:p>
      <w:pPr>
        <w:spacing w:after="0" w:line="18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also regularly evaluates its inventories for excess quantities and obsolescence (expiration), taking into account such factors as historical and anticipated future sales or use in production compared to quantities on hand and the remaining shelf life of products and active pharmaceutical ingredients on hand. The Company establishes reserves for excess and obsolete inventories as required based on its analyses.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Furniture and Equipment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Furniture and equipment is stated at cost less accumulated depreciation and amortization. Depreciation and amortization is calculated using the straight-line method over the estimated useful life of the asset. Leasehold improvements are amortized over the estimated useful life or remaining lease term, whichever is shorter. Computer software and hardware, and furniture and equipment are depreciated over three to five years.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spacing w:after="0" w:line="187" w:lineRule="exact"/>
        <w:rPr>
          <w:sz w:val="20"/>
          <w:szCs w:val="20"/>
          <w:color w:val="auto"/>
        </w:rPr>
      </w:pPr>
    </w:p>
    <w:p>
      <w:pPr>
        <w:ind w:left="340" w:right="2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p>
      <w:pPr>
        <w:spacing w:after="0" w:line="146" w:lineRule="exact"/>
        <w:rPr>
          <w:rFonts w:ascii="Arial" w:cs="Arial" w:eastAsia="Arial" w:hAnsi="Arial"/>
          <w:sz w:val="17"/>
          <w:szCs w:val="17"/>
          <w:color w:val="auto"/>
        </w:rPr>
      </w:pPr>
    </w:p>
    <w:p>
      <w:pPr>
        <w:ind w:left="340" w:hanging="332"/>
        <w:spacing w:after="0" w:line="342"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23"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2014 and 2013, the Company did not have any financial assets or liabilities which are measured at fair value on a recurring basis. The Company’s financial instruments include cash and cash equivalents, accounts receivable, accounts payable and accrued expenses, accrued payroll and related liabilities, customer deposits, and a capital lease obligation. The carrying amount of these financial instruments, approximates fair value due to the short-term maturities of these instruments. Based on borrowing rates currently available to the Company, the carrying value of the capital lease obligation approximates fair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judgments that affect the reported amounts of assets, liabilities and disclosure of contingent assets and liabilities at the date of the financial statements and reported amounts of revenues and expenses during the reporting periods. Actual results could differ from those estimates. Significant estimates made by management include, among other things, provisions for uncollectible accounts receivable and contractual adjustments, realizability of inventories, and recoverability of long-lived assets.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INVENTORIES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Inventories are comprised of over-the-counter (“OTC”) retail pharmacy products, commercial pharmaceutical products, related laboratory supplies and active pharmaceutical ingredients. The composition of inventories as of December 31, 2014 and 2013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2014</w:t>
            </w:r>
          </w:p>
        </w:tc>
        <w:tc>
          <w:tcPr>
            <w:tcW w:w="120" w:type="dxa"/>
            <w:vAlign w:val="bottom"/>
          </w:tcPr>
          <w:p>
            <w:pPr>
              <w:spacing w:after="0"/>
              <w:rPr>
                <w:sz w:val="20"/>
                <w:szCs w:val="20"/>
                <w:color w:val="auto"/>
              </w:rPr>
            </w:pP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2013</w:t>
            </w:r>
          </w:p>
        </w:tc>
        <w:tc>
          <w:tcPr>
            <w:tcW w:w="2280" w:type="dxa"/>
            <w:vAlign w:val="bottom"/>
          </w:tcPr>
          <w:p>
            <w:pPr>
              <w:spacing w:after="0"/>
              <w:rPr>
                <w:sz w:val="20"/>
                <w:szCs w:val="20"/>
                <w:color w:val="auto"/>
              </w:rPr>
            </w:pPr>
          </w:p>
        </w:tc>
      </w:tr>
      <w:tr>
        <w:trPr>
          <w:trHeight w:val="216"/>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“OTC” retail</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8,852</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9,703</w:t>
            </w:r>
          </w:p>
        </w:tc>
        <w:tc>
          <w:tcPr>
            <w:tcW w:w="8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Raw materials</w:t>
            </w:r>
          </w:p>
        </w:tc>
        <w:tc>
          <w:tcPr>
            <w:tcW w:w="120" w:type="dxa"/>
            <w:vAlign w:val="bottom"/>
          </w:tcPr>
          <w:p>
            <w:pPr>
              <w:spacing w:after="0"/>
              <w:rPr>
                <w:sz w:val="18"/>
                <w:szCs w:val="18"/>
                <w:color w:val="auto"/>
              </w:rPr>
            </w:pP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195,217</w:t>
            </w:r>
          </w:p>
        </w:tc>
        <w:tc>
          <w:tcPr>
            <w:tcW w:w="120" w:type="dxa"/>
            <w:vAlign w:val="bottom"/>
          </w:tcPr>
          <w:p>
            <w:pPr>
              <w:spacing w:after="0"/>
              <w:rPr>
                <w:sz w:val="18"/>
                <w:szCs w:val="18"/>
                <w:color w:val="auto"/>
              </w:rPr>
            </w:pP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213,989</w:t>
            </w:r>
          </w:p>
        </w:tc>
        <w:tc>
          <w:tcPr>
            <w:tcW w:w="2280" w:type="dxa"/>
            <w:vAlign w:val="bottom"/>
          </w:tcPr>
          <w:p>
            <w:pPr>
              <w:spacing w:after="0"/>
              <w:rPr>
                <w:sz w:val="18"/>
                <w:szCs w:val="18"/>
                <w:color w:val="auto"/>
              </w:rPr>
            </w:pPr>
          </w:p>
        </w:tc>
      </w:tr>
      <w:tr>
        <w:trPr>
          <w:trHeight w:val="25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27,690</w:t>
            </w:r>
          </w:p>
        </w:tc>
        <w:tc>
          <w:tcPr>
            <w:tcW w:w="1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30,353</w:t>
            </w:r>
          </w:p>
        </w:tc>
        <w:tc>
          <w:tcPr>
            <w:tcW w:w="2280" w:type="dxa"/>
            <w:vAlign w:val="bottom"/>
          </w:tcPr>
          <w:p>
            <w:pPr>
              <w:spacing w:after="0"/>
              <w:rPr>
                <w:sz w:val="21"/>
                <w:szCs w:val="21"/>
                <w:color w:val="auto"/>
              </w:rPr>
            </w:pPr>
          </w:p>
        </w:tc>
      </w:tr>
      <w:tr>
        <w:trPr>
          <w:trHeight w:val="217"/>
        </w:trPr>
        <w:tc>
          <w:tcPr>
            <w:tcW w:w="532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Inventories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231,759</w:t>
            </w: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254,045</w:t>
            </w:r>
          </w:p>
        </w:tc>
        <w:tc>
          <w:tcPr>
            <w:tcW w:w="80" w:type="dxa"/>
            <w:vAlign w:val="bottom"/>
            <w:tcBorders>
              <w:top w:val="single" w:sz="8" w:color="CCEEFF"/>
            </w:tcBorders>
          </w:tcPr>
          <w:p>
            <w:pPr>
              <w:spacing w:after="0"/>
              <w:rPr>
                <w:sz w:val="18"/>
                <w:szCs w:val="18"/>
                <w:color w:val="auto"/>
              </w:rPr>
            </w:pPr>
          </w:p>
        </w:tc>
        <w:tc>
          <w:tcPr>
            <w:tcW w:w="228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47"/>
        </w:trPr>
        <w:tc>
          <w:tcPr>
            <w:tcW w:w="5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1"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NOTE 3. FURNITURE AND EQUIPMENT</w:t>
            </w:r>
          </w:p>
        </w:tc>
        <w:tc>
          <w:tcPr>
            <w:tcW w:w="1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320" w:type="dxa"/>
            <w:vAlign w:val="bottom"/>
          </w:tcPr>
          <w:p>
            <w:pPr>
              <w:spacing w:after="0"/>
              <w:rPr>
                <w:sz w:val="20"/>
                <w:szCs w:val="20"/>
                <w:color w:val="auto"/>
              </w:rPr>
            </w:pPr>
            <w:r>
              <w:rPr>
                <w:rFonts w:ascii="Arial" w:cs="Arial" w:eastAsia="Arial" w:hAnsi="Arial"/>
                <w:sz w:val="18"/>
                <w:szCs w:val="18"/>
                <w:color w:val="auto"/>
              </w:rPr>
              <w:t>Furniture and equipment as of December 31, 2014 and 2013 are as follows:</w:t>
            </w: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7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1"/>
              </w:rPr>
              <w:t>December 31, 2014</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December 31, 2013</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Furniture and equipment, net:</w:t>
            </w:r>
          </w:p>
        </w:tc>
        <w:tc>
          <w:tcPr>
            <w:tcW w:w="1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221,462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179,227</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and equipment</w:t>
            </w: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67,454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67,454</w:t>
            </w:r>
          </w:p>
        </w:tc>
      </w:tr>
      <w:tr>
        <w:trPr>
          <w:trHeight w:val="237"/>
        </w:trPr>
        <w:tc>
          <w:tcPr>
            <w:tcW w:w="7320" w:type="dxa"/>
            <w:vAlign w:val="bottom"/>
          </w:tcPr>
          <w:p>
            <w:pPr>
              <w:ind w:left="180"/>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20"/>
                <w:szCs w:val="20"/>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395,637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395,637</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684,553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642,318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732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140" w:type="dxa"/>
            <w:vAlign w:val="bottom"/>
          </w:tcPr>
          <w:p>
            <w:pPr>
              <w:spacing w:after="0"/>
              <w:rPr>
                <w:sz w:val="20"/>
                <w:szCs w:val="20"/>
                <w:color w:val="auto"/>
              </w:rPr>
            </w:pPr>
          </w:p>
        </w:tc>
        <w:tc>
          <w:tcPr>
            <w:tcW w:w="1900" w:type="dxa"/>
            <w:vAlign w:val="bottom"/>
            <w:gridSpan w:val="2"/>
          </w:tcPr>
          <w:p>
            <w:pPr>
              <w:jc w:val="right"/>
              <w:ind w:right="140"/>
              <w:spacing w:after="0"/>
              <w:rPr>
                <w:sz w:val="20"/>
                <w:szCs w:val="20"/>
                <w:color w:val="auto"/>
              </w:rPr>
            </w:pPr>
            <w:r>
              <w:rPr>
                <w:rFonts w:ascii="Arial" w:cs="Arial" w:eastAsia="Arial" w:hAnsi="Arial"/>
                <w:sz w:val="18"/>
                <w:szCs w:val="18"/>
                <w:color w:val="auto"/>
              </w:rPr>
              <w:t>(433,083</w:t>
            </w:r>
            <w:r>
              <w:rPr>
                <w:rFonts w:ascii="Arial" w:cs="Arial" w:eastAsia="Arial" w:hAnsi="Arial"/>
                <w:sz w:val="18"/>
                <w:szCs w:val="18"/>
                <w:b w:val="1"/>
                <w:bCs w:val="1"/>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(325,323)</w:t>
            </w:r>
          </w:p>
        </w:tc>
      </w:tr>
      <w:tr>
        <w:trPr>
          <w:trHeight w:val="230"/>
        </w:trPr>
        <w:tc>
          <w:tcPr>
            <w:tcW w:w="7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251,470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316,995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for the years ended December 31, 2014 and 2013 were $107,760 and $93,416,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2014 and 2013, the Company had 1,000,000 shares of common stock, no par value, authorized and 500 shares issued and outstanding.</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Distributions to the shareholders during the years ended December 31, 2014 and 2013 totaled $1,255,215 and $59,403,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EMPLOYEE SAVINGS PLAN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established an employee savings plan pursuant to Section 401(k) of the Internal Revenue Code, effective January 1, 2014. The plan allows participating employees to deposit into tax deferred investment accounts up to 100% of their salary, subject to annual limits. The Company contributed approximately $22,000 to the plan during the year ended December 31,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leases equipment under a capital lease with an interest rate of 4.25% per annum. At December 31, 2014, future payments under this capital lease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3,619</w:t>
            </w:r>
          </w:p>
        </w:tc>
        <w:tc>
          <w:tcPr>
            <w:tcW w:w="60" w:type="dxa"/>
            <w:vAlign w:val="bottom"/>
            <w:shd w:val="clear" w:color="auto" w:fill="CCEEFF"/>
          </w:tcPr>
          <w:p>
            <w:pPr>
              <w:spacing w:after="0"/>
              <w:rPr>
                <w:sz w:val="21"/>
                <w:szCs w:val="21"/>
                <w:color w:val="auto"/>
              </w:rPr>
            </w:pPr>
          </w:p>
        </w:tc>
      </w:tr>
      <w:tr>
        <w:trPr>
          <w:trHeight w:val="203"/>
        </w:trPr>
        <w:tc>
          <w:tcPr>
            <w:tcW w:w="34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minimum lease payments</w:t>
            </w:r>
          </w:p>
        </w:tc>
        <w:tc>
          <w:tcPr>
            <w:tcW w:w="3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3,619</w:t>
            </w:r>
          </w:p>
        </w:tc>
        <w:tc>
          <w:tcPr>
            <w:tcW w:w="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5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380" w:type="dxa"/>
            <w:vAlign w:val="bottom"/>
            <w:shd w:val="clear" w:color="auto" w:fill="CCEEFF"/>
          </w:tcPr>
          <w:p>
            <w:pPr>
              <w:spacing w:after="0"/>
              <w:rPr>
                <w:sz w:val="21"/>
                <w:szCs w:val="21"/>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r>
      <w:tr>
        <w:trPr>
          <w:trHeight w:val="217"/>
        </w:trPr>
        <w:tc>
          <w:tcPr>
            <w:tcW w:w="34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Capital lease obligation</w:t>
            </w: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3,549</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3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value of the equipment under capital lease as of December 31, 2014 was $4,244, with related accumulated depreciation of $70.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 – Related Party</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2014 and 2013, the Company leased its pharmacy space from its shareholders. As of January 1, 2015, the Company entered into a lease agreement with an entity affiliated with and controlled by its shareholders (see Note 8).</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Rent expense for the years ended December 31, 2014 and 2013 was approximately $61,000 and $97,000, respectively. The following represents future annual minimum lease payments, including lease payments related to a lease agreement entered into in January 2015 (see Note 8), as of December 31, 2014:</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3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3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117,450</w:t>
            </w:r>
          </w:p>
        </w:tc>
      </w:tr>
      <w:tr>
        <w:trPr>
          <w:trHeight w:val="216"/>
        </w:trPr>
        <w:tc>
          <w:tcPr>
            <w:tcW w:w="3380" w:type="dxa"/>
            <w:vAlign w:val="bottom"/>
          </w:tcPr>
          <w:p>
            <w:pPr>
              <w:jc w:val="right"/>
              <w:spacing w:after="0"/>
              <w:rPr>
                <w:sz w:val="20"/>
                <w:szCs w:val="20"/>
                <w:color w:val="auto"/>
              </w:rPr>
            </w:pPr>
            <w:r>
              <w:rPr>
                <w:rFonts w:ascii="Arial" w:cs="Arial" w:eastAsia="Arial" w:hAnsi="Arial"/>
                <w:sz w:val="18"/>
                <w:szCs w:val="18"/>
                <w:color w:val="auto"/>
              </w:rPr>
              <w:t>2016</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121,104</w:t>
            </w:r>
          </w:p>
        </w:tc>
      </w:tr>
      <w:tr>
        <w:trPr>
          <w:trHeight w:val="216"/>
        </w:trPr>
        <w:tc>
          <w:tcPr>
            <w:tcW w:w="3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124,758</w:t>
            </w:r>
          </w:p>
        </w:tc>
      </w:tr>
      <w:tr>
        <w:trPr>
          <w:trHeight w:val="216"/>
        </w:trPr>
        <w:tc>
          <w:tcPr>
            <w:tcW w:w="3380" w:type="dxa"/>
            <w:vAlign w:val="bottom"/>
          </w:tcPr>
          <w:p>
            <w:pPr>
              <w:jc w:val="right"/>
              <w:spacing w:after="0"/>
              <w:rPr>
                <w:sz w:val="20"/>
                <w:szCs w:val="20"/>
                <w:color w:val="auto"/>
              </w:rPr>
            </w:pPr>
            <w:r>
              <w:rPr>
                <w:rFonts w:ascii="Arial" w:cs="Arial" w:eastAsia="Arial" w:hAnsi="Arial"/>
                <w:sz w:val="18"/>
                <w:szCs w:val="18"/>
                <w:color w:val="auto"/>
              </w:rPr>
              <w:t>2018</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128,412</w:t>
            </w:r>
          </w:p>
        </w:tc>
      </w:tr>
      <w:tr>
        <w:trPr>
          <w:trHeight w:val="216"/>
        </w:trPr>
        <w:tc>
          <w:tcPr>
            <w:tcW w:w="3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132,066</w:t>
            </w:r>
          </w:p>
        </w:tc>
      </w:tr>
      <w:tr>
        <w:trPr>
          <w:trHeight w:val="237"/>
        </w:trPr>
        <w:tc>
          <w:tcPr>
            <w:tcW w:w="3380" w:type="dxa"/>
            <w:vAlign w:val="bottom"/>
          </w:tcPr>
          <w:p>
            <w:pPr>
              <w:jc w:val="right"/>
              <w:spacing w:after="0"/>
              <w:rPr>
                <w:sz w:val="20"/>
                <w:szCs w:val="20"/>
                <w:color w:val="auto"/>
              </w:rPr>
            </w:pPr>
            <w:r>
              <w:rPr>
                <w:rFonts w:ascii="Arial" w:cs="Arial" w:eastAsia="Arial" w:hAnsi="Arial"/>
                <w:sz w:val="18"/>
                <w:szCs w:val="18"/>
                <w:color w:val="auto"/>
              </w:rPr>
              <w:t>Thereafter</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136,242</w:t>
            </w:r>
          </w:p>
        </w:tc>
      </w:tr>
      <w:tr>
        <w:trPr>
          <w:trHeight w:val="230"/>
        </w:trPr>
        <w:tc>
          <w:tcPr>
            <w:tcW w:w="34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Future minimum lease payments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760,032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Indemnities and Guarantees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made certain indemnities and guarantees, under which it may be required to make payments to a guaranteed or indemnified party, in relation to certain transactions. The Company has agreed to indemnify the shareholders to the maximum extent permitted under the laws of the State of California. The Company indemnifies its lessor in connection with its facility lease for certain claims arising from the use of the facility. The indemnifications do not provide for any limitation of the maximum potential future payments the Company could be obligated to make. Historically, the Company has not been obligated nor incurred any payments for these obligations and, therefore, no liabilities have been recorded for these indemnifications in the accompanying balance sheets.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ordinary course of business, the Company may face various claims brought by third parties (including customers and state pharmacy boards) and the Company may, from time to time, make claims or take legal actions to assert the Company’s rights, including intellectual property rights, contractual disputes and other commercial disputes. Any of these claims could subject the Company to litigation. Management believes the outcomes of any currently pending claims will not likely have a material effect on the Company’s financial position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SEGMENT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operates the business on the basis of a single reportable segment, which is the business of providing sterile and non-sterile pharmaceutical compounding services. The Company’s chief operating decision-maker is the Pharmacist-in-Charge, who evaluates the Company as a single operating segment.</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categorizes revenues by geographic area based on selling location. All operations are currently located in the United States; therefore, net sales for 2014 and 2013 are attributed to the United States. All long-lived assets at December 31, 2014 and 2013 are located in the United States.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sells its compounded formulations to a large number of customers. Less than 10% of the Company’s net sales were derived from a single customer for the years ended December 31, 2014 and 2013.</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received its active pharmaceutical ingredients from two main suppliers in 2014 and three main suppliers in 2013. These suppliers accounted for 62% and 58% of drug and chemical purchases during the years ended December 31, 2014 and 2013,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SUBSEQUENT EVENTS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performed an evaluation of events occurring subsequent to December 31, 2014 through March 12, 2015, the date of the issuance of these financial statements. Based on its evaluation, nothing other than the events described below need to be disclosed.</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January 1, 2015, Imprimis Pharmaceuticals, Inc. (“Imprimis”) completed the acquisition of all of the outstanding capital stock of the Company from its shareholders, Dennis Saadeh and Tina Sulic-Saadeh (the “Sellers,” and such transaction, the “Acquisition”), pursuant to a Stock Purchase Agreement, dated November 26, 2014, by and among the Company, the Sellers, Imprimis and the Seller Representative (as defined therein) (the “Purchase Agreement”).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0" w:right="239" w:bottom="1440" w:gutter="0" w:footer="0" w:header="0"/>
        </w:sectPr>
      </w:pPr>
    </w:p>
    <w:bookmarkStart w:id="18" w:name="page19"/>
    <w:bookmarkEnd w:id="18"/>
    <w:p>
      <w:pPr>
        <w:jc w:val="both"/>
        <w:spacing w:after="0" w:line="293" w:lineRule="auto"/>
        <w:rPr>
          <w:sz w:val="20"/>
          <w:szCs w:val="20"/>
          <w:color w:val="auto"/>
        </w:rPr>
      </w:pPr>
      <w:r>
        <w:rPr>
          <w:rFonts w:ascii="Arial" w:cs="Arial" w:eastAsia="Arial" w:hAnsi="Arial"/>
          <w:sz w:val="16"/>
          <w:szCs w:val="16"/>
          <w:color w:val="auto"/>
        </w:rPr>
        <w:t>On January 1, 2015 (the “Closing Date”), in connection with the closing of the Acquisition (the “Closing”), Imprimis paid to the Sellers an aggregate cash purchase price of $3,000,000, net of fees and expenses, subject to adjustment based on the final calculation of the Company’s working capital and certain other financial information, and issued to the Sellers 63,525 shares of its common stock valued at $500,000 based on the average closing price of the common stock for the ten (10) trading days preceding the Closing. In addition, Imprimis is obligated to make twelve (12) quarterly cash payments collectively to the Sellers of $53,125 each over the three years following the Closing, totaling $637,500. The Sellers have the option to receive the last six (6) of such quarterly payments, totaling up to an aggregate of $318,750, in the form of 6,749 shares of Imprimis’ common stock for each such payment.</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Acquisition, on January 1, 2015, Park and an entity affiliated with and controlled by the Sellers entered into a commercial lease agreement, for the lease of certain premises to Park of approximately 4,500 square feet of lab and office space. The monthly rent amount is $9,788 and includes annual increases of approximately 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9" w:name="page20"/>
    <w:bookmarkEnd w:id="1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0" w:name="page21"/>
    <w:bookmarkEnd w:id="20"/>
    <w:p>
      <w:pPr>
        <w:ind w:left="10280"/>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PROFORMA FINANCIAL INFORMATION</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January 1, 2015, Imprimis Pharmaceuticals, Inc. (the “Company”) completed the acquisition of all of the outstanding capital stock of South Coast Specialty Compounding, Inc. d/b/a Park Compounding (“Park”) from the previous owners (the “Park Sellers,” and such transaction, the “Park Acquisition”), pursuant to a Stock Purchase Agreement, dated November 26, 2014, by and among the Company, the Park Sellers, Park and the Seller Representative (as defined therein) (the “Park Purchase Agreement”). Park is a compounding pharmacy accredited by the Pharmacy Compounding Accreditation Board and is located in Irvine, California. On January 1, 2015 (the “Park Closing Date”), in connection with the closing of the Park Acquisition (the “Park Closing”), the Company paid to the Park Sellers an aggregate cash purchase price of $3,000,000, net of fees and expenses, a $100,000 payment for cash remaining in a Park bank account, and subject to adjustment based on the final calculation of Park’s working capital and certain other financial information, and issued to the Park Sellers 63,525 shares of the Company’s common stock, valued at $500,000 based on the average closing price of the common stock for the 10 trading days preceding the Park Closing. In addition, the Company is obligated to make 12 quarterly cash payments to the Park Sellers collectively of $53,125 each over the three years following the Park Closing, totaling $637,500. The Park Sellers have the option to receive the last six of such quarterly payments, totaling up to an aggregate of $318,750, in the form of 6,749 shares of the Company’s common stock for each such payment.</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unaudited pro forma condensed combined balance sheet as of December 31, 2014 includes the historical balance sheet of Imprimis Pharmaceuticals, Inc. as of December 31, 2014 and the historical balance sheet of Park, as of December 31, 2014. The following unaudited pro forma condensed combined statement of operations for the year ended December 31, 2014 includes the historical statement of operations of Imprimis Pharmaceuticals, Inc. and historical statement of income of Park for the year ended December 31, 2014, giving effect to the acquisition as if it had been consummated at the beginning of the fiscal year presented.</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pro forma statement of operations does not reflect any future operating efficiencies and cost savings resulting from the transaction. Unaudited pro forma condensed combined financial information is presented for information purposes only and is not necessarily indicative of the results that actually would have been realized had the acquisition been completed on the date indicated or which may be expected to occur in the future.</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pro forma condensed combined financial information should be read in conjunction with the audited historical financial statements and related notes of Imprimis Pharmaceuticals, Inc. which are incorporated by reference into this Form 8-K/A and the audited historical financial statements and related notes of Park, which are included as an exhibit in this Form 8-K/A.</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unaudited pro forma condensed combined financial information excludes costs associated with the integration and consolidation of the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IMPRIMIS PHARMACEUTICALS, INC. &amp; SOUTH COAST SPECIALTY COMPOUNDING, INC. d/b/a PARK COMPOUNDING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CONDENSED COMBINED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460"/>
              <w:spacing w:after="0"/>
              <w:rPr>
                <w:sz w:val="20"/>
                <w:szCs w:val="20"/>
                <w:color w:val="auto"/>
              </w:rPr>
            </w:pPr>
            <w:r>
              <w:rPr>
                <w:rFonts w:ascii="Arial" w:cs="Arial" w:eastAsia="Arial" w:hAnsi="Arial"/>
                <w:sz w:val="18"/>
                <w:szCs w:val="18"/>
                <w:color w:val="auto"/>
                <w:w w:val="97"/>
              </w:rPr>
              <w:t>Imprimis</w:t>
            </w:r>
          </w:p>
        </w:tc>
        <w:tc>
          <w:tcPr>
            <w:tcW w:w="20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South Coast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460"/>
              <w:spacing w:after="0"/>
              <w:rPr>
                <w:sz w:val="20"/>
                <w:szCs w:val="20"/>
                <w:color w:val="auto"/>
              </w:rPr>
            </w:pPr>
            <w:r>
              <w:rPr>
                <w:rFonts w:ascii="Arial" w:cs="Arial" w:eastAsia="Arial" w:hAnsi="Arial"/>
                <w:sz w:val="18"/>
                <w:szCs w:val="18"/>
                <w:color w:val="auto"/>
                <w:w w:val="88"/>
              </w:rPr>
              <w:t>Pharmaceuticals,</w:t>
            </w:r>
          </w:p>
        </w:tc>
        <w:tc>
          <w:tcPr>
            <w:tcW w:w="20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Specialty</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Pro Forma</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center"/>
              <w:ind w:right="480"/>
              <w:spacing w:after="0"/>
              <w:rPr>
                <w:sz w:val="20"/>
                <w:szCs w:val="20"/>
                <w:color w:val="auto"/>
              </w:rPr>
            </w:pPr>
            <w:r>
              <w:rPr>
                <w:rFonts w:ascii="Arial" w:cs="Arial" w:eastAsia="Arial" w:hAnsi="Arial"/>
                <w:sz w:val="18"/>
                <w:szCs w:val="18"/>
                <w:color w:val="auto"/>
                <w:w w:val="96"/>
              </w:rPr>
              <w:t>Inc.</w:t>
            </w:r>
          </w:p>
        </w:tc>
        <w:tc>
          <w:tcPr>
            <w:tcW w:w="168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Compounding, Inc.</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Adjustments</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color w:val="auto"/>
              </w:rPr>
              <w:t>Combined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ind w:left="1720"/>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8,211,492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124,713</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(3,215,000)</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5,121,205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Restricted short-term investments</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150,264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150,264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81,322</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398,757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240,401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240,401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372,735</w:t>
            </w: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231,759</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604,494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9,056,214</w:t>
            </w:r>
          </w:p>
        </w:tc>
        <w:tc>
          <w:tcPr>
            <w:tcW w:w="3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755,229</w:t>
            </w:r>
          </w:p>
        </w:tc>
        <w:tc>
          <w:tcPr>
            <w:tcW w:w="1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(3,215,000)</w:t>
            </w:r>
          </w:p>
        </w:tc>
        <w:tc>
          <w:tcPr>
            <w:tcW w:w="140" w:type="dxa"/>
            <w:vAlign w:val="bottom"/>
            <w:tcBorders>
              <w:top w:val="single" w:sz="8" w:color="CCEEFF"/>
            </w:tcBorders>
          </w:tcPr>
          <w:p>
            <w:pPr>
              <w:spacing w:after="0"/>
              <w:rPr>
                <w:sz w:val="17"/>
                <w:szCs w:val="17"/>
                <w:color w:val="auto"/>
              </w:rPr>
            </w:pPr>
          </w:p>
        </w:tc>
        <w:tc>
          <w:tcPr>
            <w:tcW w:w="48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6,596,443</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610,994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2,625,000</w:t>
            </w:r>
          </w:p>
        </w:tc>
        <w:tc>
          <w:tcPr>
            <w:tcW w:w="480" w:type="dxa"/>
            <w:vAlign w:val="bottom"/>
            <w:shd w:val="clear" w:color="auto" w:fill="CCEEFF"/>
          </w:tcPr>
          <w:p>
            <w:pPr>
              <w:ind w:left="80"/>
              <w:spacing w:after="0"/>
              <w:rPr>
                <w:sz w:val="20"/>
                <w:szCs w:val="20"/>
                <w:color w:val="auto"/>
              </w:rPr>
            </w:pPr>
            <w:r>
              <w:rPr>
                <w:rFonts w:ascii="Arial" w:cs="Arial" w:eastAsia="Arial" w:hAnsi="Arial"/>
                <w:sz w:val="18"/>
                <w:szCs w:val="18"/>
                <w:color w:val="auto"/>
              </w:rPr>
              <w:t>(b)</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3,235,994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331,621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772,720</w:t>
            </w:r>
          </w:p>
        </w:tc>
        <w:tc>
          <w:tcPr>
            <w:tcW w:w="480" w:type="dxa"/>
            <w:vAlign w:val="bottom"/>
          </w:tcPr>
          <w:p>
            <w:pPr>
              <w:ind w:left="80"/>
              <w:spacing w:after="0"/>
              <w:rPr>
                <w:sz w:val="20"/>
                <w:szCs w:val="20"/>
                <w:color w:val="auto"/>
              </w:rPr>
            </w:pPr>
            <w:r>
              <w:rPr>
                <w:rFonts w:ascii="Arial" w:cs="Arial" w:eastAsia="Arial" w:hAnsi="Arial"/>
                <w:sz w:val="18"/>
                <w:szCs w:val="18"/>
                <w:color w:val="auto"/>
              </w:rPr>
              <w:t>(c)</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1,104,341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 net</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243,395</w:t>
            </w:r>
          </w:p>
        </w:tc>
        <w:tc>
          <w:tcPr>
            <w:tcW w:w="3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251,470</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494,865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40" w:type="dxa"/>
            <w:vAlign w:val="bottom"/>
            <w:tcBorders>
              <w:top w:val="single" w:sz="8" w:color="CCEEFF"/>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10,242,224</w:t>
            </w:r>
          </w:p>
        </w:tc>
        <w:tc>
          <w:tcPr>
            <w:tcW w:w="340" w:type="dxa"/>
            <w:vAlign w:val="bottom"/>
            <w:tcBorders>
              <w:top w:val="single" w:sz="8" w:color="CCEEFF"/>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1,006,699</w:t>
            </w:r>
          </w:p>
        </w:tc>
        <w:tc>
          <w:tcPr>
            <w:tcW w:w="18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182,720</w:t>
            </w:r>
          </w:p>
        </w:tc>
        <w:tc>
          <w:tcPr>
            <w:tcW w:w="140" w:type="dxa"/>
            <w:vAlign w:val="bottom"/>
            <w:tcBorders>
              <w:top w:val="single" w:sz="8" w:color="CCEEFF"/>
              <w:bottom w:val="single" w:sz="8" w:color="CCEEFF"/>
            </w:tcBorders>
          </w:tcPr>
          <w:p>
            <w:pPr>
              <w:spacing w:after="0"/>
              <w:rPr>
                <w:sz w:val="22"/>
                <w:szCs w:val="22"/>
                <w:color w:val="auto"/>
              </w:rPr>
            </w:pPr>
          </w:p>
        </w:tc>
        <w:tc>
          <w:tcPr>
            <w:tcW w:w="48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CCEEFF"/>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11,431,643</w:t>
            </w:r>
          </w:p>
        </w:tc>
        <w:tc>
          <w:tcPr>
            <w:tcW w:w="10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4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LIABILITIES AND STOCKHOLDERS’ EQUITY</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786,675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268,004</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1,054,679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Accrued payroll and related liabilities</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716,332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30,905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747,237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deposits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36,318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Current portion of acquisition obligations</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206,347</w:t>
            </w:r>
          </w:p>
        </w:tc>
        <w:tc>
          <w:tcPr>
            <w:tcW w:w="480" w:type="dxa"/>
            <w:vAlign w:val="bottom"/>
          </w:tcPr>
          <w:p>
            <w:pPr>
              <w:ind w:left="80"/>
              <w:spacing w:after="0"/>
              <w:rPr>
                <w:sz w:val="20"/>
                <w:szCs w:val="20"/>
                <w:color w:val="auto"/>
              </w:rPr>
            </w:pPr>
            <w:r>
              <w:rPr>
                <w:rFonts w:ascii="Arial" w:cs="Arial" w:eastAsia="Arial" w:hAnsi="Arial"/>
                <w:sz w:val="18"/>
                <w:szCs w:val="18"/>
                <w:color w:val="auto"/>
              </w:rPr>
              <w:t>(d)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206,347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contingent acquisition obligations</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31,466</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31,466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Current portion of capital lease obligations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24,112</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3,549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27,661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1,560,268</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338,776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206,347</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2,105,391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Deferred acquisition contingent obligations, net of</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483,156</w:t>
            </w:r>
          </w:p>
        </w:tc>
        <w:tc>
          <w:tcPr>
            <w:tcW w:w="3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Deferred acquisition obligations, net of current portion</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384,340</w:t>
            </w:r>
          </w:p>
        </w:tc>
        <w:tc>
          <w:tcPr>
            <w:tcW w:w="480" w:type="dxa"/>
            <w:vAlign w:val="bottom"/>
          </w:tcPr>
          <w:p>
            <w:pPr>
              <w:ind w:left="80"/>
              <w:spacing w:after="0"/>
              <w:rPr>
                <w:sz w:val="20"/>
                <w:szCs w:val="20"/>
                <w:color w:val="auto"/>
              </w:rPr>
            </w:pPr>
            <w:r>
              <w:rPr>
                <w:rFonts w:ascii="Arial" w:cs="Arial" w:eastAsia="Arial" w:hAnsi="Arial"/>
                <w:sz w:val="18"/>
                <w:szCs w:val="18"/>
                <w:color w:val="auto"/>
              </w:rPr>
              <w:t>(d)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384,340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net of current portion</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29,658</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29,658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Capital lease obligations, net of current portion</w:t>
            </w:r>
          </w:p>
        </w:tc>
        <w:tc>
          <w:tcPr>
            <w:tcW w:w="120" w:type="dxa"/>
            <w:vAlign w:val="bottom"/>
          </w:tcPr>
          <w:p>
            <w:pPr>
              <w:spacing w:after="0"/>
              <w:rPr>
                <w:sz w:val="20"/>
                <w:szCs w:val="20"/>
                <w:color w:val="auto"/>
              </w:rPr>
            </w:pP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18,968</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18,968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2,092,050</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338,776</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590,687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3,021,513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8,150,174</w:t>
            </w:r>
          </w:p>
        </w:tc>
        <w:tc>
          <w:tcPr>
            <w:tcW w:w="3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667,923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(407,967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480" w:type="dxa"/>
            <w:vAlign w:val="bottom"/>
            <w:tcBorders>
              <w:bottom w:val="single" w:sz="8" w:color="CCEEFF"/>
            </w:tcBorders>
          </w:tcPr>
          <w:p>
            <w:pPr>
              <w:ind w:left="80"/>
              <w:spacing w:after="0" w:line="203" w:lineRule="exact"/>
              <w:rPr>
                <w:sz w:val="20"/>
                <w:szCs w:val="20"/>
                <w:color w:val="auto"/>
              </w:rPr>
            </w:pPr>
            <w:r>
              <w:rPr>
                <w:rFonts w:ascii="Arial" w:cs="Arial" w:eastAsia="Arial" w:hAnsi="Arial"/>
                <w:sz w:val="18"/>
                <w:szCs w:val="18"/>
                <w:color w:val="auto"/>
              </w:rPr>
              <w:t>(e)</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8,410,130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40" w:type="dxa"/>
            <w:vAlign w:val="bottom"/>
            <w:shd w:val="clear" w:color="auto" w:fill="CCEEFF"/>
          </w:tcPr>
          <w:p>
            <w:pPr>
              <w:ind w:left="340"/>
              <w:spacing w:after="0" w:line="189" w:lineRule="exact"/>
              <w:rPr>
                <w:sz w:val="20"/>
                <w:szCs w:val="20"/>
                <w:color w:val="auto"/>
              </w:rPr>
            </w:pPr>
            <w:r>
              <w:rPr>
                <w:rFonts w:ascii="Arial" w:cs="Arial" w:eastAsia="Arial" w:hAnsi="Arial"/>
                <w:sz w:val="18"/>
                <w:szCs w:val="18"/>
                <w:color w:val="auto"/>
              </w:rPr>
              <w:t>TOTAL LIABILITIES AND STOCKHOLDERS’</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10,242,224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1,006,699</w:t>
            </w:r>
          </w:p>
        </w:tc>
        <w:tc>
          <w:tcPr>
            <w:tcW w:w="18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182,720</w:t>
            </w:r>
          </w:p>
        </w:tc>
        <w:tc>
          <w:tcPr>
            <w:tcW w:w="48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11,431,643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IMPRIMIS PHARMACEUTICALS, INC. &amp; SOUTH COAST SPECIALTY COMPOUNDING, INC. d/b/a PARK COMPOUNDING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 FORMA CONDENSED COMBINED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8"/>
                <w:szCs w:val="18"/>
                <w:color w:val="auto"/>
                <w:w w:val="97"/>
              </w:rPr>
              <w:t>Imprimis</w:t>
            </w:r>
          </w:p>
        </w:tc>
        <w:tc>
          <w:tcPr>
            <w:tcW w:w="200" w:type="dxa"/>
            <w:vAlign w:val="bottom"/>
          </w:tcPr>
          <w:p>
            <w:pPr>
              <w:spacing w:after="0"/>
              <w:rPr>
                <w:sz w:val="18"/>
                <w:szCs w:val="18"/>
                <w:color w:val="auto"/>
              </w:rPr>
            </w:pPr>
          </w:p>
        </w:tc>
        <w:tc>
          <w:tcPr>
            <w:tcW w:w="1760" w:type="dxa"/>
            <w:vAlign w:val="bottom"/>
            <w:gridSpan w:val="3"/>
          </w:tcPr>
          <w:p>
            <w:pPr>
              <w:jc w:val="center"/>
              <w:ind w:right="640"/>
              <w:spacing w:after="0"/>
              <w:rPr>
                <w:sz w:val="20"/>
                <w:szCs w:val="20"/>
                <w:color w:val="auto"/>
              </w:rPr>
            </w:pPr>
            <w:r>
              <w:rPr>
                <w:rFonts w:ascii="Arial" w:cs="Arial" w:eastAsia="Arial" w:hAnsi="Arial"/>
                <w:sz w:val="18"/>
                <w:szCs w:val="18"/>
                <w:color w:val="auto"/>
                <w:w w:val="88"/>
              </w:rPr>
              <w:t>South Coast</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Pharmaceuticals,</w:t>
            </w:r>
          </w:p>
        </w:tc>
        <w:tc>
          <w:tcPr>
            <w:tcW w:w="200" w:type="dxa"/>
            <w:vAlign w:val="bottom"/>
          </w:tcPr>
          <w:p>
            <w:pPr>
              <w:spacing w:after="0"/>
              <w:rPr>
                <w:sz w:val="18"/>
                <w:szCs w:val="18"/>
                <w:color w:val="auto"/>
              </w:rPr>
            </w:pPr>
          </w:p>
        </w:tc>
        <w:tc>
          <w:tcPr>
            <w:tcW w:w="1760" w:type="dxa"/>
            <w:vAlign w:val="bottom"/>
            <w:gridSpan w:val="3"/>
          </w:tcPr>
          <w:p>
            <w:pPr>
              <w:jc w:val="center"/>
              <w:ind w:right="640"/>
              <w:spacing w:after="0"/>
              <w:rPr>
                <w:sz w:val="20"/>
                <w:szCs w:val="20"/>
                <w:color w:val="auto"/>
              </w:rPr>
            </w:pPr>
            <w:r>
              <w:rPr>
                <w:rFonts w:ascii="Arial" w:cs="Arial" w:eastAsia="Arial" w:hAnsi="Arial"/>
                <w:sz w:val="18"/>
                <w:szCs w:val="18"/>
                <w:color w:val="auto"/>
                <w:w w:val="93"/>
              </w:rPr>
              <w:t>Specialty</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Pro Forma</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center"/>
              <w:ind w:right="400"/>
              <w:spacing w:after="0"/>
              <w:rPr>
                <w:sz w:val="20"/>
                <w:szCs w:val="20"/>
                <w:color w:val="auto"/>
              </w:rPr>
            </w:pPr>
            <w:r>
              <w:rPr>
                <w:rFonts w:ascii="Arial" w:cs="Arial" w:eastAsia="Arial" w:hAnsi="Arial"/>
                <w:sz w:val="18"/>
                <w:szCs w:val="18"/>
                <w:color w:val="auto"/>
                <w:w w:val="96"/>
              </w:rPr>
              <w:t>Inc.</w:t>
            </w:r>
          </w:p>
        </w:tc>
        <w:tc>
          <w:tcPr>
            <w:tcW w:w="1960" w:type="dxa"/>
            <w:vAlign w:val="bottom"/>
            <w:gridSpan w:val="4"/>
          </w:tcPr>
          <w:p>
            <w:pPr>
              <w:jc w:val="center"/>
              <w:ind w:right="440"/>
              <w:spacing w:after="0"/>
              <w:rPr>
                <w:sz w:val="20"/>
                <w:szCs w:val="20"/>
                <w:color w:val="auto"/>
              </w:rPr>
            </w:pPr>
            <w:r>
              <w:rPr>
                <w:rFonts w:ascii="Arial" w:cs="Arial" w:eastAsia="Arial" w:hAnsi="Arial"/>
                <w:sz w:val="18"/>
                <w:szCs w:val="18"/>
                <w:color w:val="auto"/>
                <w:w w:val="92"/>
              </w:rPr>
              <w:t>Compounding, Inc.</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Adjustments</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Combined</w:t>
            </w:r>
          </w:p>
        </w:tc>
        <w:tc>
          <w:tcPr>
            <w:tcW w:w="0" w:type="dxa"/>
            <w:vAlign w:val="bottom"/>
          </w:tcPr>
          <w:p>
            <w:pPr>
              <w:spacing w:after="0"/>
              <w:rPr>
                <w:sz w:val="1"/>
                <w:szCs w:val="1"/>
                <w:color w:val="auto"/>
              </w:rPr>
            </w:pP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1,652,386</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4,077,765</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5,730,151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r>
              <w:rPr>
                <w:rFonts w:ascii="Arial" w:cs="Arial" w:eastAsia="Arial" w:hAnsi="Arial"/>
                <w:sz w:val="18"/>
                <w:szCs w:val="18"/>
                <w:color w:val="auto"/>
              </w:rPr>
              <w:t>License revenues</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7,860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7,860</w:t>
            </w:r>
          </w:p>
        </w:tc>
        <w:tc>
          <w:tcPr>
            <w:tcW w:w="0" w:type="dxa"/>
            <w:vAlign w:val="bottom"/>
          </w:tcPr>
          <w:p>
            <w:pPr>
              <w:spacing w:after="0"/>
              <w:rPr>
                <w:sz w:val="1"/>
                <w:szCs w:val="1"/>
                <w:color w:val="auto"/>
              </w:rPr>
            </w:pP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1,660,246</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4,077,765</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5,738,011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20"/>
                <w:szCs w:val="20"/>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(1,092,839)</w:t>
            </w:r>
          </w:p>
        </w:tc>
        <w:tc>
          <w:tcPr>
            <w:tcW w:w="200" w:type="dxa"/>
            <w:vAlign w:val="bottom"/>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(2,071,411)</w:t>
            </w:r>
          </w:p>
        </w:tc>
        <w:tc>
          <w:tcPr>
            <w:tcW w:w="1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(3,164,250)</w:t>
            </w:r>
          </w:p>
        </w:tc>
        <w:tc>
          <w:tcPr>
            <w:tcW w:w="0" w:type="dxa"/>
            <w:vAlign w:val="bottom"/>
          </w:tcPr>
          <w:p>
            <w:pPr>
              <w:spacing w:after="0"/>
              <w:rPr>
                <w:sz w:val="1"/>
                <w:szCs w:val="1"/>
                <w:color w:val="auto"/>
              </w:rPr>
            </w:pP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567,407</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2,006,354</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2,573,761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10,477,496</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1,382,081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396,453</w:t>
            </w: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(f)(g)</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12,256,030</w:t>
            </w:r>
          </w:p>
        </w:tc>
        <w:tc>
          <w:tcPr>
            <w:tcW w:w="0" w:type="dxa"/>
            <w:vAlign w:val="bottom"/>
          </w:tcPr>
          <w:p>
            <w:pPr>
              <w:spacing w:after="0"/>
              <w:rPr>
                <w:sz w:val="1"/>
                <w:szCs w:val="1"/>
                <w:color w:val="auto"/>
              </w:rPr>
            </w:pPr>
          </w:p>
        </w:tc>
      </w:tr>
      <w:tr>
        <w:trPr>
          <w:trHeight w:val="237"/>
        </w:trPr>
        <w:tc>
          <w:tcPr>
            <w:tcW w:w="43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236,660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236,660</w:t>
            </w:r>
          </w:p>
        </w:tc>
        <w:tc>
          <w:tcPr>
            <w:tcW w:w="0" w:type="dxa"/>
            <w:vAlign w:val="bottom"/>
          </w:tcPr>
          <w:p>
            <w:pPr>
              <w:spacing w:after="0"/>
              <w:rPr>
                <w:sz w:val="1"/>
                <w:szCs w:val="1"/>
                <w:color w:val="auto"/>
              </w:rPr>
            </w:pPr>
          </w:p>
        </w:tc>
      </w:tr>
      <w:tr>
        <w:trPr>
          <w:trHeight w:val="236"/>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10,714,156</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1,382,081</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396,453</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12,492,690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line="203" w:lineRule="exact"/>
              <w:rPr>
                <w:sz w:val="20"/>
                <w:szCs w:val="20"/>
                <w:color w:val="auto"/>
              </w:rPr>
            </w:pPr>
            <w:r>
              <w:rPr>
                <w:rFonts w:ascii="Arial" w:cs="Arial" w:eastAsia="Arial" w:hAnsi="Arial"/>
                <w:sz w:val="18"/>
                <w:szCs w:val="18"/>
                <w:color w:val="auto"/>
              </w:rPr>
              <w:t>Income (loss) from operations</w:t>
            </w:r>
          </w:p>
        </w:tc>
        <w:tc>
          <w:tcPr>
            <w:tcW w:w="12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(10,146,749)</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624,273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Arial" w:cs="Arial" w:eastAsia="Arial" w:hAnsi="Arial"/>
                <w:sz w:val="18"/>
                <w:szCs w:val="18"/>
                <w:color w:val="auto"/>
              </w:rPr>
              <w:t>(396,453)</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(9,918,929)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(3,800)</w:t>
            </w:r>
          </w:p>
        </w:tc>
        <w:tc>
          <w:tcPr>
            <w:tcW w:w="20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(24,854)</w:t>
            </w: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(h)</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(28,683)</w:t>
            </w:r>
          </w:p>
        </w:tc>
        <w:tc>
          <w:tcPr>
            <w:tcW w:w="0" w:type="dxa"/>
            <w:vAlign w:val="bottom"/>
          </w:tcPr>
          <w:p>
            <w:pPr>
              <w:spacing w:after="0"/>
              <w:rPr>
                <w:sz w:val="1"/>
                <w:szCs w:val="1"/>
                <w:color w:val="auto"/>
              </w:rPr>
            </w:pPr>
          </w:p>
        </w:tc>
      </w:tr>
      <w:tr>
        <w:trPr>
          <w:trHeight w:val="250"/>
        </w:trPr>
        <w:tc>
          <w:tcPr>
            <w:tcW w:w="4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32,446</w:t>
            </w: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32,446</w:t>
            </w: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income (expense), net</w:t>
            </w: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28,646</w:t>
            </w:r>
          </w:p>
        </w:tc>
        <w:tc>
          <w:tcPr>
            <w:tcW w:w="34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w:t>
            </w:r>
          </w:p>
        </w:tc>
        <w:tc>
          <w:tcPr>
            <w:tcW w:w="340" w:type="dxa"/>
            <w:vAlign w:val="bottom"/>
            <w:tcBorders>
              <w:top w:val="single" w:sz="8" w:color="CCEEFF"/>
              <w:bottom w:val="single" w:sz="8" w:color="CCEEFF"/>
            </w:tcBorders>
          </w:tcPr>
          <w:p>
            <w:pPr>
              <w:jc w:val="right"/>
              <w:ind w:right="20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(24,854</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3,763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(10,118,103</w:t>
            </w:r>
          </w:p>
        </w:tc>
        <w:tc>
          <w:tcPr>
            <w:tcW w:w="34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624,244</w:t>
            </w:r>
          </w:p>
        </w:tc>
        <w:tc>
          <w:tcPr>
            <w:tcW w:w="3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(421,307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(9,915,166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w w:val="97"/>
              </w:rPr>
              <w:t>Net (loss) per share of common stock, basic and diluted</w:t>
            </w: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jc w:val="right"/>
              <w:ind w:right="20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64"/>
        </w:trPr>
        <w:tc>
          <w:tcPr>
            <w:tcW w:w="4360" w:type="dxa"/>
            <w:vAlign w:val="bottom"/>
            <w:vMerge w:val="continue"/>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(1.11</w:t>
            </w:r>
          </w:p>
        </w:tc>
        <w:tc>
          <w:tcPr>
            <w:tcW w:w="340" w:type="dxa"/>
            <w:vAlign w:val="bottom"/>
            <w:vMerge w:val="continue"/>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436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Weighted average number of shares of common stock</w:t>
            </w:r>
          </w:p>
        </w:tc>
        <w:tc>
          <w:tcPr>
            <w:tcW w:w="12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outstanding, basic and diluted</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9,132,989</w:t>
            </w:r>
          </w:p>
        </w:tc>
        <w:tc>
          <w:tcPr>
            <w:tcW w:w="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9,196,514</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 notes to unaudited pro forma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jc w:val="center"/>
        <w:spacing w:after="0" w:line="282" w:lineRule="auto"/>
        <w:rPr>
          <w:sz w:val="20"/>
          <w:szCs w:val="20"/>
          <w:color w:val="auto"/>
        </w:rPr>
      </w:pPr>
      <w:r>
        <w:rPr>
          <w:rFonts w:ascii="Arial" w:cs="Arial" w:eastAsia="Arial" w:hAnsi="Arial"/>
          <w:sz w:val="18"/>
          <w:szCs w:val="18"/>
          <w:b w:val="1"/>
          <w:bCs w:val="1"/>
          <w:color w:val="auto"/>
        </w:rPr>
        <w:t>IMPRIMIS PHARMACEUTICALS, INC. &amp; SOUTH COAST SPECIALTY COMPOUNDING, INC. d/b/a PARK COMPOUNDING NOTES TO UNAUDITED PRO FORMA CONDENSED COMBINED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unaudited pro forma condensed combined balance sheet as of December 31, 2014 and the unaudited pro forma combined statement of operations for the year ended December 31, 2014, are based on Imprimis Pharmaceuticals, Inc.’s (“the Company”) historical financial statements as of and for the year ended December 31, 2014, and the historical financial statements of South Coast Specialty Compounding, Inc. d/b/a Park Compounding (“Park”) as of and for the year ended December 31, 2014, after giving effect to the Company’s acquisition of Park on January 1, 2015 and the assumptions, reclassifications and adjustments described in the accompanying notes to the unaudited pro forma condensed combined financial statements.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required to recognize the assets acquired and, liabilities assumed, measured at their fair values as of the acquisition date. Significant assumptions and estimates have been made in determining the purchase price and the allocation of the purchase price in the unaudited pro forma condensed combined financial statements. These preliminary estimates and assumptions are subject to change during the purchase price measurement period as the Company finalizes the valuations of the net tangible assets, intangible assets and note payable considerations. These changes could result in material variances between its future financial results and the amounts presented in these unaudited pro forma condensed combined financial statements, including variances in fair values recorded, as well as expenses and cash flows associated with these items.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Period Presented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unaudited pro forma condensed combined balance sheet and statement of operations as of and for the year ended December 31, 2014, are presented as if the Park acquisition occurred at the beginning of the fiscal year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PURCHASE PRICE ALLOCATION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 2015, the Company acquired all of the outstanding capital stock of Park (the “Park Acquisition”) from Dennis Saadeh and Tina Sulic-Saadeh (the “Sellers”), such that Park became a wholly-owned subsidiary of the Company. The acquisition of Park permits the Company to further make and distribute its patent-pending proprietary drug formulations and other novel pharmaceutical solutions and introduces the Company to new geographic and compounded formulation markets.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acquisition date fair value of consideration transferred, assets acquired and liabilities assumed for Park are presented below and represent the Company’s best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Fair Value of Consideration Transferred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closing of the Park Acquisition (the “Park Closing”), the Company paid to the Sellers an aggregate cash purchase price of $3,000,000, net of fees and expenses, a $100,000 payment for cash remaining in a Park bank account and subject to adjustment based on the final calculation of Park’s working capital and certain other financial information, and issued to the Sellers 63,525 shares of the Company’s restricted common stock, valued at $500,000 based on the average closing price of the Company’s common stock for the 10 trading days preceding the Park Closing. In addition, the Company is obligated to make 12 quarterly cash payments to the Sellers collectively of $53,125 each over the three years following the Park Closing, totaling $637,500; provided that the Sellers will have the option to receive the last six of such quarterly payments, totaling up to an aggregate of $318,750, in the form of 6,749 shares of the Company’s common stock for each such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4" w:name="page25"/>
    <w:bookmarkEnd w:id="24"/>
    <w:p>
      <w:pPr>
        <w:jc w:val="both"/>
        <w:spacing w:after="0" w:line="264" w:lineRule="auto"/>
        <w:rPr>
          <w:sz w:val="20"/>
          <w:szCs w:val="20"/>
          <w:color w:val="auto"/>
        </w:rPr>
      </w:pPr>
      <w:r>
        <w:rPr>
          <w:rFonts w:ascii="Arial" w:cs="Arial" w:eastAsia="Arial" w:hAnsi="Arial"/>
          <w:sz w:val="18"/>
          <w:szCs w:val="18"/>
          <w:color w:val="auto"/>
        </w:rPr>
        <w:t>Management applied a discount rate of 25% for the restricted common stock payment related to a lack of marketability associated with the holding period restriction. The total acquisition date fair value of the consideration to be transferred is estimated at approximately $4.1 million. The total acquisition date fair value of consideration transferred is estimated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Cash payment to sellers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3,100,000</w:t>
            </w:r>
          </w:p>
        </w:tc>
        <w:tc>
          <w:tcPr>
            <w:tcW w:w="8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Common stock issuance to the Sellers</w:t>
            </w:r>
          </w:p>
        </w:tc>
        <w:tc>
          <w:tcPr>
            <w:tcW w:w="3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374,956</w:t>
            </w:r>
          </w:p>
        </w:tc>
      </w:tr>
      <w:tr>
        <w:trPr>
          <w:trHeight w:val="23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Deferred consideration to the Sellers</w:t>
            </w:r>
          </w:p>
        </w:tc>
        <w:tc>
          <w:tcPr>
            <w:tcW w:w="3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590,687</w:t>
            </w:r>
          </w:p>
        </w:tc>
      </w:tr>
      <w:tr>
        <w:trPr>
          <w:trHeight w:val="203"/>
        </w:trPr>
        <w:tc>
          <w:tcPr>
            <w:tcW w:w="54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acquisition date fair value</w:t>
            </w: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4,065,643</w:t>
            </w:r>
          </w:p>
        </w:tc>
        <w:tc>
          <w:tcPr>
            <w:tcW w:w="80" w:type="dxa"/>
            <w:vAlign w:val="bottom"/>
            <w:tcBorders>
              <w:top w:val="single" w:sz="8" w:color="CCEEFF"/>
            </w:tcBorders>
          </w:tcPr>
          <w:p>
            <w:pPr>
              <w:spacing w:after="0"/>
              <w:rPr>
                <w:sz w:val="17"/>
                <w:szCs w:val="17"/>
                <w:color w:val="auto"/>
              </w:rPr>
            </w:pPr>
          </w:p>
        </w:tc>
      </w:tr>
      <w:tr>
        <w:trPr>
          <w:trHeight w:val="20"/>
        </w:trPr>
        <w:tc>
          <w:tcPr>
            <w:tcW w:w="5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liability of $590,687 will be recognized for an estimate of the acquisition date fair value of the deferred consideration.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Allocation of Consideration Transferred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identifiable assets acquired and liabilities assumed were recognized and measured as of the acquisition date based on their estimated fair values as of January 1, 2015, the acquisition date. The excess of the acquisition date fair value of consideration transferred over estimated fair value of the net tangible assets and intangible assets acquired was recorded as goodwill.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estimated fair values of the assets acquired and liabilities assumed at the acquisition date.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124,713</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Accounts receivable</w:t>
            </w: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398,757</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231,759</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251,470</w:t>
            </w:r>
          </w:p>
        </w:tc>
        <w:tc>
          <w:tcPr>
            <w:tcW w:w="0" w:type="dxa"/>
            <w:vAlign w:val="bottom"/>
          </w:tcPr>
          <w:p>
            <w:pPr>
              <w:spacing w:after="0"/>
              <w:rPr>
                <w:sz w:val="1"/>
                <w:szCs w:val="1"/>
                <w:color w:val="auto"/>
              </w:rPr>
            </w:pPr>
          </w:p>
        </w:tc>
      </w:tr>
      <w:tr>
        <w:trPr>
          <w:trHeight w:val="23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4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2,625,000</w:t>
            </w:r>
          </w:p>
        </w:tc>
        <w:tc>
          <w:tcPr>
            <w:tcW w:w="0" w:type="dxa"/>
            <w:vAlign w:val="bottom"/>
          </w:tcPr>
          <w:p>
            <w:pPr>
              <w:spacing w:after="0"/>
              <w:rPr>
                <w:sz w:val="1"/>
                <w:szCs w:val="1"/>
                <w:color w:val="auto"/>
              </w:rPr>
            </w:pPr>
          </w:p>
        </w:tc>
      </w:tr>
      <w:tr>
        <w:trPr>
          <w:trHeight w:val="203"/>
        </w:trPr>
        <w:tc>
          <w:tcPr>
            <w:tcW w:w="49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identifiable assets acquired</w:t>
            </w:r>
          </w:p>
        </w:tc>
        <w:tc>
          <w:tcPr>
            <w:tcW w:w="14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3,631,699</w:t>
            </w: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298,909</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Other liabilities</w:t>
            </w:r>
          </w:p>
        </w:tc>
        <w:tc>
          <w:tcPr>
            <w:tcW w:w="1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39,867</w:t>
            </w:r>
          </w:p>
        </w:tc>
        <w:tc>
          <w:tcPr>
            <w:tcW w:w="0" w:type="dxa"/>
            <w:vAlign w:val="bottom"/>
          </w:tcPr>
          <w:p>
            <w:pPr>
              <w:spacing w:after="0"/>
              <w:rPr>
                <w:sz w:val="1"/>
                <w:szCs w:val="1"/>
                <w:color w:val="auto"/>
              </w:rPr>
            </w:pPr>
          </w:p>
        </w:tc>
      </w:tr>
      <w:tr>
        <w:trPr>
          <w:trHeight w:val="236"/>
        </w:trPr>
        <w:tc>
          <w:tcPr>
            <w:tcW w:w="4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assumed</w:t>
            </w:r>
          </w:p>
        </w:tc>
        <w:tc>
          <w:tcPr>
            <w:tcW w:w="142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338,776</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180"/>
              <w:spacing w:after="0" w:line="203" w:lineRule="exact"/>
              <w:rPr>
                <w:sz w:val="20"/>
                <w:szCs w:val="20"/>
                <w:color w:val="auto"/>
              </w:rPr>
            </w:pPr>
            <w:r>
              <w:rPr>
                <w:rFonts w:ascii="Arial" w:cs="Arial" w:eastAsia="Arial" w:hAnsi="Arial"/>
                <w:sz w:val="18"/>
                <w:szCs w:val="18"/>
                <w:color w:val="auto"/>
              </w:rPr>
              <w:t>Total identifiable assets less liabilities assumed</w:t>
            </w:r>
          </w:p>
        </w:tc>
        <w:tc>
          <w:tcPr>
            <w:tcW w:w="1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3,292,923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772,720</w:t>
            </w:r>
          </w:p>
        </w:tc>
        <w:tc>
          <w:tcPr>
            <w:tcW w:w="0" w:type="dxa"/>
            <w:vAlign w:val="bottom"/>
          </w:tcPr>
          <w:p>
            <w:pPr>
              <w:spacing w:after="0"/>
              <w:rPr>
                <w:sz w:val="1"/>
                <w:szCs w:val="1"/>
                <w:color w:val="auto"/>
              </w:rPr>
            </w:pPr>
          </w:p>
        </w:tc>
      </w:tr>
      <w:tr>
        <w:trPr>
          <w:trHeight w:val="243"/>
        </w:trPr>
        <w:tc>
          <w:tcPr>
            <w:tcW w:w="4980" w:type="dxa"/>
            <w:vAlign w:val="bottom"/>
            <w:tcBorders>
              <w:top w:val="single" w:sz="8" w:color="CCEEFF"/>
            </w:tcBorders>
          </w:tcPr>
          <w:p>
            <w:pPr>
              <w:spacing w:after="0"/>
              <w:rPr>
                <w:sz w:val="21"/>
                <w:szCs w:val="21"/>
                <w:color w:val="auto"/>
              </w:rPr>
            </w:pPr>
          </w:p>
        </w:tc>
        <w:tc>
          <w:tcPr>
            <w:tcW w:w="1420" w:type="dxa"/>
            <w:vAlign w:val="bottom"/>
            <w:tcBorders>
              <w:top w:val="single" w:sz="8" w:color="CCEEFF"/>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assets acquired</w:t>
            </w:r>
          </w:p>
        </w:tc>
        <w:tc>
          <w:tcPr>
            <w:tcW w:w="1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4,065,643</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Intangible Assets</w:t>
            </w:r>
          </w:p>
        </w:tc>
        <w:tc>
          <w:tcPr>
            <w:tcW w:w="1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8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determining the fair value of the intangible assets, the Company considered, among other factors, the best use of the acquired assets, analyses of historical financial performance and estimates of future performance of Park sales. The fair values of the identified intangible assets related to the customer relationships, trade name, non-competition clause, and state pharmacy licenses. Customer relationships and the non-competition clause were calculated using the income approach. Trade name and state pharmacy licenses were calculated using the cost approach. The following table sets forth the components of identified intangible assets associated with the Park Acquisition and their estimated useful lives.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980" w:type="dxa"/>
            <w:vAlign w:val="bottom"/>
            <w:tcBorders>
              <w:bottom w:val="single" w:sz="8" w:color="CCEEFF"/>
            </w:tcBorders>
          </w:tcPr>
          <w:p>
            <w:pPr>
              <w:spacing w:after="0"/>
              <w:rPr>
                <w:sz w:val="20"/>
                <w:szCs w:val="20"/>
                <w:color w:val="auto"/>
              </w:rPr>
            </w:pPr>
          </w:p>
        </w:tc>
        <w:tc>
          <w:tcPr>
            <w:tcW w:w="124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Fair Value</w:t>
            </w: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28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Useful Life</w:t>
            </w:r>
          </w:p>
        </w:tc>
        <w:tc>
          <w:tcPr>
            <w:tcW w:w="2280" w:type="dxa"/>
            <w:vAlign w:val="bottom"/>
          </w:tcPr>
          <w:p>
            <w:pPr>
              <w:spacing w:after="0"/>
              <w:rPr>
                <w:sz w:val="20"/>
                <w:szCs w:val="20"/>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14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2,383,000</w:t>
            </w:r>
          </w:p>
        </w:tc>
        <w:tc>
          <w:tcPr>
            <w:tcW w:w="2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3 - 15 years</w:t>
            </w:r>
          </w:p>
        </w:tc>
        <w:tc>
          <w:tcPr>
            <w:tcW w:w="2280" w:type="dxa"/>
            <w:vAlign w:val="bottom"/>
          </w:tcPr>
          <w:p>
            <w:pPr>
              <w:spacing w:after="0"/>
              <w:rPr>
                <w:sz w:val="18"/>
                <w:szCs w:val="18"/>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Trade name</w:t>
            </w:r>
          </w:p>
        </w:tc>
        <w:tc>
          <w:tcPr>
            <w:tcW w:w="1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10,000</w:t>
            </w:r>
          </w:p>
        </w:tc>
        <w:tc>
          <w:tcPr>
            <w:tcW w:w="2280" w:type="dxa"/>
            <w:vAlign w:val="bottom"/>
          </w:tcPr>
          <w:p>
            <w:pPr>
              <w:spacing w:after="0"/>
              <w:rPr>
                <w:sz w:val="20"/>
                <w:szCs w:val="20"/>
                <w:color w:val="auto"/>
              </w:rPr>
            </w:pPr>
            <w:r>
              <w:rPr>
                <w:rFonts w:ascii="Arial" w:cs="Arial" w:eastAsia="Arial" w:hAnsi="Arial"/>
                <w:sz w:val="18"/>
                <w:szCs w:val="18"/>
                <w:color w:val="auto"/>
              </w:rPr>
              <w:t>5 years</w:t>
            </w:r>
          </w:p>
        </w:tc>
        <w:tc>
          <w:tcPr>
            <w:tcW w:w="2280" w:type="dxa"/>
            <w:vAlign w:val="bottom"/>
          </w:tcPr>
          <w:p>
            <w:pPr>
              <w:spacing w:after="0"/>
              <w:rPr>
                <w:sz w:val="18"/>
                <w:szCs w:val="18"/>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clause</w:t>
            </w:r>
          </w:p>
        </w:tc>
        <w:tc>
          <w:tcPr>
            <w:tcW w:w="1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224,000</w:t>
            </w: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3 years</w:t>
            </w:r>
          </w:p>
        </w:tc>
        <w:tc>
          <w:tcPr>
            <w:tcW w:w="2280" w:type="dxa"/>
            <w:vAlign w:val="bottom"/>
          </w:tcPr>
          <w:p>
            <w:pPr>
              <w:spacing w:after="0"/>
              <w:rPr>
                <w:sz w:val="18"/>
                <w:szCs w:val="18"/>
                <w:color w:val="auto"/>
              </w:rPr>
            </w:pPr>
          </w:p>
        </w:tc>
      </w:tr>
      <w:tr>
        <w:trPr>
          <w:trHeight w:val="223"/>
        </w:trPr>
        <w:tc>
          <w:tcPr>
            <w:tcW w:w="2980" w:type="dxa"/>
            <w:vAlign w:val="bottom"/>
          </w:tcPr>
          <w:p>
            <w:pPr>
              <w:spacing w:after="0"/>
              <w:rPr>
                <w:sz w:val="20"/>
                <w:szCs w:val="20"/>
                <w:color w:val="auto"/>
              </w:rPr>
            </w:pPr>
            <w:r>
              <w:rPr>
                <w:rFonts w:ascii="Arial" w:cs="Arial" w:eastAsia="Arial" w:hAnsi="Arial"/>
                <w:sz w:val="18"/>
                <w:szCs w:val="18"/>
                <w:color w:val="auto"/>
              </w:rPr>
              <w:t>State pharmacy licenses</w:t>
            </w:r>
          </w:p>
        </w:tc>
        <w:tc>
          <w:tcPr>
            <w:tcW w:w="1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8,000</w:t>
            </w:r>
          </w:p>
        </w:tc>
        <w:tc>
          <w:tcPr>
            <w:tcW w:w="2280" w:type="dxa"/>
            <w:vAlign w:val="bottom"/>
          </w:tcPr>
          <w:p>
            <w:pPr>
              <w:spacing w:after="0"/>
              <w:rPr>
                <w:sz w:val="20"/>
                <w:szCs w:val="20"/>
                <w:color w:val="auto"/>
              </w:rPr>
            </w:pPr>
            <w:r>
              <w:rPr>
                <w:rFonts w:ascii="Arial" w:cs="Arial" w:eastAsia="Arial" w:hAnsi="Arial"/>
                <w:sz w:val="18"/>
                <w:szCs w:val="18"/>
                <w:color w:val="auto"/>
              </w:rPr>
              <w:t>25 years</w:t>
            </w:r>
          </w:p>
        </w:tc>
        <w:tc>
          <w:tcPr>
            <w:tcW w:w="2280" w:type="dxa"/>
            <w:vAlign w:val="bottom"/>
          </w:tcPr>
          <w:p>
            <w:pPr>
              <w:spacing w:after="0"/>
              <w:rPr>
                <w:sz w:val="19"/>
                <w:szCs w:val="19"/>
                <w:color w:val="auto"/>
              </w:rPr>
            </w:pPr>
          </w:p>
        </w:tc>
      </w:tr>
      <w:tr>
        <w:trPr>
          <w:trHeight w:val="216"/>
        </w:trPr>
        <w:tc>
          <w:tcPr>
            <w:tcW w:w="298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ind w:right="14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2,625,000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280" w:type="dxa"/>
            <w:vAlign w:val="bottom"/>
            <w:tcBorders>
              <w:top w:val="single" w:sz="8" w:color="CCEEFF"/>
              <w:bottom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0"/>
        </w:trPr>
        <w:tc>
          <w:tcPr>
            <w:tcW w:w="2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47"/>
        </w:trPr>
        <w:tc>
          <w:tcPr>
            <w:tcW w:w="29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color w:val="auto"/>
        </w:rPr>
        <w:t>The Company determined the useful lives of intangible assets based on the expected future cash flows associated with the respective asset. Trade names represent the fair value of the brand and name recognition associated with the marketing of Park’s formulations and services. Customer relationships represent the expected benefit from future contracts and relationships which, at the date of acquisition, were reasonably anticipated to continue given the history and operating practices of Park.</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unaudited pro forma condensed combined statement of operations includes an adjustment to record amortization expense for the identifiable intangible assets of $281,453, for the year ended December 31, 2014, as if the acquisition had occurred on January 1,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Of the total estimated purchase price, $772,720 was allocated to goodwill. Goodwill represents the excess of the purchase price of the acquired business over the fair value of the underlying net tangible and intangible assets. Goodwill resulting from the business will be tested for impairment at least annually and more frequently if certain indicators are present. In the event the Company determines that the value of goodwill has become impaired, it will incur an accounting charge for the amount of the impairment during the fiscal quarter in which the determination is made. None of the goodwill is expected to be deductible for income tax purposes.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PRO FORMA AND RECLASSIFICATION ADJUSTMENTS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Pro forma adjustments are made to reflect the estimated purchase price, to adjust amounts related to Park’s net tangible assets and intangible assets to a preliminary estimate of the fair values of those assets and to reflect the amortization expense related to the estimated amortizable intangible assets. Additionally, the Company reclassified certain of Park’s balances to conform to the Company’s financial statement presentation.</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describes the pro forma adjustments related to the Park Acquisition made in the accompanying unaudited pro forma condensed combined balance sheet as of December 31, 2014, and the unaudited pro forma combined statement of operations for the year ended December 31, 2014, giving effect to the acquisition as if it had been consummated at the beginning of the fiscal year presented:</w:t>
      </w:r>
    </w:p>
    <w:p>
      <w:pPr>
        <w:spacing w:after="0" w:line="20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reflect the cash paid to the Sellers in connection with the Park Acquisition ($3,100,000) and estimated related transaction costs ($115,000).</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reflect the fair value of identifiable intangible assets acquired.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reflect the fair value of the goodwill based on the net assets acquired as if the Park Acquisition occurred on January 1 of the period presented.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reflect the estimated fair value of the deferred consideration owed to the Sellers in connection with the Park Acquisition ($590,687).</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reflect the estimated fair value of the issuance of the Company’s common stock as part of the Park Acquisition ($374,956), the elimination of Park’s stockholders’ equity ($667,923), offset by the estimated direct acquisition costs incurred by the Company ($115,000).</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reflect estimated amortization expense of identifiable intangible assets of $281,453, for the year ended December 31, 2014, as if the acquisition had occurred at the beginning of the fiscal year presented.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reflect the estimated direct acquisition costs incurred by the Company of $115,000.</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reflect the estimated amortization of the note payable discount of $24,854, for the year ended December 31, 2014, as if the acquisition had occurred at the beginning of the fiscal year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jc w:val="both"/>
        <w:spacing w:after="0" w:line="255" w:lineRule="auto"/>
        <w:rPr>
          <w:sz w:val="20"/>
          <w:szCs w:val="20"/>
          <w:color w:val="auto"/>
        </w:rPr>
      </w:pPr>
      <w:r>
        <w:rPr>
          <w:rFonts w:ascii="Arial" w:cs="Arial" w:eastAsia="Arial" w:hAnsi="Arial"/>
          <w:sz w:val="18"/>
          <w:szCs w:val="18"/>
          <w:color w:val="auto"/>
        </w:rPr>
        <w:t>The fair value adjustments made herein and the allocation of purchase price is preliminary. The final allocation will be based on estimates and appraisals that will be finalized within one year of the closing of the Park Acquisition and based on the Company’s final evaluation of Park’s assets and liabilities, including both tangible and intangible assets. The final allocation of purchase price and the resulting effect on net income (loss) may differ from the pro forma amounts included herein. If the Company’s final purchase price allocation differs from the allocation used in preparing these pro forma combined condensed financial statements, the Company’s pro forma tangible and intangible assets and pro forma net income (loss) could be higher or lower. Goodwill represents the excess purchase price after all other intangibles have been identified, and, at this time, the Company has not completed its valuation analysis of intangible assets and will update these values in future filings.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not currently identified any pre-acquisition contingencies where a liability is probable and the amount of the liability can be reasonably estimated. If information becomes available to management prior to the end of the measurement period (no longer than 12 months after the closing of the acquisition), which would indicate that a liability as of the acquisition date is probable and the amount can be reasonably estimated, such items will be reflected in the acquisition accounting.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PRO FORMA NET LOSS PER COMMON SHARE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 forma shares included in the calculation of the weighted average number of common shares outstanding required to calculate basic net loss per share assumes the issuance of an aggregate of 63,525 shares of common stock in connection with the acquisition of Park at the beginning of the fiscal year presented.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calculation of the pro forma basic and diluted weighted average number of common shares outstanding for the year ended December 31, 2014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820" w:type="dxa"/>
            <w:vAlign w:val="bottom"/>
            <w:gridSpan w:val="2"/>
          </w:tcPr>
          <w:p>
            <w:pPr>
              <w:ind w:left="180"/>
              <w:spacing w:after="0"/>
              <w:rPr>
                <w:sz w:val="20"/>
                <w:szCs w:val="20"/>
                <w:color w:val="auto"/>
              </w:rPr>
            </w:pPr>
            <w:r>
              <w:rPr>
                <w:rFonts w:ascii="Arial" w:cs="Arial" w:eastAsia="Arial" w:hAnsi="Arial"/>
                <w:sz w:val="18"/>
                <w:szCs w:val="18"/>
                <w:color w:val="auto"/>
              </w:rPr>
              <w:t>For the Year Ended</w:t>
            </w:r>
          </w:p>
        </w:tc>
        <w:tc>
          <w:tcPr>
            <w:tcW w:w="2280" w:type="dxa"/>
            <w:vAlign w:val="bottom"/>
          </w:tcPr>
          <w:p>
            <w:pPr>
              <w:spacing w:after="0"/>
              <w:rPr>
                <w:sz w:val="18"/>
                <w:szCs w:val="18"/>
                <w:color w:val="auto"/>
              </w:rPr>
            </w:pPr>
          </w:p>
        </w:tc>
      </w:tr>
      <w:tr>
        <w:trPr>
          <w:trHeight w:val="237"/>
        </w:trPr>
        <w:tc>
          <w:tcPr>
            <w:tcW w:w="7320" w:type="dxa"/>
            <w:vAlign w:val="bottom"/>
          </w:tcPr>
          <w:p>
            <w:pPr>
              <w:spacing w:after="0"/>
              <w:rPr>
                <w:sz w:val="20"/>
                <w:szCs w:val="20"/>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December 31, 2014</w:t>
            </w:r>
          </w:p>
        </w:tc>
        <w:tc>
          <w:tcPr>
            <w:tcW w:w="2280" w:type="dxa"/>
            <w:vAlign w:val="bottom"/>
          </w:tcPr>
          <w:p>
            <w:pPr>
              <w:spacing w:after="0"/>
              <w:rPr>
                <w:sz w:val="20"/>
                <w:szCs w:val="20"/>
                <w:color w:val="auto"/>
              </w:rPr>
            </w:pP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9,132,989</w:t>
            </w:r>
          </w:p>
        </w:tc>
        <w:tc>
          <w:tcPr>
            <w:tcW w:w="8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Common stock issuances paid to the Sellers</w:t>
            </w: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63,525</w:t>
            </w:r>
          </w:p>
        </w:tc>
        <w:tc>
          <w:tcPr>
            <w:tcW w:w="2280" w:type="dxa"/>
            <w:vAlign w:val="bottom"/>
          </w:tcPr>
          <w:p>
            <w:pPr>
              <w:spacing w:after="0"/>
              <w:rPr>
                <w:sz w:val="19"/>
                <w:szCs w:val="19"/>
                <w:color w:val="auto"/>
              </w:rPr>
            </w:pPr>
          </w:p>
        </w:tc>
      </w:tr>
      <w:tr>
        <w:trPr>
          <w:trHeight w:val="21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weighted average shares of common stock outstanding</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9,196,514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47"/>
        </w:trPr>
        <w:tc>
          <w:tcPr>
            <w:tcW w:w="7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27" w:name="page28"/>
    <w:bookmarkEnd w:id="27"/>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1"/>
    </w:lvl>
    <w:lvl w:ilvl="1">
      <w:lvlJc w:val="left"/>
      <w:lvlText w:val="●"/>
      <w:numFmt w:val="bullet"/>
      <w:start w:val="1"/>
    </w:lvl>
  </w:abstractNum>
  <w:abstractNum w:abstractNumId="2">
    <w:nsid w:val="46E87CCD"/>
    <w:multiLevelType w:val="hybridMultilevel"/>
    <w:lvl w:ilvl="0">
      <w:lvlJc w:val="left"/>
      <w:lvlText w:val="(%1)"/>
      <w:numFmt w:val="lowerLetter"/>
      <w:start w:val="3"/>
    </w:lvl>
    <w:lvl w:ilvl="1">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2020-01-22T22:06:27Z</dcterms:created>
  <dcterms:modified xsi:type="dcterms:W3CDTF">2020-01-22T22:06:27Z</dcterms:modified>
</cp:coreProperties>
</file>