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sc13da.htm"/>
      <w:bookmarkStart w:id="1" w:name="ksformsc13da"/>
      <w:bookmarkEnd w:id="0"/>
      <w:bookmarkEnd w:id="1"/>
      <w:r>
        <w:rPr>
          <w:caps w:val="false"/>
          <w:smallCaps w:val="false"/>
        </w:rPr>
        <w:t> </w:t>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13D/A</w:t>
      </w:r>
    </w:p>
    <w:p>
      <w:pPr>
        <w:pStyle w:val="TextBody"/>
        <w:bidi w:val="0"/>
        <w:ind w:left="3520" w:right="3501"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TO BE INCLUDED IN STATEMENTS FILED PURSUANT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 240.13d-1(a) AND AMENDMENTS THERETO FILED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 240.13d-2(a)</w:t>
      </w:r>
    </w:p>
    <w:p>
      <w:pPr>
        <w:pStyle w:val="TextBody"/>
        <w:bidi w:val="0"/>
        <w:ind w:left="3520" w:right="3501"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HARROW HEALTH,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$0.001 par value per share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415858109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 L. Baum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 Harrow Health, Inc.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Woodmont Blvd., Suite 610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Nashville, Tennessee 37205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(615) 733-4731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 Notices and Communications)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18, 2023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Rule 13d-1(e), 13d-1(f) or 13d-1(g), check the following box: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6850" w:type="dxa"/>
        <w:jc w:val="left"/>
        <w:tblInd w:w="-15" w:type="dxa"/>
        <w:tblLayout w:type="fixed"/>
        <w:tblCellMar>
          <w:top w:w="28" w:type="dxa"/>
          <w:left w:w="28" w:type="dxa"/>
          <w:bottom w:w="28" w:type="dxa"/>
          <w:right w:w="28" w:type="dxa"/>
        </w:tblCellMar>
      </w:tblPr>
      <w:tblGrid>
        <w:gridCol w:w="185"/>
        <w:gridCol w:w="6665"/>
      </w:tblGrid>
      <w:tr>
        <w:trPr/>
        <w:tc>
          <w:tcPr>
            <w:tcW w:w="6850" w:type="dxa"/>
            <w:gridSpan w:val="2"/>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415858109</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tc>
      </w:tr>
      <w:tr>
        <w:trPr/>
        <w:tc>
          <w:tcPr>
            <w:tcW w:w="185"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85"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65" w:type="dxa"/>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665" w:type="dxa"/>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p>
        </w:tc>
      </w:tr>
      <w:tr>
        <w:trPr/>
        <w:tc>
          <w:tcPr>
            <w:tcW w:w="185"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665" w:type="dxa"/>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 2(d) or 2(e)</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w:t>
            </w:r>
          </w:p>
        </w:tc>
      </w:tr>
      <w:tr>
        <w:trPr/>
        <w:tc>
          <w:tcPr>
            <w:tcW w:w="185"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665" w:type="dxa"/>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tc>
      </w:tr>
      <w:tr>
        <w:trPr/>
        <w:tc>
          <w:tcPr>
            <w:tcW w:w="185" w:type="dxa"/>
            <w:tcBorders>
              <w:left w:val="single" w:sz="12" w:space="0" w:color="000000"/>
            </w:tcBorders>
            <w:tcMar>
              <w:top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6665" w:type="dxa"/>
            <w:tcBorders>
              <w:right w:val="single" w:sz="12"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bl>
    <w:p>
      <w:pPr>
        <w:pStyle w:val="TextBody"/>
        <w:bidi w:val="0"/>
        <w:jc w:val="left"/>
        <w:rPr>
          <w:caps w:val="false"/>
          <w:smallCaps w:val="false"/>
        </w:rPr>
      </w:pPr>
      <w:r>
        <w:rPr>
          <w:caps w:val="false"/>
          <w:smallCaps w:val="false"/>
        </w:rPr>
        <w:t> </w:t>
      </w:r>
    </w:p>
    <w:tbl>
      <w:tblPr>
        <w:tblW w:w="3840" w:type="dxa"/>
        <w:jc w:val="left"/>
        <w:tblInd w:w="-15" w:type="dxa"/>
        <w:tblLayout w:type="fixed"/>
        <w:tblCellMar>
          <w:top w:w="28" w:type="dxa"/>
          <w:left w:w="28" w:type="dxa"/>
          <w:bottom w:w="0" w:type="dxa"/>
          <w:right w:w="0" w:type="dxa"/>
        </w:tblCellMar>
      </w:tblPr>
      <w:tblGrid>
        <w:gridCol w:w="1460"/>
        <w:gridCol w:w="275"/>
        <w:gridCol w:w="2105"/>
      </w:tblGrid>
      <w:tr>
        <w:trPr/>
        <w:tc>
          <w:tcPr>
            <w:tcW w:w="1460"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Reporting</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275" w:type="dxa"/>
            <w:tcBorders>
              <w:top w:val="single" w:sz="12" w:space="0" w:color="000000"/>
              <w:lef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10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3,488,361</w:t>
            </w:r>
            <w:r>
              <w:rPr>
                <w:rFonts w:ascii="Times New Roman;Times;Serif" w:hAnsi="Times New Roman;Times;Serif"/>
                <w:b w:val="false"/>
                <w:i w:val="false"/>
                <w:caps w:val="false"/>
                <w:smallCaps w:val="false"/>
                <w:position w:val="7"/>
                <w:sz w:val="16"/>
                <w:sz w:val="20"/>
              </w:rPr>
              <w:t>(1)</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top w:val="single" w:sz="12" w:space="0" w:color="000000"/>
              <w:left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210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top w:val="single" w:sz="12" w:space="0" w:color="000000"/>
              <w:left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210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3,488,361</w:t>
            </w:r>
            <w:r>
              <w:rPr>
                <w:rFonts w:ascii="Times New Roman;Times;Serif" w:hAnsi="Times New Roman;Times;Serif"/>
                <w:b w:val="false"/>
                <w:i w:val="false"/>
                <w:caps w:val="false"/>
                <w:smallCaps w:val="false"/>
                <w:position w:val="7"/>
                <w:sz w:val="16"/>
                <w:sz w:val="20"/>
              </w:rPr>
              <w:t>(1)</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top w:val="single" w:sz="12" w:space="0" w:color="000000"/>
              <w:left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210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tc>
      </w:tr>
      <w:tr>
        <w:trPr/>
        <w:tc>
          <w:tcPr>
            <w:tcW w:w="1460" w:type="dxa"/>
            <w:vMerge w:val="continue"/>
            <w:tcBorders>
              <w:top w:val="single" w:sz="12" w:space="0" w:color="000000"/>
              <w:left w:val="single" w:sz="12" w:space="0" w:color="000000"/>
            </w:tcBorders>
            <w:vAlign w:val="center"/>
          </w:tcPr>
          <w:p>
            <w:pPr>
              <w:pStyle w:val="Normal"/>
              <w:bidi w:val="0"/>
              <w:jc w:val="left"/>
              <w:rPr/>
            </w:pPr>
            <w:r>
              <w:rPr/>
            </w:r>
          </w:p>
        </w:tc>
        <w:tc>
          <w:tcPr>
            <w:tcW w:w="27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210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jc w:val="left"/>
        <w:rPr>
          <w:caps w:val="false"/>
          <w:smallCaps w:val="false"/>
        </w:rPr>
      </w:pPr>
      <w:r>
        <w:rPr>
          <w:caps w:val="false"/>
          <w:smallCaps w:val="false"/>
        </w:rPr>
        <w:t> </w:t>
      </w:r>
    </w:p>
    <w:tbl>
      <w:tblPr>
        <w:tblW w:w="6190" w:type="dxa"/>
        <w:jc w:val="left"/>
        <w:tblInd w:w="-15" w:type="dxa"/>
        <w:tblLayout w:type="fixed"/>
        <w:tblCellMar>
          <w:top w:w="28" w:type="dxa"/>
          <w:left w:w="28" w:type="dxa"/>
          <w:bottom w:w="0" w:type="dxa"/>
          <w:right w:w="0" w:type="dxa"/>
        </w:tblCellMar>
      </w:tblPr>
      <w:tblGrid>
        <w:gridCol w:w="335"/>
        <w:gridCol w:w="5855"/>
      </w:tblGrid>
      <w:tr>
        <w:trPr/>
        <w:tc>
          <w:tcPr>
            <w:tcW w:w="335" w:type="dxa"/>
            <w:tcBorders>
              <w:top w:val="single" w:sz="12" w:space="0" w:color="000000"/>
              <w:lef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85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tc>
      </w:tr>
      <w:tr>
        <w:trPr/>
        <w:tc>
          <w:tcPr>
            <w:tcW w:w="33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585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3,488,361</w:t>
            </w:r>
            <w:r>
              <w:rPr>
                <w:rFonts w:ascii="Times New Roman;Times;Serif" w:hAnsi="Times New Roman;Times;Serif"/>
                <w:b w:val="false"/>
                <w:i w:val="false"/>
                <w:caps w:val="false"/>
                <w:smallCaps w:val="false"/>
                <w:position w:val="7"/>
                <w:sz w:val="16"/>
                <w:sz w:val="20"/>
              </w:rPr>
              <w:t>(1)</w:t>
            </w:r>
          </w:p>
        </w:tc>
      </w:tr>
      <w:tr>
        <w:trPr/>
        <w:tc>
          <w:tcPr>
            <w:tcW w:w="335" w:type="dxa"/>
            <w:tcBorders>
              <w:top w:val="single" w:sz="12" w:space="0" w:color="000000"/>
              <w:lef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85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tc>
      </w:tr>
      <w:tr>
        <w:trPr/>
        <w:tc>
          <w:tcPr>
            <w:tcW w:w="33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585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35" w:type="dxa"/>
            <w:tcBorders>
              <w:top w:val="single" w:sz="12" w:space="0" w:color="000000"/>
              <w:lef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p>
        </w:tc>
        <w:tc>
          <w:tcPr>
            <w:tcW w:w="585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tc>
      </w:tr>
      <w:tr>
        <w:trPr/>
        <w:tc>
          <w:tcPr>
            <w:tcW w:w="335" w:type="dxa"/>
            <w:tcBorders>
              <w:left w:val="single" w:sz="12" w:space="0" w:color="000000"/>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5855" w:type="dxa"/>
            <w:tcBorders>
              <w:right w:val="single" w:sz="1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r>
              <w:rPr>
                <w:rFonts w:ascii="Times New Roman;Times;Serif" w:hAnsi="Times New Roman;Times;Serif"/>
                <w:b w:val="false"/>
                <w:i w:val="false"/>
                <w:caps w:val="false"/>
                <w:smallCaps w:val="false"/>
                <w:position w:val="7"/>
                <w:sz w:val="16"/>
                <w:sz w:val="20"/>
              </w:rPr>
              <w:t>(2)</w:t>
            </w:r>
          </w:p>
        </w:tc>
      </w:tr>
      <w:tr>
        <w:trPr/>
        <w:tc>
          <w:tcPr>
            <w:tcW w:w="335" w:type="dxa"/>
            <w:tcBorders>
              <w:top w:val="single" w:sz="12" w:space="0" w:color="000000"/>
              <w:lef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5855"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tc>
      </w:tr>
      <w:tr>
        <w:trPr/>
        <w:tc>
          <w:tcPr>
            <w:tcW w:w="335"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5855"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Consists of (a) 2,015,461 shares of Common Stock held by Mr. Baum, and (b) options to purchase 1,472,900 shares of Common Stock held by Mr. Baum and exercisable within 60 days after the date of the filing of this Amendment No. 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The percentage was calculated based on 36,588,154 shares of Common Stock, as follows: (a) 35,115,254 shares of Common Stock outstanding as of August 9, 2023; and (b) 1,472,900 shares of Common Stock issuable upon the exercise of options to purchase shares of Common Stock held by Mr. Baum and exercisable within 60 days after the date of the filing of this Amendment No. 2.</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w:t>
      </w:r>
      <w:r>
        <w:rPr>
          <w:rFonts w:ascii="Times New Roman;Times;Serif" w:hAnsi="Times New Roman;Times;Serif"/>
          <w:b w:val="false"/>
          <w:i w:val="false"/>
          <w:caps w:val="false"/>
          <w:smallCaps w:val="false"/>
          <w:sz w:val="20"/>
          <w:u w:val="single"/>
        </w:rPr>
        <w:t>Amendment No. 2</w:t>
      </w:r>
      <w:r>
        <w:rPr>
          <w:rFonts w:ascii="Times New Roman;Times;Serif" w:hAnsi="Times New Roman;Times;Serif"/>
          <w:b w:val="false"/>
          <w:i w:val="false"/>
          <w:caps w:val="false"/>
          <w:smallCaps w:val="false"/>
          <w:sz w:val="20"/>
        </w:rPr>
        <w:t>”) relates to the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Harrow Health,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and amends and supplements the statement on Schedule 13D originally filed with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August 10, 2012 (the “</w:t>
      </w:r>
      <w:r>
        <w:rPr>
          <w:rFonts w:ascii="Times New Roman;Times;Serif" w:hAnsi="Times New Roman;Times;Serif"/>
          <w:b w:val="false"/>
          <w:i w:val="false"/>
          <w:caps w:val="false"/>
          <w:smallCaps w:val="false"/>
          <w:sz w:val="20"/>
          <w:u w:val="single"/>
        </w:rPr>
        <w:t>Original Schedule 13D</w:t>
      </w:r>
      <w:r>
        <w:rPr>
          <w:rFonts w:ascii="Times New Roman;Times;Serif" w:hAnsi="Times New Roman;Times;Serif"/>
          <w:b w:val="false"/>
          <w:i w:val="false"/>
          <w:caps w:val="false"/>
          <w:smallCaps w:val="false"/>
          <w:sz w:val="20"/>
        </w:rPr>
        <w:t>”), as amended by Amendment No. 1 filed with the SEC on April 25, 2021 (“</w:t>
      </w:r>
      <w:r>
        <w:rPr>
          <w:rFonts w:ascii="Times New Roman;Times;Serif" w:hAnsi="Times New Roman;Times;Serif"/>
          <w:b w:val="false"/>
          <w:i w:val="false"/>
          <w:caps w:val="false"/>
          <w:smallCaps w:val="false"/>
          <w:sz w:val="20"/>
          <w:u w:val="single"/>
        </w:rPr>
        <w:t>Amendment No. 1</w:t>
      </w:r>
      <w:r>
        <w:rPr>
          <w:rFonts w:ascii="Times New Roman;Times;Serif" w:hAnsi="Times New Roman;Times;Serif"/>
          <w:b w:val="false"/>
          <w:i w:val="false"/>
          <w:caps w:val="false"/>
          <w:smallCaps w:val="false"/>
          <w:sz w:val="20"/>
        </w:rPr>
        <w:t>”). Capitalized terms used but not defined in this Amendment No. 2 shall have the meanings set forth in the Original Schedule 13D. Except as specifically amended by Amendment No. 1 and this Amendment No. 2, the Original Schedule 13D is unchanged.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Amounts of Funds or Other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 of the Original Schedule 13D is hereby amended and supplemented by adding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July 18, 2023, Mark L. Baum (“</w:t>
      </w:r>
      <w:r>
        <w:rPr>
          <w:rFonts w:ascii="Times New Roman;Times;Serif" w:hAnsi="Times New Roman;Times;Serif"/>
          <w:b w:val="false"/>
          <w:i w:val="false"/>
          <w:caps w:val="false"/>
          <w:smallCaps w:val="false"/>
          <w:sz w:val="20"/>
          <w:u w:val="single"/>
        </w:rPr>
        <w:t>Mr. Baum</w:t>
      </w:r>
      <w:r>
        <w:rPr>
          <w:rFonts w:ascii="Times New Roman;Times;Serif" w:hAnsi="Times New Roman;Times;Serif"/>
          <w:b w:val="false"/>
          <w:i w:val="false"/>
          <w:caps w:val="false"/>
          <w:smallCaps w:val="false"/>
          <w:sz w:val="20"/>
        </w:rPr>
        <w:t>”) was issued 762,300 shares of Common Stock upon the vesting of performance stock units (the “</w:t>
      </w:r>
      <w:r>
        <w:rPr>
          <w:rFonts w:ascii="Times New Roman;Times;Serif" w:hAnsi="Times New Roman;Times;Serif"/>
          <w:b w:val="false"/>
          <w:i w:val="false"/>
          <w:caps w:val="false"/>
          <w:smallCaps w:val="false"/>
          <w:sz w:val="20"/>
          <w:u w:val="single"/>
        </w:rPr>
        <w:t>PSUs</w:t>
      </w:r>
      <w:r>
        <w:rPr>
          <w:rFonts w:ascii="Times New Roman;Times;Serif" w:hAnsi="Times New Roman;Times;Serif"/>
          <w:b w:val="false"/>
          <w:i w:val="false"/>
          <w:caps w:val="false"/>
          <w:smallCaps w:val="false"/>
          <w:sz w:val="20"/>
        </w:rPr>
        <w:t>”) granted to Mr. Baum under the Company’s 2017 Stock Incentive and Awards Plan (the “</w:t>
      </w:r>
      <w:r>
        <w:rPr>
          <w:rFonts w:ascii="Times New Roman;Times;Serif" w:hAnsi="Times New Roman;Times;Serif"/>
          <w:b w:val="false"/>
          <w:i w:val="false"/>
          <w:caps w:val="false"/>
          <w:smallCaps w:val="false"/>
          <w:sz w:val="20"/>
          <w:u w:val="single"/>
        </w:rPr>
        <w:t>Incentive Plan</w:t>
      </w:r>
      <w:r>
        <w:rPr>
          <w:rFonts w:ascii="Times New Roman;Times;Serif" w:hAnsi="Times New Roman;Times;Serif"/>
          <w:b w:val="false"/>
          <w:i w:val="false"/>
          <w:caps w:val="false"/>
          <w:smallCaps w:val="false"/>
          <w:sz w:val="20"/>
        </w:rPr>
        <w:t>”) on July 23, 2021. The PSUs were settled in full (on a one-for-one basis) on July 18, 2023, following attainment of total stockholder return targets ranging from 50% - 175% following the date of the award. Upon the vesting of the PSUs, 299,968 shares of Common Stock were withheld by the Company for payroll tax purposes from the same aforementioned 762,300 shares of Common Stock pursuant to the terms of the Incentive Plan. The PSUs were acquired by Mr. Baum as compensation for his services as Chief Executive Officer of the Company pursuant to an employment agreement with the Company, dated April 25,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of the Original Schedule 13D is hereby amended and supplemented by adding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762,300 shares of Common Stock underlying the PSUs described in Item 3 (of which 299,968 shares were withheld by the Company for tax purposes) were acquired by Mr. Baum as compensation for Mr. Baum’s services as Chief Executive Officer of the Company. The information provided in Item 3 with respect to the PSUs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 of the Original Schedule 13D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Mr. Baum may be deemed the direct beneficial owner of 3,488,361 shares of Common Stock, representing 9.5% of the Common Stock of the Company and consisting of the following: (i) 2,015,461 shares of Common Stock, and (ii) options to purchase 1,472,900 shares of Common Stock which are exercisable within 60 days after the date of the filing of this Amendment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Mr. Baum has the sole power to vote or direct the vote and sole power to dispose or direct the disposition of 3,488,361 shares of Common Stock (including rights to acquire Common Stock). Mr. Baum has shared power to vote or direct the vote and shared power to dispose or direct the disposition of zero shares of Common Stock (including rights to acquire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July 18, 2023, Mr. Baum was issued 762,300 shares of Common Stock (of which 299,968 shares were withheld by the Company for tax purposes) upon the vesting of PSUs granted to Mr. Baum under the Company’s Incentive Plan on July 23, 2021. Except as reported herein, Mr. Baum has not effected any transactions in the Company’s securities within the past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other person is known to have the right to receive or the power to direct the receipt of dividends from, or the proceeds from the sale of, shares of the Common Stock beneficially owned by the Reporting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reasonable inquiry and to the best of my knowledge and belief, I certify that the information set forth in this statement is true, complete and correct. </w:t>
      </w:r>
    </w:p>
    <w:p>
      <w:pPr>
        <w:pStyle w:val="TextBody"/>
        <w:bidi w:val="0"/>
        <w:ind w:left="104" w:right="49"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2023</w:t>
      </w:r>
    </w:p>
    <w:p>
      <w:pPr>
        <w:pStyle w:val="TextBody"/>
        <w:bidi w:val="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1152</Words>
  <Characters>5665</Characters>
  <CharactersWithSpaces>6812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