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5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8_edei--DocumentPeriodEndDate_c202"/>
      <w:bookmarkEnd w:id="4"/>
      <w:r>
        <w:rPr>
          <w:rFonts w:ascii="Times New Roman;Times;Serif" w:hAnsi="Times New Roman;Times;Serif"/>
          <w:b/>
          <w:i w:val="false"/>
          <w:caps w:val="false"/>
          <w:smallCaps w:val="false"/>
          <w:sz w:val="20"/>
        </w:rPr>
        <w:t xml:space="preserve">June 30, </w:t>
      </w:r>
      <w:bookmarkStart w:id="5" w:name="xdx_905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8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50101"/>
      <w:bookmarkEnd w:id="7"/>
      <w:r>
        <w:rPr>
          <w:rFonts w:ascii="Times New Roman;Times;Serif" w:hAnsi="Times New Roman;Times;Serif"/>
          <w:b/>
          <w:i w:val="false"/>
          <w:caps w:val="false"/>
          <w:smallCaps w:val="false"/>
          <w:sz w:val="20"/>
        </w:rPr>
        <w:t>001-35814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C_edei--EntityRegistrantName_c2025"/>
      <w:bookmarkEnd w:id="8"/>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B_edei--EntityTaxIdentificationNum"/>
            <w:bookmarkEnd w:id="10"/>
            <w:r>
              <w:rPr>
                <w:rFonts w:ascii="Times New Roman;Times;Serif" w:hAnsi="Times New Roman;Times;Serif"/>
                <w:b/>
                <w:i w:val="false"/>
                <w:caps w:val="false"/>
                <w:smallCaps w:val="false"/>
                <w:sz w:val="20"/>
              </w:rPr>
              <w:t>45-0567010</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 xml:space="preserve">1A Burton Hills Blvd., </w:t>
            </w:r>
            <w:bookmarkStart w:id="12" w:name="xdx_90C_edei--EntityAddressAddressLine2_"/>
            <w:bookmarkEnd w:id="12"/>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F_edei--EntityAddressCityOrTown_c2"/>
            <w:bookmarkEnd w:id="13"/>
            <w:r>
              <w:rPr>
                <w:rFonts w:ascii="Times New Roman;Times;Serif" w:hAnsi="Times New Roman;Times;Serif"/>
                <w:b/>
                <w:i w:val="false"/>
                <w:caps w:val="false"/>
                <w:smallCaps w:val="false"/>
                <w:sz w:val="20"/>
              </w:rPr>
              <w:t xml:space="preserve">Nashville, </w:t>
            </w:r>
            <w:bookmarkStart w:id="14" w:name="xdx_90D_edei--EntityAddressStateOrProvin"/>
            <w:bookmarkEnd w:id="14"/>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5_edei--EntityAddressPostalZipCode"/>
            <w:bookmarkEnd w:id="15"/>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C_edei--CityAreaCode_c20250101__20"/>
      <w:bookmarkEnd w:id="16"/>
      <w:r>
        <w:rPr>
          <w:rFonts w:ascii="Times New Roman;Times;Serif" w:hAnsi="Times New Roman;Times;Serif"/>
          <w:b/>
          <w:i w:val="false"/>
          <w:caps w:val="false"/>
          <w:smallCaps w:val="false"/>
          <w:sz w:val="20"/>
        </w:rPr>
        <w:t xml:space="preserve">(615) </w:t>
      </w:r>
      <w:bookmarkStart w:id="17" w:name="xdx_902_edei--LocalPhoneNumber_c20250101"/>
      <w:bookmarkEnd w:id="17"/>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50101"/>
            <w:bookmarkEnd w:id="18"/>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TradingSymbol_c20250101__2"/>
            <w:bookmarkEnd w:id="19"/>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9_edei--SecurityExchangeName_c2025"/>
            <w:bookmarkEnd w:id="20"/>
            <w:r>
              <w:rPr>
                <w:rFonts w:ascii="Times New Roman;Times;Serif" w:hAnsi="Times New Roman;Times;Serif"/>
                <w:b w:val="false"/>
                <w:i w:val="false"/>
                <w:caps w:val="false"/>
                <w:smallCaps w:val="false"/>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12bTitle_c20250101"/>
            <w:bookmarkEnd w:id="21"/>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TradingSymbol_c20250101__2"/>
            <w:bookmarkEnd w:id="22"/>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4_edei--SecurityExchangeName_c2025"/>
            <w:bookmarkEnd w:id="23"/>
            <w:r>
              <w:rPr>
                <w:rFonts w:ascii="Times New Roman;Times;Serif" w:hAnsi="Times New Roman;Times;Serif"/>
                <w:b w:val="false"/>
                <w:i w:val="false"/>
                <w:caps w:val="false"/>
                <w:smallCaps w:val="false"/>
                <w:sz w:val="20"/>
              </w:rPr>
              <w:t>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12bTitle_c20250101"/>
            <w:bookmarkEnd w:id="24"/>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2_edei--TradingSymbol_c20250101__2"/>
            <w:bookmarkEnd w:id="25"/>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6" w:name="xdx_90B_edei--SecurityExchangeName_c2025"/>
            <w:bookmarkEnd w:id="26"/>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1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3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9" w:name="xdx_904_edei--EntityFilerCategory_c20250"/>
            <w:bookmarkEnd w:id="29"/>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30" w:name="xdx_90C_edei--EntitySmallBusiness_c20250"/>
            <w:bookmarkEnd w:id="30"/>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31" w:name="xdx_90D_edei--EntityEmergingGrowthCompan"/>
            <w:bookmarkEnd w:id="31"/>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a check mark whether the registrant is a shell company (as defined in Rule 12b-2 of the Exchange Act). Yes ☐ No </w:t>
      </w:r>
      <w:bookmarkStart w:id="32" w:name="xdx_901_edei--EntityShellCompany_dbF_c20"/>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8, 2025, there were </w:t>
      </w:r>
      <w:bookmarkStart w:id="33" w:name="xdx_905_edei--EntityCommonStockSharesOut"/>
      <w:bookmarkEnd w:id="33"/>
      <w:r>
        <w:rPr>
          <w:rFonts w:ascii="Times New Roman;Times;Serif" w:hAnsi="Times New Roman;Times;Serif"/>
          <w:b w:val="false"/>
          <w:i w:val="false"/>
          <w:caps w:val="false"/>
          <w:smallCaps w:val="false"/>
          <w:sz w:val="20"/>
        </w:rPr>
        <w:t>37,002,136 shares of the registrant’s common stock, $</w:t>
      </w:r>
      <w:bookmarkStart w:id="34" w:name="xdx_901_edei--EntityListingParValuePerSh"/>
      <w:bookmarkEnd w:id="34"/>
      <w:r>
        <w:rPr>
          <w:rFonts w:ascii="Times New Roman;Times;Serif" w:hAnsi="Times New Roman;Times;Serif"/>
          <w:b w:val="false"/>
          <w:i w:val="false"/>
          <w:caps w:val="false"/>
          <w:smallCaps w:val="false"/>
          <w:sz w:val="20"/>
        </w:rPr>
        <w:t>0.001 par value,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725"/>
        <w:gridCol w:w="60"/>
        <w:gridCol w:w="7280"/>
        <w:gridCol w:w="60"/>
        <w:gridCol w:w="455"/>
      </w:tblGrid>
      <w:tr>
        <w:trPr/>
        <w:tc>
          <w:tcPr>
            <w:tcW w:w="7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8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01"/>
      <w:bookmarkEnd w:id="35"/>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02"/>
      <w:bookmarkEnd w:id="36"/>
      <w:r>
        <w:rPr>
          <w:rFonts w:ascii="Times New Roman;Times;Serif" w:hAnsi="Times New Roman;Times;Serif"/>
          <w:b/>
          <w:i w:val="false"/>
          <w:caps w:val="false"/>
          <w:smallCaps w:val="false"/>
          <w:sz w:val="20"/>
        </w:rPr>
        <w:t>Item 1. Financial Statements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 w:name="xdx_305_111_zHTqfJRKoNb5"/>
      <w:bookmarkStart w:id="38" w:name="xdx_305_111_zHTqfJRKoNb5"/>
      <w:bookmarkEnd w:id="38"/>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9" w:name="xdx_494_20250630_zMB1ZXdAazQb"/>
            <w:bookmarkEnd w:id="39"/>
          </w:p>
        </w:tc>
        <w:tc>
          <w:tcPr>
            <w:tcW w:w="1435" w:type="dxa"/>
            <w:gridSpan w:val="2"/>
            <w:tcBorders/>
            <w:vAlign w:val="center"/>
          </w:tcPr>
          <w:p>
            <w:pPr>
              <w:pStyle w:val="TableContents"/>
              <w:bidi w:val="0"/>
              <w:spacing w:before="0" w:after="283"/>
              <w:jc w:val="center"/>
              <w:rPr/>
            </w:pPr>
            <w:r>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 w:name="xdx_499_20241231_zbQVJMiaCPw4"/>
            <w:bookmarkEnd w:id="40"/>
          </w:p>
        </w:tc>
        <w:tc>
          <w:tcPr>
            <w:tcW w:w="1435" w:type="dxa"/>
            <w:gridSpan w:val="2"/>
            <w:tcBorders/>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(Unaudited)</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1" w:name="xdx_40B_eus-gaap--AssetsAbstract_iB_zXzK"/>
            <w:bookmarkEnd w:id="41"/>
          </w:p>
        </w:tc>
      </w:tr>
      <w:tr>
        <w:trPr/>
        <w:tc>
          <w:tcPr>
            <w:tcW w:w="7010"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2" w:name="xdx_40C_eus-gaap--AssetsCurrentAbstract_"/>
            <w:bookmarkEnd w:id="42"/>
          </w:p>
        </w:tc>
      </w:tr>
      <w:tr>
        <w:trPr/>
        <w:tc>
          <w:tcPr>
            <w:tcW w:w="7010" w:type="dxa"/>
            <w:tcBorders/>
            <w:shd w:fill="FFFFFF" w:val="clear"/>
            <w:vAlign w:val="center"/>
          </w:tcPr>
          <w:p>
            <w:pPr>
              <w:pStyle w:val="TableContents"/>
              <w:bidi w:val="0"/>
              <w:spacing w:before="0" w:after="283"/>
              <w:jc w:val="both"/>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 w:name="xdx_400_eus-gaap--CashAndCashEquivalents"/>
            <w:bookmarkEnd w:id="43"/>
          </w:p>
        </w:tc>
      </w:tr>
      <w:tr>
        <w:trPr/>
        <w:tc>
          <w:tcPr>
            <w:tcW w:w="701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52,963,000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47,247,000</w:t>
            </w:r>
          </w:p>
        </w:tc>
        <w:tc>
          <w:tcPr>
            <w:tcW w:w="110" w:type="dxa"/>
            <w:tcBorders/>
            <w:shd w:fill="CCEEFF" w:val="clear"/>
            <w:vAlign w:val="center"/>
          </w:tcPr>
          <w:p>
            <w:pPr>
              <w:pStyle w:val="TableContents"/>
              <w:bidi w:val="0"/>
              <w:spacing w:before="0" w:after="283"/>
              <w:jc w:val="left"/>
              <w:rPr/>
            </w:pPr>
            <w:r>
              <w:rPr/>
              <w:t> </w:t>
            </w:r>
            <w:bookmarkStart w:id="44" w:name="xdx_40F_eus-gaap--AccountsReceivableNetC"/>
            <w:bookmarkEnd w:id="44"/>
          </w:p>
        </w:tc>
      </w:tr>
      <w:tr>
        <w:trPr/>
        <w:tc>
          <w:tcPr>
            <w:tcW w:w="7010"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78,822,000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116,373,000</w:t>
            </w:r>
          </w:p>
        </w:tc>
        <w:tc>
          <w:tcPr>
            <w:tcW w:w="110" w:type="dxa"/>
            <w:tcBorders/>
            <w:shd w:fill="FFFFFF" w:val="clear"/>
            <w:vAlign w:val="center"/>
          </w:tcPr>
          <w:p>
            <w:pPr>
              <w:pStyle w:val="TableContents"/>
              <w:bidi w:val="0"/>
              <w:spacing w:before="0" w:after="283"/>
              <w:jc w:val="left"/>
              <w:rPr/>
            </w:pPr>
            <w:r>
              <w:rPr/>
              <w:t> </w:t>
            </w:r>
            <w:bookmarkStart w:id="45" w:name="xdx_408_eus-gaap--InventoryNet_i02I_maAC"/>
            <w:bookmarkEnd w:id="45"/>
          </w:p>
        </w:tc>
      </w:tr>
      <w:tr>
        <w:trPr/>
        <w:tc>
          <w:tcPr>
            <w:tcW w:w="701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11,552,000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10,702,000</w:t>
            </w:r>
          </w:p>
        </w:tc>
        <w:tc>
          <w:tcPr>
            <w:tcW w:w="110" w:type="dxa"/>
            <w:tcBorders/>
            <w:shd w:fill="CCEEFF" w:val="clear"/>
            <w:vAlign w:val="center"/>
          </w:tcPr>
          <w:p>
            <w:pPr>
              <w:pStyle w:val="TableContents"/>
              <w:bidi w:val="0"/>
              <w:spacing w:before="0" w:after="283"/>
              <w:jc w:val="left"/>
              <w:rPr/>
            </w:pPr>
            <w:r>
              <w:rPr/>
              <w:t> </w:t>
            </w:r>
            <w:bookmarkStart w:id="46" w:name="xdx_400_eus-gaap--PrepaidExpenseAndOther"/>
            <w:bookmarkEnd w:id="46"/>
          </w:p>
        </w:tc>
      </w:tr>
      <w:tr>
        <w:trPr/>
        <w:tc>
          <w:tcPr>
            <w:tcW w:w="7010"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11,553,000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15,329,000</w:t>
            </w:r>
          </w:p>
        </w:tc>
        <w:tc>
          <w:tcPr>
            <w:tcW w:w="110" w:type="dxa"/>
            <w:tcBorders/>
            <w:shd w:fill="FFFFFF" w:val="clear"/>
            <w:vAlign w:val="center"/>
          </w:tcPr>
          <w:p>
            <w:pPr>
              <w:pStyle w:val="TableContents"/>
              <w:bidi w:val="0"/>
              <w:spacing w:before="0" w:after="283"/>
              <w:jc w:val="left"/>
              <w:rPr/>
            </w:pPr>
            <w:r>
              <w:rPr/>
              <w:t> </w:t>
            </w:r>
            <w:bookmarkStart w:id="47" w:name="xdx_40E_eus-gaap--AssetsCurrent_i02TI_mt"/>
            <w:bookmarkEnd w:id="47"/>
          </w:p>
        </w:tc>
      </w:tr>
      <w:tr>
        <w:trPr/>
        <w:tc>
          <w:tcPr>
            <w:tcW w:w="7010" w:type="dxa"/>
            <w:tcBorders/>
            <w:shd w:fill="CCEEFF" w:val="clear"/>
            <w:vAlign w:val="center"/>
          </w:tcPr>
          <w:p>
            <w:pPr>
              <w:pStyle w:val="TableContents"/>
              <w:bidi w:val="0"/>
              <w:spacing w:before="0" w:after="283"/>
              <w:jc w:val="both"/>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154,890,000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189,651,000</w:t>
            </w:r>
          </w:p>
        </w:tc>
        <w:tc>
          <w:tcPr>
            <w:tcW w:w="110" w:type="dxa"/>
            <w:tcBorders/>
            <w:shd w:fill="CCEEFF" w:val="clear"/>
            <w:vAlign w:val="center"/>
          </w:tcPr>
          <w:p>
            <w:pPr>
              <w:pStyle w:val="TableContents"/>
              <w:bidi w:val="0"/>
              <w:spacing w:before="0" w:after="283"/>
              <w:jc w:val="left"/>
              <w:rPr/>
            </w:pPr>
            <w:r>
              <w:rPr/>
              <w:t> </w:t>
            </w:r>
            <w:bookmarkStart w:id="48" w:name="xdx_403_eus-gaap--PropertyPlantAndEquipm"/>
            <w:bookmarkEnd w:id="48"/>
          </w:p>
        </w:tc>
      </w:tr>
      <w:tr>
        <w:trPr/>
        <w:tc>
          <w:tcPr>
            <w:tcW w:w="7010" w:type="dxa"/>
            <w:tcBorders/>
            <w:shd w:fill="FFFFFF" w:val="clear"/>
            <w:vAlign w:val="center"/>
          </w:tcPr>
          <w:p>
            <w:pPr>
              <w:pStyle w:val="TableContents"/>
              <w:bidi w:val="0"/>
              <w:spacing w:before="0" w:after="283"/>
              <w:jc w:val="both"/>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3,734,000</w:t>
            </w:r>
          </w:p>
        </w:tc>
        <w:tc>
          <w:tcPr>
            <w:tcW w:w="110" w:type="dxa"/>
            <w:tcBorders/>
            <w:shd w:fill="FFFFFF" w:val="clear"/>
            <w:vAlign w:val="center"/>
          </w:tcPr>
          <w:p>
            <w:pPr>
              <w:pStyle w:val="TableContents"/>
              <w:bidi w:val="0"/>
              <w:spacing w:before="0" w:after="283"/>
              <w:jc w:val="left"/>
              <w:rPr/>
            </w:pPr>
            <w:r>
              <w:rPr/>
              <w:t> </w:t>
            </w:r>
            <w:bookmarkStart w:id="49" w:name="xdx_40F_eus-gaap--CapitalizedComputerSof"/>
            <w:bookmarkEnd w:id="49"/>
          </w:p>
        </w:tc>
      </w:tr>
      <w:tr>
        <w:trPr/>
        <w:tc>
          <w:tcPr>
            <w:tcW w:w="7010" w:type="dxa"/>
            <w:tcBorders/>
            <w:shd w:fill="CCEEFF" w:val="clear"/>
            <w:vAlign w:val="center"/>
          </w:tcPr>
          <w:p>
            <w:pPr>
              <w:pStyle w:val="TableContents"/>
              <w:bidi w:val="0"/>
              <w:spacing w:before="0" w:after="283"/>
              <w:jc w:val="both"/>
              <w:rPr/>
            </w:pPr>
            <w:r>
              <w:rPr/>
              <w:t>Capitalized software costs,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1,478,000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1,751,000</w:t>
            </w:r>
          </w:p>
        </w:tc>
        <w:tc>
          <w:tcPr>
            <w:tcW w:w="110" w:type="dxa"/>
            <w:tcBorders/>
            <w:shd w:fill="CCEEFF" w:val="clear"/>
            <w:vAlign w:val="center"/>
          </w:tcPr>
          <w:p>
            <w:pPr>
              <w:pStyle w:val="TableContents"/>
              <w:bidi w:val="0"/>
              <w:spacing w:before="0" w:after="283"/>
              <w:jc w:val="left"/>
              <w:rPr/>
            </w:pPr>
            <w:r>
              <w:rPr/>
              <w:t> </w:t>
            </w:r>
            <w:bookmarkStart w:id="50" w:name="xdx_401_eus-gaap--OperatingLeaseRightOfU"/>
            <w:bookmarkEnd w:id="50"/>
          </w:p>
        </w:tc>
      </w:tr>
      <w:tr>
        <w:trPr/>
        <w:tc>
          <w:tcPr>
            <w:tcW w:w="7010" w:type="dxa"/>
            <w:tcBorders/>
            <w:shd w:fill="FFFFFF" w:val="clear"/>
            <w:vAlign w:val="center"/>
          </w:tcPr>
          <w:p>
            <w:pPr>
              <w:pStyle w:val="TableContents"/>
              <w:bidi w:val="0"/>
              <w:spacing w:before="0" w:after="283"/>
              <w:jc w:val="both"/>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8,155,000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8,554,000</w:t>
            </w:r>
          </w:p>
        </w:tc>
        <w:tc>
          <w:tcPr>
            <w:tcW w:w="110" w:type="dxa"/>
            <w:tcBorders/>
            <w:shd w:fill="FFFFFF" w:val="clear"/>
            <w:vAlign w:val="center"/>
          </w:tcPr>
          <w:p>
            <w:pPr>
              <w:pStyle w:val="TableContents"/>
              <w:bidi w:val="0"/>
              <w:spacing w:before="0" w:after="283"/>
              <w:jc w:val="left"/>
              <w:rPr/>
            </w:pPr>
            <w:r>
              <w:rPr/>
              <w:t> </w:t>
            </w:r>
            <w:bookmarkStart w:id="51" w:name="xdx_40D_eus-gaap--IntangibleAssetsNetExc"/>
            <w:bookmarkEnd w:id="51"/>
          </w:p>
        </w:tc>
      </w:tr>
      <w:tr>
        <w:trPr/>
        <w:tc>
          <w:tcPr>
            <w:tcW w:w="7010"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176,666,000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184,949,000</w:t>
            </w:r>
          </w:p>
        </w:tc>
        <w:tc>
          <w:tcPr>
            <w:tcW w:w="110" w:type="dxa"/>
            <w:tcBorders/>
            <w:shd w:fill="CCEEFF" w:val="clear"/>
            <w:vAlign w:val="center"/>
          </w:tcPr>
          <w:p>
            <w:pPr>
              <w:pStyle w:val="TableContents"/>
              <w:bidi w:val="0"/>
              <w:spacing w:before="0" w:after="283"/>
              <w:jc w:val="left"/>
              <w:rPr/>
            </w:pPr>
            <w:r>
              <w:rPr/>
              <w:t> </w:t>
            </w:r>
            <w:bookmarkStart w:id="52" w:name="xdx_40E_eus-gaap--Goodwill_i01I_maAz3Tg_"/>
            <w:bookmarkEnd w:id="52"/>
          </w:p>
        </w:tc>
      </w:tr>
      <w:tr>
        <w:trPr/>
        <w:tc>
          <w:tcPr>
            <w:tcW w:w="7010"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332,000</w:t>
            </w:r>
          </w:p>
        </w:tc>
        <w:tc>
          <w:tcPr>
            <w:tcW w:w="110" w:type="dxa"/>
            <w:tcBorders/>
            <w:shd w:fill="FFFFFF" w:val="clear"/>
            <w:vAlign w:val="center"/>
          </w:tcPr>
          <w:p>
            <w:pPr>
              <w:pStyle w:val="TableContents"/>
              <w:bidi w:val="0"/>
              <w:spacing w:before="0" w:after="283"/>
              <w:jc w:val="left"/>
              <w:rPr/>
            </w:pPr>
            <w:r>
              <w:rPr/>
              <w:t> </w:t>
            </w:r>
            <w:bookmarkStart w:id="53" w:name="xdx_404_eus-gaap--Assets_i01TI_mtAz3Tg_z"/>
            <w:bookmarkEnd w:id="53"/>
          </w:p>
        </w:tc>
      </w:tr>
      <w:tr>
        <w:trPr/>
        <w:tc>
          <w:tcPr>
            <w:tcW w:w="7010" w:type="dxa"/>
            <w:tcBorders/>
            <w:shd w:fill="CCEEFF" w:val="clear"/>
            <w:vAlign w:val="center"/>
          </w:tcPr>
          <w:p>
            <w:pPr>
              <w:pStyle w:val="TableContents"/>
              <w:bidi w:val="0"/>
              <w:spacing w:before="0" w:after="283"/>
              <w:jc w:val="both"/>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345,033,000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388,971,000</w:t>
            </w:r>
          </w:p>
        </w:tc>
        <w:tc>
          <w:tcPr>
            <w:tcW w:w="110" w:type="dxa"/>
            <w:tcBorders/>
            <w:shd w:fill="CCEEFF" w:val="clear"/>
            <w:vAlign w:val="center"/>
          </w:tcPr>
          <w:p>
            <w:pPr>
              <w:pStyle w:val="TableContents"/>
              <w:bidi w:val="0"/>
              <w:spacing w:before="0" w:after="283"/>
              <w:jc w:val="left"/>
              <w:rPr/>
            </w:pPr>
            <w:r>
              <w:rPr/>
              <w:t> </w:t>
            </w:r>
            <w:bookmarkStart w:id="54" w:name="xdx_404_eus-gaap--LiabilitiesAndStockhol"/>
            <w:bookmarkEnd w:id="54"/>
          </w:p>
        </w:tc>
      </w:tr>
      <w:tr>
        <w:trPr/>
        <w:tc>
          <w:tcPr>
            <w:tcW w:w="7010" w:type="dxa"/>
            <w:tcBorders/>
            <w:shd w:fill="FFFFFF" w:val="clear"/>
            <w:vAlign w:val="center"/>
          </w:tcPr>
          <w:p>
            <w:pPr>
              <w:pStyle w:val="TableContents"/>
              <w:bidi w:val="0"/>
              <w:spacing w:before="0" w:after="283"/>
              <w:jc w:val="center"/>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 w:name="xdx_40F_eus-gaap--LiabilitiesCurrentAbst"/>
            <w:bookmarkEnd w:id="55"/>
          </w:p>
        </w:tc>
      </w:tr>
      <w:tr>
        <w:trPr/>
        <w:tc>
          <w:tcPr>
            <w:tcW w:w="701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6" w:name="xdx_409_eus-gaap--AccountsPayableAndAccr"/>
            <w:bookmarkEnd w:id="56"/>
          </w:p>
        </w:tc>
      </w:tr>
      <w:tr>
        <w:trPr/>
        <w:tc>
          <w:tcPr>
            <w:tcW w:w="7010" w:type="dxa"/>
            <w:tcBorders/>
            <w:shd w:fill="FFFFFF" w:val="clear"/>
            <w:vAlign w:val="center"/>
          </w:tcPr>
          <w:p>
            <w:pPr>
              <w:pStyle w:val="TableContents"/>
              <w:bidi w:val="0"/>
              <w:spacing w:before="0" w:after="283"/>
              <w:jc w:val="both"/>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25,414,000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41,406,000</w:t>
            </w:r>
          </w:p>
        </w:tc>
        <w:tc>
          <w:tcPr>
            <w:tcW w:w="110" w:type="dxa"/>
            <w:tcBorders/>
            <w:shd w:fill="FFFFFF" w:val="clear"/>
            <w:vAlign w:val="center"/>
          </w:tcPr>
          <w:p>
            <w:pPr>
              <w:pStyle w:val="TableContents"/>
              <w:bidi w:val="0"/>
              <w:spacing w:before="0" w:after="283"/>
              <w:jc w:val="left"/>
              <w:rPr/>
            </w:pPr>
            <w:r>
              <w:rPr/>
              <w:t> </w:t>
            </w:r>
            <w:bookmarkStart w:id="57" w:name="xdx_40F_ecustom--AccruedRebatesAndCopayA"/>
            <w:bookmarkEnd w:id="57"/>
          </w:p>
        </w:tc>
      </w:tr>
      <w:tr>
        <w:trPr/>
        <w:tc>
          <w:tcPr>
            <w:tcW w:w="7010" w:type="dxa"/>
            <w:tcBorders/>
            <w:shd w:fill="CCEEFF" w:val="clear"/>
            <w:vAlign w:val="center"/>
          </w:tcPr>
          <w:p>
            <w:pPr>
              <w:pStyle w:val="TableContents"/>
              <w:bidi w:val="0"/>
              <w:spacing w:before="0" w:after="283"/>
              <w:jc w:val="both"/>
              <w:rPr/>
            </w:pPr>
            <w:r>
              <w:rPr/>
              <w:t>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32,154,000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39,900,000</w:t>
            </w:r>
          </w:p>
        </w:tc>
        <w:tc>
          <w:tcPr>
            <w:tcW w:w="110" w:type="dxa"/>
            <w:tcBorders/>
            <w:shd w:fill="CCEEFF" w:val="clear"/>
            <w:vAlign w:val="center"/>
          </w:tcPr>
          <w:p>
            <w:pPr>
              <w:pStyle w:val="TableContents"/>
              <w:bidi w:val="0"/>
              <w:spacing w:before="0" w:after="283"/>
              <w:jc w:val="left"/>
              <w:rPr/>
            </w:pPr>
            <w:r>
              <w:rPr/>
              <w:t> </w:t>
            </w:r>
            <w:bookmarkStart w:id="58" w:name="xdx_40E_eus-gaap--EmployeeRelatedLiabili"/>
            <w:bookmarkEnd w:id="58"/>
          </w:p>
        </w:tc>
      </w:tr>
      <w:tr>
        <w:trPr/>
        <w:tc>
          <w:tcPr>
            <w:tcW w:w="7010" w:type="dxa"/>
            <w:tcBorders/>
            <w:shd w:fill="FFFFFF" w:val="clear"/>
            <w:vAlign w:val="center"/>
          </w:tcPr>
          <w:p>
            <w:pPr>
              <w:pStyle w:val="TableContents"/>
              <w:bidi w:val="0"/>
              <w:spacing w:before="0" w:after="283"/>
              <w:jc w:val="both"/>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6,824,000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9,496,000</w:t>
            </w:r>
          </w:p>
        </w:tc>
        <w:tc>
          <w:tcPr>
            <w:tcW w:w="110" w:type="dxa"/>
            <w:tcBorders/>
            <w:shd w:fill="FFFFFF" w:val="clear"/>
            <w:vAlign w:val="center"/>
          </w:tcPr>
          <w:p>
            <w:pPr>
              <w:pStyle w:val="TableContents"/>
              <w:bidi w:val="0"/>
              <w:spacing w:before="0" w:after="283"/>
              <w:jc w:val="left"/>
              <w:rPr/>
            </w:pPr>
            <w:r>
              <w:rPr/>
              <w:t> </w:t>
            </w:r>
            <w:bookmarkStart w:id="59" w:name="xdx_40D_eus-gaap--ContractWithCustomerLi"/>
            <w:bookmarkEnd w:id="59"/>
          </w:p>
        </w:tc>
      </w:tr>
      <w:tr>
        <w:trPr/>
        <w:tc>
          <w:tcPr>
            <w:tcW w:w="7010" w:type="dxa"/>
            <w:tcBorders/>
            <w:shd w:fill="CCEEFF" w:val="clear"/>
            <w:vAlign w:val="center"/>
          </w:tcPr>
          <w:p>
            <w:pPr>
              <w:pStyle w:val="TableContents"/>
              <w:bidi w:val="0"/>
              <w:spacing w:before="0" w:after="283"/>
              <w:jc w:val="both"/>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44,000</w:t>
            </w:r>
          </w:p>
        </w:tc>
        <w:tc>
          <w:tcPr>
            <w:tcW w:w="110" w:type="dxa"/>
            <w:tcBorders/>
            <w:shd w:fill="CCEEFF" w:val="clear"/>
            <w:vAlign w:val="center"/>
          </w:tcPr>
          <w:p>
            <w:pPr>
              <w:pStyle w:val="TableContents"/>
              <w:bidi w:val="0"/>
              <w:spacing w:before="0" w:after="283"/>
              <w:jc w:val="left"/>
              <w:rPr/>
            </w:pPr>
            <w:r>
              <w:rPr/>
              <w:t> </w:t>
            </w:r>
            <w:bookmarkStart w:id="60" w:name="xdx_40F_eus-gaap--NotesPayableCurrent_i0"/>
            <w:bookmarkEnd w:id="60"/>
          </w:p>
        </w:tc>
      </w:tr>
      <w:tr>
        <w:trPr/>
        <w:tc>
          <w:tcPr>
            <w:tcW w:w="7010" w:type="dxa"/>
            <w:tcBorders/>
            <w:shd w:fill="FFFFFF" w:val="clear"/>
            <w:vAlign w:val="center"/>
          </w:tcPr>
          <w:p>
            <w:pPr>
              <w:pStyle w:val="TableContents"/>
              <w:bidi w:val="0"/>
              <w:spacing w:before="0" w:after="283"/>
              <w:jc w:val="both"/>
              <w:rPr/>
            </w:pPr>
            <w:r>
              <w:rPr/>
              <w:t>Current portion of notes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183,619,000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1" w:name="xdx_402_eus-gaap--OperatingLeaseLiabilit"/>
            <w:bookmarkEnd w:id="61"/>
          </w:p>
        </w:tc>
      </w:tr>
      <w:tr>
        <w:trPr/>
        <w:tc>
          <w:tcPr>
            <w:tcW w:w="7010" w:type="dxa"/>
            <w:tcBorders/>
            <w:shd w:fill="CCEEFF" w:val="clear"/>
            <w:vAlign w:val="center"/>
          </w:tcPr>
          <w:p>
            <w:pPr>
              <w:pStyle w:val="TableContents"/>
              <w:bidi w:val="0"/>
              <w:spacing w:before="0" w:after="283"/>
              <w:jc w:val="both"/>
              <w:rPr/>
            </w:pPr>
            <w:r>
              <w:rPr/>
              <w:t>Current portion of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782,000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497,000</w:t>
            </w:r>
          </w:p>
        </w:tc>
        <w:tc>
          <w:tcPr>
            <w:tcW w:w="110" w:type="dxa"/>
            <w:tcBorders/>
            <w:shd w:fill="CCEEFF" w:val="clear"/>
            <w:vAlign w:val="center"/>
          </w:tcPr>
          <w:p>
            <w:pPr>
              <w:pStyle w:val="TableContents"/>
              <w:bidi w:val="0"/>
              <w:spacing w:before="0" w:after="283"/>
              <w:jc w:val="left"/>
              <w:rPr/>
            </w:pPr>
            <w:r>
              <w:rPr/>
              <w:t> </w:t>
            </w:r>
            <w:bookmarkStart w:id="62" w:name="xdx_40D_eus-gaap--LiabilitiesCurrent_i02"/>
            <w:bookmarkEnd w:id="62"/>
          </w:p>
        </w:tc>
      </w:tr>
      <w:tr>
        <w:trPr/>
        <w:tc>
          <w:tcPr>
            <w:tcW w:w="7010"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248,884,000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91,343,000</w:t>
            </w:r>
          </w:p>
        </w:tc>
        <w:tc>
          <w:tcPr>
            <w:tcW w:w="110" w:type="dxa"/>
            <w:tcBorders/>
            <w:shd w:fill="FFFFFF" w:val="clear"/>
            <w:vAlign w:val="center"/>
          </w:tcPr>
          <w:p>
            <w:pPr>
              <w:pStyle w:val="TableContents"/>
              <w:bidi w:val="0"/>
              <w:spacing w:before="0" w:after="283"/>
              <w:jc w:val="left"/>
              <w:rPr/>
            </w:pPr>
            <w:r>
              <w:rPr/>
              <w:t> </w:t>
            </w:r>
            <w:bookmarkStart w:id="63" w:name="xdx_409_eus-gaap--OperatingLeaseLiabilit"/>
            <w:bookmarkEnd w:id="63"/>
          </w:p>
        </w:tc>
      </w:tr>
      <w:tr>
        <w:trPr/>
        <w:tc>
          <w:tcPr>
            <w:tcW w:w="7010" w:type="dxa"/>
            <w:tcBorders/>
            <w:shd w:fill="CCEEFF" w:val="clear"/>
            <w:vAlign w:val="center"/>
          </w:tcPr>
          <w:p>
            <w:pPr>
              <w:pStyle w:val="TableContents"/>
              <w:bidi w:val="0"/>
              <w:spacing w:before="0" w:after="283"/>
              <w:jc w:val="both"/>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8,792,000</w:t>
            </w:r>
          </w:p>
        </w:tc>
        <w:tc>
          <w:tcPr>
            <w:tcW w:w="110" w:type="dxa"/>
            <w:tcBorders/>
            <w:shd w:fill="CCEEFF" w:val="clear"/>
            <w:vAlign w:val="center"/>
          </w:tcPr>
          <w:p>
            <w:pPr>
              <w:pStyle w:val="TableContents"/>
              <w:bidi w:val="0"/>
              <w:spacing w:before="0" w:after="283"/>
              <w:jc w:val="left"/>
              <w:rPr/>
            </w:pPr>
            <w:r>
              <w:rPr/>
              <w:t> </w:t>
            </w:r>
            <w:bookmarkStart w:id="64" w:name="xdx_40A_eus-gaap--LongTermNotesPayable_i"/>
            <w:bookmarkEnd w:id="64"/>
          </w:p>
        </w:tc>
      </w:tr>
      <w:tr>
        <w:trPr/>
        <w:tc>
          <w:tcPr>
            <w:tcW w:w="7010" w:type="dxa"/>
            <w:tcBorders/>
            <w:shd w:fill="FFFFFF" w:val="clear"/>
            <w:vAlign w:val="center"/>
          </w:tcPr>
          <w:p>
            <w:pPr>
              <w:pStyle w:val="TableContents"/>
              <w:bidi w:val="0"/>
              <w:spacing w:before="0" w:after="283"/>
              <w:jc w:val="both"/>
              <w:rPr/>
            </w:pPr>
            <w:r>
              <w:rPr/>
              <w:t>Notes payable, net of unamortized debt discount and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38,484,000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219,539,000</w:t>
            </w:r>
          </w:p>
        </w:tc>
        <w:tc>
          <w:tcPr>
            <w:tcW w:w="110" w:type="dxa"/>
            <w:tcBorders/>
            <w:shd w:fill="FFFFFF" w:val="clear"/>
            <w:vAlign w:val="center"/>
          </w:tcPr>
          <w:p>
            <w:pPr>
              <w:pStyle w:val="TableContents"/>
              <w:bidi w:val="0"/>
              <w:spacing w:before="0" w:after="283"/>
              <w:jc w:val="left"/>
              <w:rPr/>
            </w:pPr>
            <w:r>
              <w:rPr/>
              <w:t> </w:t>
            </w:r>
            <w:bookmarkStart w:id="65" w:name="xdx_400_eus-gaap--Liabilities_i01TI_mtLz"/>
            <w:bookmarkEnd w:id="65"/>
          </w:p>
        </w:tc>
      </w:tr>
      <w:tr>
        <w:trPr/>
        <w:tc>
          <w:tcPr>
            <w:tcW w:w="701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295,734,000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319,674,000</w:t>
            </w:r>
          </w:p>
        </w:tc>
        <w:tc>
          <w:tcPr>
            <w:tcW w:w="110" w:type="dxa"/>
            <w:tcBorders/>
            <w:shd w:fill="CCEEFF" w:val="clear"/>
            <w:vAlign w:val="center"/>
          </w:tcPr>
          <w:p>
            <w:pPr>
              <w:pStyle w:val="TableContents"/>
              <w:bidi w:val="0"/>
              <w:spacing w:before="0" w:after="283"/>
              <w:jc w:val="left"/>
              <w:rPr/>
            </w:pPr>
            <w:r>
              <w:rPr/>
              <w:t> </w:t>
            </w:r>
            <w:bookmarkStart w:id="66" w:name="xdx_402_eus-gaap--CommitmentsAndContinge"/>
            <w:bookmarkEnd w:id="66"/>
          </w:p>
        </w:tc>
      </w:tr>
      <w:tr>
        <w:trPr/>
        <w:tc>
          <w:tcPr>
            <w:tcW w:w="7010" w:type="dxa"/>
            <w:tcBorders/>
            <w:shd w:fill="FFFFFF" w:val="clear"/>
            <w:vAlign w:val="center"/>
          </w:tcPr>
          <w:p>
            <w:pPr>
              <w:pStyle w:val="TableContents"/>
              <w:bidi w:val="0"/>
              <w:spacing w:before="0" w:after="283"/>
              <w:jc w:val="both"/>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67" w:name="xdx_402_eus-gaap--StockholdersEquityAbst"/>
            <w:bookmarkEnd w:id="67"/>
          </w:p>
        </w:tc>
      </w:tr>
      <w:tr>
        <w:trPr/>
        <w:tc>
          <w:tcPr>
            <w:tcW w:w="70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8" w:name="xdx_407_eus-gaap--CommonStockValue_iI_ma"/>
            <w:bookmarkEnd w:id="68"/>
          </w:p>
        </w:tc>
      </w:tr>
      <w:tr>
        <w:trPr/>
        <w:tc>
          <w:tcPr>
            <w:tcW w:w="7010" w:type="dxa"/>
            <w:tcBorders/>
            <w:shd w:fill="FFFFFF" w:val="clear"/>
            <w:vAlign w:val="center"/>
          </w:tcPr>
          <w:p>
            <w:pPr>
              <w:pStyle w:val="TableContents"/>
              <w:bidi w:val="0"/>
              <w:spacing w:before="0" w:after="283"/>
              <w:jc w:val="both"/>
              <w:rPr/>
            </w:pPr>
            <w:r>
              <w:rPr/>
              <w:t>Common stock, $</w:t>
            </w:r>
            <w:bookmarkStart w:id="69" w:name="xdx_908_eus-gaap--CommonStockParOrStated"/>
            <w:bookmarkStart w:id="70" w:name="xdx_907_eus-gaap--CommonStockParOrStated"/>
            <w:bookmarkEnd w:id="69"/>
            <w:bookmarkEnd w:id="70"/>
            <w:r>
              <w:rPr/>
              <w:t xml:space="preserve">0.001 par value, </w:t>
            </w:r>
            <w:bookmarkStart w:id="71" w:name="xdx_90A_eus-gaap--CommonStockSharesAutho"/>
            <w:bookmarkStart w:id="72" w:name="xdx_909_eus-gaap--CommonStockSharesAutho"/>
            <w:bookmarkEnd w:id="71"/>
            <w:bookmarkEnd w:id="72"/>
            <w:r>
              <w:rPr/>
              <w:t xml:space="preserve">50,000,000 shares authorized, </w:t>
            </w:r>
            <w:bookmarkStart w:id="73" w:name="xdx_901_eus-gaap--CommonStockSharesOutst"/>
            <w:bookmarkStart w:id="74" w:name="xdx_90F_eus-gaap--CommonStockSharesIssue"/>
            <w:bookmarkEnd w:id="73"/>
            <w:bookmarkEnd w:id="74"/>
            <w:r>
              <w:rPr/>
              <w:t xml:space="preserve">36,714,679 and </w:t>
            </w:r>
            <w:bookmarkStart w:id="75" w:name="xdx_904_eus-gaap--CommonStockSharesOutst"/>
            <w:bookmarkStart w:id="76" w:name="xdx_90D_eus-gaap--CommonStockSharesIssue"/>
            <w:bookmarkEnd w:id="75"/>
            <w:bookmarkEnd w:id="76"/>
            <w:r>
              <w:rPr/>
              <w:t>35,622,214 shares issued and outstanding at June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35,000</w:t>
            </w:r>
          </w:p>
        </w:tc>
        <w:tc>
          <w:tcPr>
            <w:tcW w:w="110" w:type="dxa"/>
            <w:tcBorders/>
            <w:shd w:fill="FFFFFF" w:val="clear"/>
            <w:vAlign w:val="center"/>
          </w:tcPr>
          <w:p>
            <w:pPr>
              <w:pStyle w:val="TableContents"/>
              <w:bidi w:val="0"/>
              <w:spacing w:before="0" w:after="283"/>
              <w:jc w:val="left"/>
              <w:rPr/>
            </w:pPr>
            <w:r>
              <w:rPr/>
              <w:t> </w:t>
            </w:r>
            <w:bookmarkStart w:id="77" w:name="xdx_401_eus-gaap--AdditionalPaidInCapita"/>
            <w:bookmarkEnd w:id="77"/>
          </w:p>
        </w:tc>
      </w:tr>
      <w:tr>
        <w:trPr/>
        <w:tc>
          <w:tcPr>
            <w:tcW w:w="7010" w:type="dxa"/>
            <w:tcBorders/>
            <w:shd w:fill="CCEEFF" w:val="clear"/>
            <w:vAlign w:val="center"/>
          </w:tcPr>
          <w:p>
            <w:pPr>
              <w:pStyle w:val="TableContents"/>
              <w:bidi w:val="0"/>
              <w:spacing w:before="0" w:after="283"/>
              <w:jc w:val="both"/>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213,788,000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221,002,000</w:t>
            </w:r>
          </w:p>
        </w:tc>
        <w:tc>
          <w:tcPr>
            <w:tcW w:w="110" w:type="dxa"/>
            <w:tcBorders/>
            <w:shd w:fill="CCEEFF" w:val="clear"/>
            <w:vAlign w:val="center"/>
          </w:tcPr>
          <w:p>
            <w:pPr>
              <w:pStyle w:val="TableContents"/>
              <w:bidi w:val="0"/>
              <w:spacing w:before="0" w:after="283"/>
              <w:jc w:val="left"/>
              <w:rPr/>
            </w:pPr>
            <w:r>
              <w:rPr/>
              <w:t> </w:t>
            </w:r>
            <w:bookmarkStart w:id="78" w:name="xdx_40B_eus-gaap--RetainedEarningsAccumu"/>
            <w:bookmarkEnd w:id="78"/>
          </w:p>
        </w:tc>
      </w:tr>
      <w:tr>
        <w:trPr/>
        <w:tc>
          <w:tcPr>
            <w:tcW w:w="7010"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(164,170,000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(151,385,000</w:t>
            </w:r>
          </w:p>
        </w:tc>
        <w:tc>
          <w:tcPr>
            <w:tcW w:w="110" w:type="dxa"/>
            <w:tcBorders/>
            <w:shd w:fill="FFFFFF" w:val="clear"/>
            <w:vAlign w:val="center"/>
          </w:tcPr>
          <w:p>
            <w:pPr>
              <w:pStyle w:val="TableContents"/>
              <w:bidi w:val="0"/>
              <w:spacing w:before="0" w:after="283"/>
              <w:jc w:val="left"/>
              <w:rPr/>
            </w:pPr>
            <w:r>
              <w:rPr/>
              <w:t>)</w:t>
            </w:r>
            <w:bookmarkStart w:id="79" w:name="xdx_401_eus-gaap--StockholdersEquity_i02"/>
            <w:bookmarkEnd w:id="79"/>
          </w:p>
        </w:tc>
      </w:tr>
      <w:tr>
        <w:trPr/>
        <w:tc>
          <w:tcPr>
            <w:tcW w:w="7010" w:type="dxa"/>
            <w:tcBorders/>
            <w:shd w:fill="CCEEFF" w:val="clear"/>
            <w:vAlign w:val="center"/>
          </w:tcPr>
          <w:p>
            <w:pPr>
              <w:pStyle w:val="TableContents"/>
              <w:bidi w:val="0"/>
              <w:spacing w:before="0" w:after="283"/>
              <w:jc w:val="both"/>
              <w:rPr/>
            </w:pPr>
            <w:r>
              <w:rPr/>
              <w:t>TOTAL HARROW, INC.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49,654,000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69,652,000</w:t>
            </w:r>
          </w:p>
        </w:tc>
        <w:tc>
          <w:tcPr>
            <w:tcW w:w="110" w:type="dxa"/>
            <w:tcBorders/>
            <w:shd w:fill="CCEEFF" w:val="clear"/>
            <w:vAlign w:val="center"/>
          </w:tcPr>
          <w:p>
            <w:pPr>
              <w:pStyle w:val="TableContents"/>
              <w:bidi w:val="0"/>
              <w:spacing w:before="0" w:after="283"/>
              <w:jc w:val="left"/>
              <w:rPr/>
            </w:pPr>
            <w:r>
              <w:rPr/>
              <w:t> </w:t>
            </w:r>
            <w:bookmarkStart w:id="80" w:name="xdx_408_eus-gaap--MinorityInterest_i02I_"/>
            <w:bookmarkEnd w:id="80"/>
          </w:p>
        </w:tc>
      </w:tr>
      <w:tr>
        <w:trPr/>
        <w:tc>
          <w:tcPr>
            <w:tcW w:w="7010" w:type="dxa"/>
            <w:tcBorders/>
            <w:shd w:fill="FFFFFF" w:val="clear"/>
            <w:vAlign w:val="center"/>
          </w:tcPr>
          <w:p>
            <w:pPr>
              <w:pStyle w:val="TableContents"/>
              <w:bidi w:val="0"/>
              <w:spacing w:before="0" w:after="283"/>
              <w:jc w:val="both"/>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(355,000</w:t>
            </w:r>
          </w:p>
        </w:tc>
        <w:tc>
          <w:tcPr>
            <w:tcW w:w="110" w:type="dxa"/>
            <w:tcBorders/>
            <w:shd w:fill="FFFFFF" w:val="clear"/>
            <w:vAlign w:val="center"/>
          </w:tcPr>
          <w:p>
            <w:pPr>
              <w:pStyle w:val="TableContents"/>
              <w:bidi w:val="0"/>
              <w:spacing w:before="0" w:after="283"/>
              <w:jc w:val="left"/>
              <w:rPr/>
            </w:pPr>
            <w:r>
              <w:rPr/>
              <w:t>)</w:t>
            </w:r>
            <w:bookmarkStart w:id="81" w:name="xdx_402_eus-gaap--StockholdersEquityIncl"/>
            <w:bookmarkEnd w:id="81"/>
          </w:p>
        </w:tc>
      </w:tr>
      <w:tr>
        <w:trPr/>
        <w:tc>
          <w:tcPr>
            <w:tcW w:w="7010" w:type="dxa"/>
            <w:tcBorders/>
            <w:shd w:fill="CCEEFF" w:val="clear"/>
            <w:vAlign w:val="center"/>
          </w:tcPr>
          <w:p>
            <w:pPr>
              <w:pStyle w:val="TableContents"/>
              <w:bidi w:val="0"/>
              <w:spacing w:before="0" w:after="283"/>
              <w:jc w:val="both"/>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49,299,000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69,297,000</w:t>
            </w:r>
          </w:p>
        </w:tc>
        <w:tc>
          <w:tcPr>
            <w:tcW w:w="110" w:type="dxa"/>
            <w:tcBorders/>
            <w:shd w:fill="CCEEFF" w:val="clear"/>
            <w:vAlign w:val="center"/>
          </w:tcPr>
          <w:p>
            <w:pPr>
              <w:pStyle w:val="TableContents"/>
              <w:bidi w:val="0"/>
              <w:spacing w:before="0" w:after="283"/>
              <w:jc w:val="left"/>
              <w:rPr/>
            </w:pPr>
            <w:r>
              <w:rPr/>
              <w:t> </w:t>
            </w:r>
            <w:bookmarkStart w:id="82" w:name="xdx_408_eus-gaap--LiabilitiesAndStockhol"/>
            <w:bookmarkEnd w:id="82"/>
          </w:p>
        </w:tc>
      </w:tr>
      <w:tr>
        <w:trPr/>
        <w:tc>
          <w:tcPr>
            <w:tcW w:w="7010" w:type="dxa"/>
            <w:tcBorders/>
            <w:shd w:fill="FFFFFF" w:val="clear"/>
            <w:vAlign w:val="center"/>
          </w:tcPr>
          <w:p>
            <w:pPr>
              <w:pStyle w:val="TableContents"/>
              <w:bidi w:val="0"/>
              <w:spacing w:before="0" w:after="283"/>
              <w:jc w:val="both"/>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345,033,000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388,971,000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108"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83" w:name="xdx_30A_113_zuFrupWNN0b9"/>
      <w:bookmarkStart w:id="84" w:name="xdx_30A_113_zuFrupWNN0b9"/>
      <w:bookmarkEnd w:id="84"/>
    </w:p>
    <w:tbl>
      <w:tblPr>
        <w:tblW w:w="10205" w:type="dxa"/>
        <w:jc w:val="left"/>
        <w:tblInd w:w="0" w:type="dxa"/>
        <w:tblLayout w:type="fixed"/>
        <w:tblCellMar>
          <w:top w:w="0" w:type="dxa"/>
          <w:left w:w="0" w:type="dxa"/>
          <w:bottom w:w="0" w:type="dxa"/>
          <w:right w:w="0" w:type="dxa"/>
        </w:tblCellMar>
      </w:tblPr>
      <w:tblGrid>
        <w:gridCol w:w="4265"/>
        <w:gridCol w:w="60"/>
        <w:gridCol w:w="140"/>
        <w:gridCol w:w="1175"/>
        <w:gridCol w:w="95"/>
        <w:gridCol w:w="60"/>
        <w:gridCol w:w="140"/>
        <w:gridCol w:w="1175"/>
        <w:gridCol w:w="95"/>
        <w:gridCol w:w="60"/>
        <w:gridCol w:w="140"/>
        <w:gridCol w:w="1220"/>
        <w:gridCol w:w="95"/>
        <w:gridCol w:w="60"/>
        <w:gridCol w:w="140"/>
        <w:gridCol w:w="1175"/>
        <w:gridCol w:w="110"/>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 w:name="xdx_497_20250401__20250630_zwWm7NecRYIe"/>
            <w:bookmarkEnd w:id="85"/>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 w:name="xdx_494_20240401__20240630_zcvL3pwxiEx4"/>
            <w:bookmarkEnd w:id="86"/>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7" w:name="xdx_490_20250101__20250630_zDrEAqreExPd"/>
            <w:bookmarkEnd w:id="87"/>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 w:name="xdx_492_20240101__20240630_zkPPTWNuWEV3"/>
            <w:bookmarkEnd w:id="88"/>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pPr>
            <w:r>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vAlign w:val="center"/>
          </w:tcPr>
          <w:p>
            <w:pPr>
              <w:pStyle w:val="TableContents"/>
              <w:bidi w:val="0"/>
              <w:spacing w:before="0" w:after="283"/>
              <w:jc w:val="center"/>
              <w:rPr/>
            </w:pPr>
            <w:r>
              <w:rPr/>
              <w:t>For the Six Months Ended</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bookmarkStart w:id="89" w:name="xdx_401_eus-gaap--RevenuesAbstract_iB_zr"/>
            <w:bookmarkEnd w:id="89"/>
          </w:p>
        </w:tc>
      </w:tr>
      <w:tr>
        <w:trPr/>
        <w:tc>
          <w:tcPr>
            <w:tcW w:w="426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3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90" w:name="xdx_407_eus-gaap--RevenueFromContractWit"/>
            <w:bookmarkEnd w:id="90"/>
          </w:p>
        </w:tc>
      </w:tr>
      <w:tr>
        <w:trPr/>
        <w:tc>
          <w:tcPr>
            <w:tcW w:w="4265" w:type="dxa"/>
            <w:tcBorders/>
            <w:shd w:fill="FFFFFF" w:val="clear"/>
            <w:vAlign w:val="center"/>
          </w:tcPr>
          <w:p>
            <w:pPr>
              <w:pStyle w:val="TableContents"/>
              <w:bidi w:val="0"/>
              <w:spacing w:before="0" w:after="283"/>
              <w:jc w:val="left"/>
              <w:rPr/>
            </w:pPr>
            <w:r>
              <w:rPr/>
              <w:t xml:space="preserve">Product sales, net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63,657,000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48,871,000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111,402,000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83,379,000</w:t>
            </w:r>
          </w:p>
        </w:tc>
        <w:tc>
          <w:tcPr>
            <w:tcW w:w="110" w:type="dxa"/>
            <w:tcBorders/>
            <w:shd w:fill="FFFFFF" w:val="clear"/>
            <w:vAlign w:val="center"/>
          </w:tcPr>
          <w:p>
            <w:pPr>
              <w:pStyle w:val="TableContents"/>
              <w:bidi w:val="0"/>
              <w:spacing w:before="0" w:after="283"/>
              <w:jc w:val="left"/>
              <w:rPr/>
            </w:pPr>
            <w:r>
              <w:rPr/>
              <w:t> </w:t>
            </w:r>
            <w:bookmarkStart w:id="91" w:name="xdx_40C_eus-gaap--RevenueFromContractWit"/>
            <w:bookmarkEnd w:id="91"/>
          </w:p>
        </w:tc>
      </w:tr>
      <w:tr>
        <w:trPr/>
        <w:tc>
          <w:tcPr>
            <w:tcW w:w="4265" w:type="dxa"/>
            <w:tcBorders/>
            <w:shd w:fill="CCEEFF" w:val="clear"/>
            <w:vAlign w:val="center"/>
          </w:tcPr>
          <w:p>
            <w:pPr>
              <w:pStyle w:val="TableContents"/>
              <w:bidi w:val="0"/>
              <w:spacing w:before="0" w:after="283"/>
              <w:jc w:val="left"/>
              <w:rPr/>
            </w:pPr>
            <w:r>
              <w:rPr/>
              <w:t>Other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147,000</w:t>
            </w:r>
          </w:p>
        </w:tc>
        <w:tc>
          <w:tcPr>
            <w:tcW w:w="110" w:type="dxa"/>
            <w:tcBorders/>
            <w:shd w:fill="CCEEFF" w:val="clear"/>
            <w:vAlign w:val="center"/>
          </w:tcPr>
          <w:p>
            <w:pPr>
              <w:pStyle w:val="TableContents"/>
              <w:bidi w:val="0"/>
              <w:spacing w:before="0" w:after="283"/>
              <w:jc w:val="left"/>
              <w:rPr/>
            </w:pPr>
            <w:r>
              <w:rPr/>
              <w:t> </w:t>
            </w:r>
            <w:bookmarkStart w:id="92" w:name="xdx_402_eus-gaap--RevenueFromContractWit"/>
            <w:bookmarkEnd w:id="92"/>
          </w:p>
        </w:tc>
      </w:tr>
      <w:tr>
        <w:trPr/>
        <w:tc>
          <w:tcPr>
            <w:tcW w:w="4265"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63,742,000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48,939,000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111,573,000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83,526,000</w:t>
            </w:r>
          </w:p>
        </w:tc>
        <w:tc>
          <w:tcPr>
            <w:tcW w:w="110" w:type="dxa"/>
            <w:tcBorders/>
            <w:shd w:fill="FFFFFF" w:val="clear"/>
            <w:vAlign w:val="center"/>
          </w:tcPr>
          <w:p>
            <w:pPr>
              <w:pStyle w:val="TableContents"/>
              <w:bidi w:val="0"/>
              <w:spacing w:before="0" w:after="283"/>
              <w:jc w:val="left"/>
              <w:rPr/>
            </w:pPr>
            <w:r>
              <w:rPr/>
              <w:t> </w:t>
            </w:r>
            <w:bookmarkStart w:id="93" w:name="xdx_409_eus-gaap--CostOfGoodsAndServices"/>
            <w:bookmarkEnd w:id="93"/>
          </w:p>
        </w:tc>
      </w:tr>
      <w:tr>
        <w:trPr/>
        <w:tc>
          <w:tcPr>
            <w:tcW w:w="426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(16,230,000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(12,539,000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(31,754,000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(23,092,000</w:t>
            </w:r>
          </w:p>
        </w:tc>
        <w:tc>
          <w:tcPr>
            <w:tcW w:w="110" w:type="dxa"/>
            <w:tcBorders/>
            <w:shd w:fill="CCEEFF" w:val="clear"/>
            <w:vAlign w:val="center"/>
          </w:tcPr>
          <w:p>
            <w:pPr>
              <w:pStyle w:val="TableContents"/>
              <w:bidi w:val="0"/>
              <w:spacing w:before="0" w:after="283"/>
              <w:jc w:val="left"/>
              <w:rPr/>
            </w:pPr>
            <w:r>
              <w:rPr/>
              <w:t>)</w:t>
            </w:r>
            <w:bookmarkStart w:id="94" w:name="xdx_403_eus-gaap--GrossProfit_iT_mtGPzVp"/>
            <w:bookmarkEnd w:id="94"/>
          </w:p>
        </w:tc>
      </w:tr>
      <w:tr>
        <w:trPr/>
        <w:tc>
          <w:tcPr>
            <w:tcW w:w="426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47,512,000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36,400,000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79,819,000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60,434,000</w:t>
            </w:r>
          </w:p>
        </w:tc>
        <w:tc>
          <w:tcPr>
            <w:tcW w:w="110" w:type="dxa"/>
            <w:tcBorders/>
            <w:shd w:fill="FFFFFF" w:val="clear"/>
            <w:vAlign w:val="center"/>
          </w:tcPr>
          <w:p>
            <w:pPr>
              <w:pStyle w:val="TableContents"/>
              <w:bidi w:val="0"/>
              <w:spacing w:before="0" w:after="283"/>
              <w:jc w:val="left"/>
              <w:rPr/>
            </w:pPr>
            <w:r>
              <w:rPr/>
              <w:t> </w:t>
            </w:r>
            <w:bookmarkStart w:id="95" w:name="xdx_400_eus-gaap--OperatingExpensesAbstr"/>
            <w:bookmarkEnd w:id="95"/>
          </w:p>
        </w:tc>
      </w:tr>
      <w:tr>
        <w:trPr/>
        <w:tc>
          <w:tcPr>
            <w:tcW w:w="426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6" w:name="xdx_406_eus-gaap--SellingGeneralAndAdmin"/>
            <w:bookmarkEnd w:id="96"/>
          </w:p>
        </w:tc>
      </w:tr>
      <w:tr>
        <w:trPr/>
        <w:tc>
          <w:tcPr>
            <w:tcW w:w="426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31,817,000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73,748,000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60,630,000</w:t>
            </w:r>
          </w:p>
        </w:tc>
        <w:tc>
          <w:tcPr>
            <w:tcW w:w="110" w:type="dxa"/>
            <w:tcBorders/>
            <w:shd w:fill="FFFFFF" w:val="clear"/>
            <w:vAlign w:val="center"/>
          </w:tcPr>
          <w:p>
            <w:pPr>
              <w:pStyle w:val="TableContents"/>
              <w:bidi w:val="0"/>
              <w:spacing w:before="0" w:after="283"/>
              <w:jc w:val="left"/>
              <w:rPr/>
            </w:pPr>
            <w:r>
              <w:rPr/>
              <w:t> </w:t>
            </w:r>
            <w:bookmarkStart w:id="97" w:name="xdx_406_eus-gaap--ResearchAndDevelopment"/>
            <w:bookmarkEnd w:id="97"/>
          </w:p>
        </w:tc>
      </w:tr>
      <w:tr>
        <w:trPr/>
        <w:tc>
          <w:tcPr>
            <w:tcW w:w="42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2,868,000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5,894,000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5,202,000</w:t>
            </w:r>
          </w:p>
        </w:tc>
        <w:tc>
          <w:tcPr>
            <w:tcW w:w="110" w:type="dxa"/>
            <w:tcBorders/>
            <w:shd w:fill="CCEEFF" w:val="clear"/>
            <w:vAlign w:val="center"/>
          </w:tcPr>
          <w:p>
            <w:pPr>
              <w:pStyle w:val="TableContents"/>
              <w:bidi w:val="0"/>
              <w:spacing w:before="0" w:after="283"/>
              <w:jc w:val="left"/>
              <w:rPr/>
            </w:pPr>
            <w:r>
              <w:rPr/>
              <w:t> </w:t>
            </w:r>
            <w:bookmarkStart w:id="98" w:name="xdx_400_eus-gaap--OperatingExpenses_i01T"/>
            <w:bookmarkEnd w:id="98"/>
          </w:p>
        </w:tc>
      </w:tr>
      <w:tr>
        <w:trPr/>
        <w:tc>
          <w:tcPr>
            <w:tcW w:w="426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34,870,000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79,642,000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65,832,000</w:t>
            </w:r>
          </w:p>
        </w:tc>
        <w:tc>
          <w:tcPr>
            <w:tcW w:w="110" w:type="dxa"/>
            <w:tcBorders/>
            <w:shd w:fill="FFFFFF" w:val="clear"/>
            <w:vAlign w:val="center"/>
          </w:tcPr>
          <w:p>
            <w:pPr>
              <w:pStyle w:val="TableContents"/>
              <w:bidi w:val="0"/>
              <w:spacing w:before="0" w:after="283"/>
              <w:jc w:val="left"/>
              <w:rPr/>
            </w:pPr>
            <w:r>
              <w:rPr/>
              <w:t> </w:t>
            </w:r>
            <w:bookmarkStart w:id="99" w:name="xdx_40F_eus-gaap--OperatingIncomeLoss_iT"/>
            <w:bookmarkEnd w:id="99"/>
          </w:p>
        </w:tc>
      </w:tr>
      <w:tr>
        <w:trPr/>
        <w:tc>
          <w:tcPr>
            <w:tcW w:w="4265"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11,409,000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(5,398,000</w:t>
            </w:r>
          </w:p>
        </w:tc>
        <w:tc>
          <w:tcPr>
            <w:tcW w:w="110" w:type="dxa"/>
            <w:tcBorders/>
            <w:shd w:fill="CCEEFF" w:val="clear"/>
            <w:vAlign w:val="center"/>
          </w:tcPr>
          <w:p>
            <w:pPr>
              <w:pStyle w:val="TableContents"/>
              <w:bidi w:val="0"/>
              <w:spacing w:before="0" w:after="283"/>
              <w:jc w:val="left"/>
              <w:rPr/>
            </w:pPr>
            <w:r>
              <w:rPr/>
              <w:t>)</w:t>
            </w:r>
            <w:bookmarkStart w:id="100" w:name="xdx_404_eus-gaap--NonoperatingIncomeExpe"/>
            <w:bookmarkEnd w:id="100"/>
          </w:p>
        </w:tc>
      </w:tr>
      <w:tr>
        <w:trPr/>
        <w:tc>
          <w:tcPr>
            <w:tcW w:w="4265"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 w:name="xdx_408_eus-gaap--InterestExpenseNonoper"/>
            <w:bookmarkEnd w:id="101"/>
          </w:p>
        </w:tc>
      </w:tr>
      <w:tr>
        <w:trPr/>
        <w:tc>
          <w:tcPr>
            <w:tcW w:w="426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(6,408,000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(10,886,000</w:t>
            </w:r>
          </w:p>
        </w:tc>
        <w:tc>
          <w:tcPr>
            <w:tcW w:w="110" w:type="dxa"/>
            <w:tcBorders/>
            <w:shd w:fill="CCEEFF" w:val="clear"/>
            <w:vAlign w:val="center"/>
          </w:tcPr>
          <w:p>
            <w:pPr>
              <w:pStyle w:val="TableContents"/>
              <w:bidi w:val="0"/>
              <w:spacing w:before="0" w:after="283"/>
              <w:jc w:val="left"/>
              <w:rPr/>
            </w:pPr>
            <w:r>
              <w:rPr/>
              <w:t>)</w:t>
            </w:r>
            <w:bookmarkStart w:id="102" w:name="xdx_400_eus-gaap--GainLossOnInvestments_"/>
            <w:bookmarkEnd w:id="102"/>
          </w:p>
        </w:tc>
      </w:tr>
      <w:tr>
        <w:trPr/>
        <w:tc>
          <w:tcPr>
            <w:tcW w:w="4265" w:type="dxa"/>
            <w:tcBorders/>
            <w:shd w:fill="FFFFFF" w:val="clear"/>
            <w:vAlign w:val="center"/>
          </w:tcPr>
          <w:p>
            <w:pPr>
              <w:pStyle w:val="TableContents"/>
              <w:bidi w:val="0"/>
              <w:spacing w:before="0" w:after="283"/>
              <w:jc w:val="left"/>
              <w:rPr/>
            </w:pPr>
            <w:r>
              <w:rPr/>
              <w:t>Investment loss from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(1,923,000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(3,171,000</w:t>
            </w:r>
          </w:p>
        </w:tc>
        <w:tc>
          <w:tcPr>
            <w:tcW w:w="110" w:type="dxa"/>
            <w:tcBorders/>
            <w:shd w:fill="FFFFFF" w:val="clear"/>
            <w:vAlign w:val="center"/>
          </w:tcPr>
          <w:p>
            <w:pPr>
              <w:pStyle w:val="TableContents"/>
              <w:bidi w:val="0"/>
              <w:spacing w:before="0" w:after="283"/>
              <w:jc w:val="left"/>
              <w:rPr/>
            </w:pPr>
            <w:r>
              <w:rPr/>
              <w:t>)</w:t>
            </w:r>
            <w:bookmarkStart w:id="103" w:name="xdx_408_eus-gaap--OtherNonoperatingIncom"/>
            <w:bookmarkEnd w:id="103"/>
          </w:p>
        </w:tc>
      </w:tr>
      <w:tr>
        <w:trPr/>
        <w:tc>
          <w:tcPr>
            <w:tcW w:w="4265"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72,000</w:t>
            </w:r>
          </w:p>
        </w:tc>
        <w:tc>
          <w:tcPr>
            <w:tcW w:w="110" w:type="dxa"/>
            <w:tcBorders/>
            <w:shd w:fill="CCEEFF" w:val="clear"/>
            <w:vAlign w:val="center"/>
          </w:tcPr>
          <w:p>
            <w:pPr>
              <w:pStyle w:val="TableContents"/>
              <w:bidi w:val="0"/>
              <w:spacing w:before="0" w:after="283"/>
              <w:jc w:val="left"/>
              <w:rPr/>
            </w:pPr>
            <w:r>
              <w:rPr/>
              <w:t> </w:t>
            </w:r>
            <w:bookmarkStart w:id="104" w:name="xdx_406_eus-gaap--NonoperatingIncomeExpe"/>
            <w:bookmarkEnd w:id="104"/>
          </w:p>
        </w:tc>
      </w:tr>
      <w:tr>
        <w:trPr/>
        <w:tc>
          <w:tcPr>
            <w:tcW w:w="4265"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(6,414,000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(7,348,000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(12,962,000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(13,985,000</w:t>
            </w:r>
          </w:p>
        </w:tc>
        <w:tc>
          <w:tcPr>
            <w:tcW w:w="110" w:type="dxa"/>
            <w:tcBorders/>
            <w:shd w:fill="FFFFFF" w:val="clear"/>
            <w:vAlign w:val="center"/>
          </w:tcPr>
          <w:p>
            <w:pPr>
              <w:pStyle w:val="TableContents"/>
              <w:bidi w:val="0"/>
              <w:spacing w:before="0" w:after="283"/>
              <w:jc w:val="left"/>
              <w:rPr/>
            </w:pPr>
            <w:r>
              <w:rPr/>
              <w:t>)</w:t>
            </w:r>
            <w:bookmarkStart w:id="105" w:name="xdx_405_eus-gaap--IncomeLossFromContinui"/>
            <w:bookmarkEnd w:id="105"/>
          </w:p>
        </w:tc>
      </w:tr>
      <w:tr>
        <w:trPr/>
        <w:tc>
          <w:tcPr>
            <w:tcW w:w="4265"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(5,818,000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(19,383,000</w:t>
            </w:r>
          </w:p>
        </w:tc>
        <w:tc>
          <w:tcPr>
            <w:tcW w:w="110" w:type="dxa"/>
            <w:tcBorders/>
            <w:shd w:fill="CCEEFF" w:val="clear"/>
            <w:vAlign w:val="center"/>
          </w:tcPr>
          <w:p>
            <w:pPr>
              <w:pStyle w:val="TableContents"/>
              <w:bidi w:val="0"/>
              <w:spacing w:before="0" w:after="283"/>
              <w:jc w:val="left"/>
              <w:rPr/>
            </w:pPr>
            <w:r>
              <w:rPr/>
              <w:t>)</w:t>
            </w:r>
            <w:bookmarkStart w:id="106" w:name="xdx_401_eus-gaap--IncomeTaxExpenseBenefi"/>
            <w:bookmarkEnd w:id="106"/>
          </w:p>
        </w:tc>
      </w:tr>
      <w:tr>
        <w:trPr/>
        <w:tc>
          <w:tcPr>
            <w:tcW w:w="426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(655,000</w:t>
            </w:r>
          </w:p>
        </w:tc>
        <w:tc>
          <w:tcPr>
            <w:tcW w:w="110" w:type="dxa"/>
            <w:tcBorders/>
            <w:shd w:fill="FFFFFF" w:val="clear"/>
            <w:vAlign w:val="center"/>
          </w:tcPr>
          <w:p>
            <w:pPr>
              <w:pStyle w:val="TableContents"/>
              <w:bidi w:val="0"/>
              <w:spacing w:before="0" w:after="283"/>
              <w:jc w:val="left"/>
              <w:rPr/>
            </w:pPr>
            <w:r>
              <w:rPr/>
              <w:t>)</w:t>
            </w:r>
            <w:bookmarkStart w:id="107" w:name="xdx_40F_eus-gaap--NetIncomeLoss_i01T_mtN"/>
            <w:bookmarkEnd w:id="107"/>
          </w:p>
        </w:tc>
      </w:tr>
      <w:tr>
        <w:trPr/>
        <w:tc>
          <w:tcPr>
            <w:tcW w:w="4265" w:type="dxa"/>
            <w:tcBorders/>
            <w:shd w:fill="CCEEFF" w:val="clear"/>
            <w:vAlign w:val="center"/>
          </w:tcPr>
          <w:p>
            <w:pPr>
              <w:pStyle w:val="TableContents"/>
              <w:bidi w:val="0"/>
              <w:spacing w:before="0" w:after="283"/>
              <w:jc w:val="left"/>
              <w:rPr/>
            </w:pPr>
            <w:r>
              <w:rPr/>
              <w:t xml:space="preserve">Net income (loss)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(6,473,000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(12,785,000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(20,038,000</w:t>
            </w:r>
          </w:p>
        </w:tc>
        <w:tc>
          <w:tcPr>
            <w:tcW w:w="110" w:type="dxa"/>
            <w:tcBorders/>
            <w:shd w:fill="CCEEFF" w:val="clear"/>
            <w:vAlign w:val="center"/>
          </w:tcPr>
          <w:p>
            <w:pPr>
              <w:pStyle w:val="TableContents"/>
              <w:bidi w:val="0"/>
              <w:spacing w:before="0" w:after="283"/>
              <w:jc w:val="left"/>
              <w:rPr/>
            </w:pPr>
            <w:r>
              <w:rPr/>
              <w:t>)</w:t>
            </w:r>
            <w:bookmarkStart w:id="108" w:name="xdx_401_eus-gaap--EarningsPerShareBasic_"/>
            <w:bookmarkEnd w:id="108"/>
          </w:p>
        </w:tc>
      </w:tr>
      <w:tr>
        <w:trPr/>
        <w:tc>
          <w:tcPr>
            <w:tcW w:w="4265" w:type="dxa"/>
            <w:tcBorders/>
            <w:shd w:fill="FFFFFF" w:val="clear"/>
            <w:vAlign w:val="center"/>
          </w:tcPr>
          <w:p>
            <w:pPr>
              <w:pStyle w:val="TableContents"/>
              <w:bidi w:val="0"/>
              <w:spacing w:before="0" w:after="283"/>
              <w:jc w:val="left"/>
              <w:rPr/>
            </w:pPr>
            <w:r>
              <w:rPr/>
              <w:t xml:space="preserve">Basic net income (loss) per share of common stock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(0.35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(0.56</w:t>
            </w:r>
          </w:p>
        </w:tc>
        <w:tc>
          <w:tcPr>
            <w:tcW w:w="110" w:type="dxa"/>
            <w:tcBorders/>
            <w:shd w:fill="FFFFFF" w:val="clear"/>
            <w:vAlign w:val="center"/>
          </w:tcPr>
          <w:p>
            <w:pPr>
              <w:pStyle w:val="TableContents"/>
              <w:bidi w:val="0"/>
              <w:spacing w:before="0" w:after="283"/>
              <w:jc w:val="left"/>
              <w:rPr/>
            </w:pPr>
            <w:r>
              <w:rPr/>
              <w:t>)</w:t>
            </w:r>
            <w:bookmarkStart w:id="109" w:name="xdx_401_eus-gaap--EarningsPerShareDilute"/>
            <w:bookmarkEnd w:id="109"/>
          </w:p>
        </w:tc>
      </w:tr>
      <w:tr>
        <w:trPr/>
        <w:tc>
          <w:tcPr>
            <w:tcW w:w="4265" w:type="dxa"/>
            <w:tcBorders/>
            <w:shd w:fill="CCEEFF" w:val="clear"/>
            <w:vAlign w:val="center"/>
          </w:tcPr>
          <w:p>
            <w:pPr>
              <w:pStyle w:val="TableContents"/>
              <w:bidi w:val="0"/>
              <w:spacing w:before="0" w:after="283"/>
              <w:jc w:val="left"/>
              <w:rPr/>
            </w:pPr>
            <w:r>
              <w:rPr/>
              <w:t xml:space="preserve">Diluted net income (loss) per share of common stock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(0.56</w:t>
            </w:r>
          </w:p>
        </w:tc>
        <w:tc>
          <w:tcPr>
            <w:tcW w:w="110" w:type="dxa"/>
            <w:tcBorders/>
            <w:shd w:fill="CCEEFF" w:val="clear"/>
            <w:vAlign w:val="center"/>
          </w:tcPr>
          <w:p>
            <w:pPr>
              <w:pStyle w:val="TableContents"/>
              <w:bidi w:val="0"/>
              <w:spacing w:before="0" w:after="283"/>
              <w:jc w:val="left"/>
              <w:rPr/>
            </w:pPr>
            <w:r>
              <w:rPr/>
              <w:t>)</w:t>
            </w:r>
            <w:bookmarkStart w:id="110" w:name="xdx_40E_eus-gaap--WeightedAverageNumberO"/>
            <w:bookmarkEnd w:id="110"/>
          </w:p>
        </w:tc>
      </w:tr>
      <w:tr>
        <w:trPr/>
        <w:tc>
          <w:tcPr>
            <w:tcW w:w="4265" w:type="dxa"/>
            <w:tcBorders/>
            <w:shd w:fill="FFFFFF" w:val="clear"/>
            <w:vAlign w:val="center"/>
          </w:tcPr>
          <w:p>
            <w:pPr>
              <w:pStyle w:val="TableContents"/>
              <w:bidi w:val="0"/>
              <w:spacing w:before="0" w:after="283"/>
              <w:jc w:val="left"/>
              <w:rPr/>
            </w:pPr>
            <w:r>
              <w:rPr/>
              <w:t>Weighted average number of shares of common stock outstanding, 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36,790,306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35,618,977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36,304,787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35,544,312</w:t>
            </w:r>
          </w:p>
        </w:tc>
        <w:tc>
          <w:tcPr>
            <w:tcW w:w="110" w:type="dxa"/>
            <w:tcBorders/>
            <w:shd w:fill="FFFFFF" w:val="clear"/>
            <w:vAlign w:val="center"/>
          </w:tcPr>
          <w:p>
            <w:pPr>
              <w:pStyle w:val="TableContents"/>
              <w:bidi w:val="0"/>
              <w:spacing w:before="0" w:after="283"/>
              <w:jc w:val="left"/>
              <w:rPr/>
            </w:pPr>
            <w:r>
              <w:rPr/>
              <w:t> </w:t>
            </w:r>
            <w:bookmarkStart w:id="111" w:name="xdx_404_eus-gaap--WeightedAverageNumberO"/>
            <w:bookmarkEnd w:id="111"/>
          </w:p>
        </w:tc>
      </w:tr>
      <w:tr>
        <w:trPr/>
        <w:tc>
          <w:tcPr>
            <w:tcW w:w="4265" w:type="dxa"/>
            <w:tcBorders/>
            <w:shd w:fill="CCEEFF" w:val="clear"/>
            <w:vAlign w:val="center"/>
          </w:tcPr>
          <w:p>
            <w:pPr>
              <w:pStyle w:val="TableContents"/>
              <w:bidi w:val="0"/>
              <w:spacing w:before="0" w:after="283"/>
              <w:jc w:val="left"/>
              <w:rPr/>
            </w:pPr>
            <w:r>
              <w:rPr/>
              <w:t>Weighted average number of shares of common stock outstanding,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38,853,855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35,618,977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36,304,787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35,544,312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periods ended June 30, 2025 and 2024</w:t>
      </w:r>
    </w:p>
    <w:p>
      <w:pPr>
        <w:pStyle w:val="TextBody"/>
        <w:bidi w:val="0"/>
        <w:spacing w:before="0" w:after="0"/>
        <w:ind w:left="10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2" w:name="xdx_309_114_zxJnuzHPHYcl"/>
      <w:bookmarkStart w:id="113" w:name="xdx_309_114_zxJnuzHPHYcl"/>
      <w:bookmarkEnd w:id="113"/>
    </w:p>
    <w:tbl>
      <w:tblPr>
        <w:tblW w:w="1151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40"/>
        <w:gridCol w:w="1280"/>
        <w:gridCol w:w="95"/>
        <w:gridCol w:w="60"/>
        <w:gridCol w:w="201"/>
        <w:gridCol w:w="1259"/>
        <w:gridCol w:w="95"/>
        <w:gridCol w:w="60"/>
        <w:gridCol w:w="140"/>
        <w:gridCol w:w="128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4" w:name="xdx_4B7_us-gaap--StatementEquityComponen"/>
            <w:bookmarkEnd w:id="114"/>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5" w:name="xdx_4B7_us-gaap--StatementEquityComponen"/>
            <w:bookmarkEnd w:id="115"/>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6" w:name="xdx_4BE_us-gaap--StatementEquityComponen"/>
            <w:bookmarkEnd w:id="116"/>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 w:name="xdx_4B9_us-gaap--StatementEquityComponen"/>
            <w:bookmarkEnd w:id="117"/>
          </w:p>
        </w:tc>
        <w:tc>
          <w:tcPr>
            <w:tcW w:w="142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 w:name="xdx_4B2_us-gaap--StatementEquityComponen"/>
            <w:bookmarkEnd w:id="118"/>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9" w:name="xdx_4B9_z9VryLKkAKOe"/>
            <w:bookmarkEnd w:id="119"/>
          </w:p>
        </w:tc>
        <w:tc>
          <w:tcPr>
            <w:tcW w:w="14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3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Par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center"/>
              <w:rPr/>
            </w:pPr>
            <w:r>
              <w:rPr/>
              <w:t> </w:t>
            </w:r>
            <w:bookmarkStart w:id="120" w:name="xdx_43F_c20240101__20240630_eus-gaap--St"/>
            <w:bookmarkEnd w:id="120"/>
          </w:p>
        </w:tc>
      </w:tr>
      <w:tr>
        <w:trPr/>
        <w:tc>
          <w:tcPr>
            <w:tcW w:w="134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B_eus-gaap--SharesOutstanding_iS_c"/>
            <w:bookmarkEnd w:id="121"/>
          </w:p>
        </w:tc>
        <w:tc>
          <w:tcPr>
            <w:tcW w:w="1100" w:type="dxa"/>
            <w:tcBorders/>
            <w:shd w:fill="CCEEFF" w:val="clear"/>
            <w:vAlign w:val="center"/>
          </w:tcPr>
          <w:p>
            <w:pPr>
              <w:pStyle w:val="TableContents"/>
              <w:bidi w:val="0"/>
              <w:spacing w:before="0" w:after="283"/>
              <w:jc w:val="right"/>
              <w:rPr/>
            </w:pPr>
            <w:r>
              <w:rPr/>
              <w:t>35,168,260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204,635,000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(133,904,000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70,766,000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70,411,000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2" w:name="xdx_40E_eus-gaap--StockIssuedDuringPerio"/>
            <w:bookmarkEnd w:id="122"/>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3" w:name="xdx_988_eus-gaap--StockIssuedDuringPerio"/>
            <w:bookmarkEnd w:id="123"/>
          </w:p>
        </w:tc>
        <w:tc>
          <w:tcPr>
            <w:tcW w:w="1100" w:type="dxa"/>
            <w:tcBorders/>
            <w:shd w:fill="FFFFFF" w:val="clear"/>
            <w:vAlign w:val="center"/>
          </w:tcPr>
          <w:p>
            <w:pPr>
              <w:pStyle w:val="TableContents"/>
              <w:bidi w:val="0"/>
              <w:spacing w:before="0" w:after="283"/>
              <w:jc w:val="right"/>
              <w:rPr/>
            </w:pPr>
            <w:r>
              <w:rPr/>
              <w:t>87,195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521,000</w:t>
            </w:r>
          </w:p>
        </w:tc>
        <w:tc>
          <w:tcPr>
            <w:tcW w:w="110" w:type="dxa"/>
            <w:tcBorders/>
            <w:shd w:fill="FFFFFF" w:val="clear"/>
            <w:vAlign w:val="center"/>
          </w:tcPr>
          <w:p>
            <w:pPr>
              <w:pStyle w:val="TableContents"/>
              <w:bidi w:val="0"/>
              <w:spacing w:before="0" w:after="283"/>
              <w:jc w:val="left"/>
              <w:rPr/>
            </w:pPr>
            <w:r>
              <w:rPr/>
              <w:t> </w:t>
            </w:r>
            <w:bookmarkStart w:id="124" w:name="xdx_408_eus-gaap--StockIssuedDuringPerio"/>
            <w:bookmarkEnd w:id="124"/>
          </w:p>
        </w:tc>
      </w:tr>
      <w:tr>
        <w:trPr/>
        <w:tc>
          <w:tcPr>
            <w:tcW w:w="1340" w:type="dxa"/>
            <w:tcBorders/>
            <w:shd w:fill="CCEEFF" w:val="clear"/>
            <w:vAlign w:val="center"/>
          </w:tcPr>
          <w:p>
            <w:pPr>
              <w:pStyle w:val="TableContents"/>
              <w:bidi w:val="0"/>
              <w:spacing w:before="0" w:after="283"/>
              <w:jc w:val="left"/>
              <w:rPr/>
            </w:pPr>
            <w:r>
              <w:rPr/>
              <w:t>Vesting of RSUs and PSUs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5" w:name="xdx_98B_eus-gaap--StockIssuedDuringPerio"/>
            <w:bookmarkEnd w:id="125"/>
          </w:p>
        </w:tc>
        <w:tc>
          <w:tcPr>
            <w:tcW w:w="1100" w:type="dxa"/>
            <w:tcBorders/>
            <w:shd w:fill="CCEEFF" w:val="clear"/>
            <w:vAlign w:val="center"/>
          </w:tcPr>
          <w:p>
            <w:pPr>
              <w:pStyle w:val="TableContents"/>
              <w:bidi w:val="0"/>
              <w:spacing w:before="0" w:after="283"/>
              <w:jc w:val="right"/>
              <w:rPr/>
            </w:pPr>
            <w:r>
              <w:rPr/>
              <w:t>332,517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6" w:name="xdx_40E_eus-gaap--StockIssuedDuringPerio"/>
            <w:bookmarkEnd w:id="126"/>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7" w:name="xdx_981_eus-gaap--StockIssuedDuringPerio"/>
            <w:bookmarkEnd w:id="127"/>
          </w:p>
        </w:tc>
        <w:tc>
          <w:tcPr>
            <w:tcW w:w="1100" w:type="dxa"/>
            <w:tcBorders/>
            <w:shd w:fill="FFFFFF" w:val="clear"/>
            <w:vAlign w:val="center"/>
          </w:tcPr>
          <w:p>
            <w:pPr>
              <w:pStyle w:val="TableContents"/>
              <w:bidi w:val="0"/>
              <w:spacing w:before="0" w:after="283"/>
              <w:jc w:val="right"/>
              <w:rPr/>
            </w:pPr>
            <w:r>
              <w:rPr/>
              <w:t>(108,480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(1,157,000</w:t>
            </w:r>
          </w:p>
        </w:tc>
        <w:tc>
          <w:tcPr>
            <w:tcW w:w="110" w:type="dxa"/>
            <w:tcBorders/>
            <w:shd w:fill="FFFFFF" w:val="clear"/>
            <w:vAlign w:val="center"/>
          </w:tcPr>
          <w:p>
            <w:pPr>
              <w:pStyle w:val="TableContents"/>
              <w:bidi w:val="0"/>
              <w:spacing w:before="0" w:after="283"/>
              <w:jc w:val="left"/>
              <w:rPr/>
            </w:pPr>
            <w:r>
              <w:rPr/>
              <w:t>)</w:t>
            </w:r>
            <w:bookmarkStart w:id="128" w:name="xdx_40E_eus-gaap--AdjustmentsToAdditiona"/>
            <w:bookmarkEnd w:id="128"/>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8,440,000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8,440,000</w:t>
            </w:r>
          </w:p>
        </w:tc>
        <w:tc>
          <w:tcPr>
            <w:tcW w:w="110" w:type="dxa"/>
            <w:tcBorders/>
            <w:shd w:fill="CCEEFF" w:val="clear"/>
            <w:vAlign w:val="center"/>
          </w:tcPr>
          <w:p>
            <w:pPr>
              <w:pStyle w:val="TableContents"/>
              <w:bidi w:val="0"/>
              <w:spacing w:before="0" w:after="283"/>
              <w:jc w:val="left"/>
              <w:rPr/>
            </w:pPr>
            <w:r>
              <w:rPr/>
              <w:t> </w:t>
            </w:r>
            <w:bookmarkStart w:id="129" w:name="xdx_40C_eus-gaap--NetIncomeLoss_zNvnLY5K"/>
            <w:bookmarkEnd w:id="129"/>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(20,038,000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(20,038,000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(20,038,000</w:t>
            </w:r>
          </w:p>
        </w:tc>
        <w:tc>
          <w:tcPr>
            <w:tcW w:w="110" w:type="dxa"/>
            <w:tcBorders/>
            <w:shd w:fill="FFFFFF" w:val="clear"/>
            <w:vAlign w:val="center"/>
          </w:tcPr>
          <w:p>
            <w:pPr>
              <w:pStyle w:val="TableContents"/>
              <w:bidi w:val="0"/>
              <w:spacing w:before="0" w:after="283"/>
              <w:jc w:val="left"/>
              <w:rPr/>
            </w:pPr>
            <w:r>
              <w:rPr/>
              <w:t>)</w:t>
            </w:r>
            <w:bookmarkStart w:id="130" w:name="xdx_43E_c20240101__20240630_eus-gaap--St"/>
            <w:bookmarkEnd w:id="130"/>
          </w:p>
        </w:tc>
      </w:tr>
      <w:tr>
        <w:trPr/>
        <w:tc>
          <w:tcPr>
            <w:tcW w:w="1340" w:type="dxa"/>
            <w:tcBorders/>
            <w:shd w:fill="CCEEFF" w:val="clear"/>
            <w:vAlign w:val="center"/>
          </w:tcPr>
          <w:p>
            <w:pPr>
              <w:pStyle w:val="TableContents"/>
              <w:bidi w:val="0"/>
              <w:spacing w:before="0" w:after="283"/>
              <w:jc w:val="left"/>
              <w:rPr/>
            </w:pPr>
            <w:r>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1" w:name="xdx_983_eus-gaap--SharesOutstanding_iE_c"/>
            <w:bookmarkEnd w:id="13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35,479,492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212,439,000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(153,942,000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58,532,000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58,177,000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2" w:name="xdx_43D_c20250101__20250630_eus-gaap--St"/>
            <w:bookmarkEnd w:id="132"/>
          </w:p>
        </w:tc>
      </w:tr>
      <w:tr>
        <w:trPr/>
        <w:tc>
          <w:tcPr>
            <w:tcW w:w="134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3_eus-gaap--SharesOutstanding_iS_c"/>
            <w:bookmarkEnd w:id="133"/>
          </w:p>
        </w:tc>
        <w:tc>
          <w:tcPr>
            <w:tcW w:w="1100" w:type="dxa"/>
            <w:tcBorders/>
            <w:shd w:fill="CCEEFF" w:val="clear"/>
            <w:vAlign w:val="center"/>
          </w:tcPr>
          <w:p>
            <w:pPr>
              <w:pStyle w:val="TableContents"/>
              <w:bidi w:val="0"/>
              <w:spacing w:before="0" w:after="283"/>
              <w:jc w:val="right"/>
              <w:rPr/>
            </w:pPr>
            <w:r>
              <w:rPr/>
              <w:t>35,622,214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221,002,000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(151,385,000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69,652,000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69,297,000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4" w:name="xdx_405_eus-gaap--StockIssuedDuringPerio"/>
            <w:bookmarkEnd w:id="134"/>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5" w:name="xdx_98D_eus-gaap--StockIssuedDuringPerio"/>
            <w:bookmarkEnd w:id="135"/>
          </w:p>
        </w:tc>
        <w:tc>
          <w:tcPr>
            <w:tcW w:w="1100" w:type="dxa"/>
            <w:tcBorders/>
            <w:shd w:fill="FFFFFF" w:val="clear"/>
            <w:vAlign w:val="center"/>
          </w:tcPr>
          <w:p>
            <w:pPr>
              <w:pStyle w:val="TableContents"/>
              <w:bidi w:val="0"/>
              <w:spacing w:before="0" w:after="283"/>
              <w:jc w:val="right"/>
              <w:rPr/>
            </w:pPr>
            <w:r>
              <w:rPr/>
              <w:t>10,618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125,000</w:t>
            </w:r>
          </w:p>
        </w:tc>
        <w:tc>
          <w:tcPr>
            <w:tcW w:w="110" w:type="dxa"/>
            <w:tcBorders/>
            <w:shd w:fill="FFFFFF" w:val="clear"/>
            <w:vAlign w:val="center"/>
          </w:tcPr>
          <w:p>
            <w:pPr>
              <w:pStyle w:val="TableContents"/>
              <w:bidi w:val="0"/>
              <w:spacing w:before="0" w:after="283"/>
              <w:jc w:val="left"/>
              <w:rPr/>
            </w:pPr>
            <w:r>
              <w:rPr/>
              <w:t> </w:t>
            </w:r>
            <w:bookmarkStart w:id="136" w:name="xdx_408_eus-gaap--StockIssuedDuringPerio"/>
            <w:bookmarkEnd w:id="136"/>
          </w:p>
        </w:tc>
      </w:tr>
      <w:tr>
        <w:trPr/>
        <w:tc>
          <w:tcPr>
            <w:tcW w:w="1340" w:type="dxa"/>
            <w:tcBorders/>
            <w:shd w:fill="CCEEFF" w:val="clear"/>
            <w:vAlign w:val="center"/>
          </w:tcPr>
          <w:p>
            <w:pPr>
              <w:pStyle w:val="TableContents"/>
              <w:bidi w:val="0"/>
              <w:spacing w:before="0" w:after="283"/>
              <w:jc w:val="left"/>
              <w:rPr/>
            </w:pPr>
            <w:r>
              <w:rPr/>
              <w:t>Vesting of RSUs and PSUs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7" w:name="xdx_98A_eus-gaap--StockIssuedDuringPerio"/>
            <w:bookmarkEnd w:id="137"/>
          </w:p>
        </w:tc>
        <w:tc>
          <w:tcPr>
            <w:tcW w:w="1100" w:type="dxa"/>
            <w:tcBorders/>
            <w:shd w:fill="CCEEFF" w:val="clear"/>
            <w:vAlign w:val="center"/>
          </w:tcPr>
          <w:p>
            <w:pPr>
              <w:pStyle w:val="TableContents"/>
              <w:bidi w:val="0"/>
              <w:spacing w:before="0" w:after="283"/>
              <w:jc w:val="right"/>
              <w:rPr/>
            </w:pPr>
            <w:r>
              <w:rPr/>
              <w:t>1,634,009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8" w:name="xdx_40C_eus-gaap--StockIssuedDuringPerio"/>
            <w:bookmarkEnd w:id="138"/>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9" w:name="xdx_98E_eus-gaap--StockIssuedDuringPerio"/>
            <w:bookmarkEnd w:id="139"/>
          </w:p>
        </w:tc>
        <w:tc>
          <w:tcPr>
            <w:tcW w:w="1100" w:type="dxa"/>
            <w:tcBorders/>
            <w:shd w:fill="FFFFFF" w:val="clear"/>
            <w:vAlign w:val="center"/>
          </w:tcPr>
          <w:p>
            <w:pPr>
              <w:pStyle w:val="TableContents"/>
              <w:bidi w:val="0"/>
              <w:spacing w:before="0" w:after="283"/>
              <w:jc w:val="right"/>
              <w:rPr/>
            </w:pPr>
            <w:r>
              <w:rPr/>
              <w:t>(552,162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(12,768,000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(12,769,000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(12,769,000</w:t>
            </w:r>
          </w:p>
        </w:tc>
        <w:tc>
          <w:tcPr>
            <w:tcW w:w="110" w:type="dxa"/>
            <w:tcBorders/>
            <w:shd w:fill="FFFFFF" w:val="clear"/>
            <w:vAlign w:val="center"/>
          </w:tcPr>
          <w:p>
            <w:pPr>
              <w:pStyle w:val="TableContents"/>
              <w:bidi w:val="0"/>
              <w:spacing w:before="0" w:after="283"/>
              <w:jc w:val="left"/>
              <w:rPr/>
            </w:pPr>
            <w:r>
              <w:rPr/>
              <w:t>)</w:t>
            </w:r>
            <w:bookmarkStart w:id="140" w:name="xdx_40E_eus-gaap--AdjustmentsToAdditiona"/>
            <w:bookmarkEnd w:id="140"/>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5,431,000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5,431,000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5,431,000</w:t>
            </w:r>
          </w:p>
        </w:tc>
        <w:tc>
          <w:tcPr>
            <w:tcW w:w="110" w:type="dxa"/>
            <w:tcBorders/>
            <w:shd w:fill="CCEEFF" w:val="clear"/>
            <w:vAlign w:val="center"/>
          </w:tcPr>
          <w:p>
            <w:pPr>
              <w:pStyle w:val="TableContents"/>
              <w:bidi w:val="0"/>
              <w:spacing w:before="0" w:after="283"/>
              <w:jc w:val="left"/>
              <w:rPr/>
            </w:pPr>
            <w:r>
              <w:rPr/>
              <w:t> </w:t>
            </w:r>
            <w:bookmarkStart w:id="141" w:name="xdx_40C_eus-gaap--NetIncomeLoss_zShLvxRL"/>
            <w:bookmarkEnd w:id="141"/>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(12,785,000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(12,785,000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(12,785,000</w:t>
            </w:r>
          </w:p>
        </w:tc>
        <w:tc>
          <w:tcPr>
            <w:tcW w:w="110" w:type="dxa"/>
            <w:tcBorders/>
            <w:shd w:fill="FFFFFF" w:val="clear"/>
            <w:vAlign w:val="center"/>
          </w:tcPr>
          <w:p>
            <w:pPr>
              <w:pStyle w:val="TableContents"/>
              <w:bidi w:val="0"/>
              <w:spacing w:before="0" w:after="283"/>
              <w:jc w:val="left"/>
              <w:rPr/>
            </w:pPr>
            <w:r>
              <w:rPr/>
              <w:t>)</w:t>
            </w:r>
            <w:bookmarkStart w:id="142" w:name="xdx_437_c20250101__20250630_eus-gaap--St"/>
            <w:bookmarkEnd w:id="142"/>
          </w:p>
        </w:tc>
      </w:tr>
      <w:tr>
        <w:trPr/>
        <w:tc>
          <w:tcPr>
            <w:tcW w:w="1340" w:type="dxa"/>
            <w:tcBorders/>
            <w:shd w:fill="CCEEFF" w:val="clear"/>
            <w:vAlign w:val="center"/>
          </w:tcPr>
          <w:p>
            <w:pPr>
              <w:pStyle w:val="TableContents"/>
              <w:bidi w:val="0"/>
              <w:spacing w:before="0" w:after="283"/>
              <w:jc w:val="left"/>
              <w:rPr/>
            </w:pPr>
            <w:r>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3" w:name="xdx_98F_eus-gaap--SharesOutstanding_iE_c"/>
            <w:bookmarkEnd w:id="14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36,714,679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213,788,000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(164,170,000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49,654,000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49,299,000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tbl>
      <w:tblPr>
        <w:tblW w:w="11575"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95"/>
        <w:gridCol w:w="60"/>
        <w:gridCol w:w="140"/>
        <w:gridCol w:w="1220"/>
        <w:gridCol w:w="95"/>
        <w:gridCol w:w="60"/>
        <w:gridCol w:w="140"/>
        <w:gridCol w:w="1295"/>
        <w:gridCol w:w="95"/>
        <w:gridCol w:w="60"/>
        <w:gridCol w:w="140"/>
        <w:gridCol w:w="1340"/>
        <w:gridCol w:w="95"/>
        <w:gridCol w:w="60"/>
        <w:gridCol w:w="201"/>
        <w:gridCol w:w="1259"/>
        <w:gridCol w:w="95"/>
        <w:gridCol w:w="60"/>
        <w:gridCol w:w="140"/>
        <w:gridCol w:w="128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35"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0" w:type="dxa"/>
            <w:gridSpan w:val="2"/>
            <w:tcBorders/>
            <w:vAlign w:val="center"/>
          </w:tcPr>
          <w:p>
            <w:pPr>
              <w:pStyle w:val="TableContents"/>
              <w:bidi w:val="0"/>
              <w:spacing w:before="0" w:after="283"/>
              <w:jc w:val="center"/>
              <w:rPr/>
            </w:pPr>
            <w:r>
              <w:rPr/>
              <w:t>Harrow, 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Par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0" w:type="dxa"/>
            <w:gridSpan w:val="2"/>
            <w:tcBorders/>
            <w:vAlign w:val="center"/>
          </w:tcPr>
          <w:p>
            <w:pPr>
              <w:pStyle w:val="TableContents"/>
              <w:bidi w:val="0"/>
              <w:spacing w:before="0" w:after="283"/>
              <w:jc w:val="center"/>
              <w:rPr/>
            </w:pPr>
            <w:r>
              <w:rPr/>
              <w:t>Stockholders’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Value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center"/>
              <w:rPr/>
            </w:pPr>
            <w:r>
              <w:rPr/>
              <w:t> </w:t>
            </w:r>
            <w:bookmarkStart w:id="144" w:name="xdx_43E_c20240401__20240630_eus-gaap--St"/>
            <w:bookmarkEnd w:id="144"/>
          </w:p>
        </w:tc>
      </w:tr>
      <w:tr>
        <w:trPr/>
        <w:tc>
          <w:tcPr>
            <w:tcW w:w="1340" w:type="dxa"/>
            <w:tcBorders/>
            <w:shd w:fill="CCEEFF" w:val="clear"/>
            <w:vAlign w:val="center"/>
          </w:tcPr>
          <w:p>
            <w:pPr>
              <w:pStyle w:val="TableContents"/>
              <w:bidi w:val="0"/>
              <w:spacing w:before="0" w:after="283"/>
              <w:jc w:val="left"/>
              <w:rPr/>
            </w:pPr>
            <w:r>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9_eus-gaap--SharesOutstanding_iS_c"/>
            <w:bookmarkEnd w:id="145"/>
          </w:p>
        </w:tc>
        <w:tc>
          <w:tcPr>
            <w:tcW w:w="1100" w:type="dxa"/>
            <w:tcBorders/>
            <w:shd w:fill="CCEEFF" w:val="clear"/>
            <w:vAlign w:val="center"/>
          </w:tcPr>
          <w:p>
            <w:pPr>
              <w:pStyle w:val="TableContents"/>
              <w:bidi w:val="0"/>
              <w:spacing w:before="0" w:after="283"/>
              <w:jc w:val="right"/>
              <w:rPr/>
            </w:pPr>
            <w:r>
              <w:rPr/>
              <w:t>35,380,955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207,995,000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(147,469,000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60,561,000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   </w:t>
            </w:r>
            <w:r>
              <w:rPr/>
              <w:t>60,206,000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 w:name="xdx_405_eus-gaap--StockIssuedDuringPerio"/>
            <w:bookmarkEnd w:id="146"/>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7" w:name="xdx_987_eus-gaap--StockIssuedDuringPerio"/>
            <w:bookmarkEnd w:id="147"/>
          </w:p>
        </w:tc>
        <w:tc>
          <w:tcPr>
            <w:tcW w:w="1100" w:type="dxa"/>
            <w:tcBorders/>
            <w:shd w:fill="FFFFFF" w:val="clear"/>
            <w:vAlign w:val="center"/>
          </w:tcPr>
          <w:p>
            <w:pPr>
              <w:pStyle w:val="TableContents"/>
              <w:bidi w:val="0"/>
              <w:spacing w:before="0" w:after="283"/>
              <w:jc w:val="right"/>
              <w:rPr/>
            </w:pPr>
            <w:r>
              <w:rPr/>
              <w:t>41,020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173,000</w:t>
            </w:r>
          </w:p>
        </w:tc>
        <w:tc>
          <w:tcPr>
            <w:tcW w:w="110" w:type="dxa"/>
            <w:tcBorders/>
            <w:shd w:fill="FFFFFF" w:val="clear"/>
            <w:vAlign w:val="center"/>
          </w:tcPr>
          <w:p>
            <w:pPr>
              <w:pStyle w:val="TableContents"/>
              <w:bidi w:val="0"/>
              <w:spacing w:before="0" w:after="283"/>
              <w:jc w:val="left"/>
              <w:rPr/>
            </w:pPr>
            <w:r>
              <w:rPr/>
              <w:t> </w:t>
            </w:r>
            <w:bookmarkStart w:id="148" w:name="xdx_408_eus-gaap--StockIssuedDuringPerio"/>
            <w:bookmarkEnd w:id="148"/>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F_eus-gaap--StockIssuedDuringPerio"/>
            <w:bookmarkEnd w:id="149"/>
          </w:p>
        </w:tc>
        <w:tc>
          <w:tcPr>
            <w:tcW w:w="1100" w:type="dxa"/>
            <w:tcBorders/>
            <w:shd w:fill="CCEEFF" w:val="clear"/>
            <w:vAlign w:val="center"/>
          </w:tcPr>
          <w:p>
            <w:pPr>
              <w:pStyle w:val="TableContents"/>
              <w:bidi w:val="0"/>
              <w:spacing w:before="0" w:after="283"/>
              <w:jc w:val="right"/>
              <w:rPr/>
            </w:pPr>
            <w:r>
              <w:rPr/>
              <w:t>57,517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0" w:name="xdx_409_eus-gaap--AdjustmentsToAdditiona"/>
            <w:bookmarkEnd w:id="150"/>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4,271,000</w:t>
            </w:r>
          </w:p>
        </w:tc>
        <w:tc>
          <w:tcPr>
            <w:tcW w:w="110" w:type="dxa"/>
            <w:tcBorders/>
            <w:shd w:fill="FFFFFF" w:val="clear"/>
            <w:vAlign w:val="center"/>
          </w:tcPr>
          <w:p>
            <w:pPr>
              <w:pStyle w:val="TableContents"/>
              <w:bidi w:val="0"/>
              <w:spacing w:before="0" w:after="283"/>
              <w:jc w:val="left"/>
              <w:rPr/>
            </w:pPr>
            <w:r>
              <w:rPr/>
              <w:t> </w:t>
            </w:r>
            <w:bookmarkStart w:id="151" w:name="xdx_401_eus-gaap--NetIncomeLoss_zBxNKIpZ"/>
            <w:bookmarkEnd w:id="151"/>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(6,473,000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(6,473,000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(6,473,000</w:t>
            </w:r>
          </w:p>
        </w:tc>
        <w:tc>
          <w:tcPr>
            <w:tcW w:w="110" w:type="dxa"/>
            <w:tcBorders/>
            <w:shd w:fill="CCEEFF" w:val="clear"/>
            <w:vAlign w:val="center"/>
          </w:tcPr>
          <w:p>
            <w:pPr>
              <w:pStyle w:val="TableContents"/>
              <w:bidi w:val="0"/>
              <w:spacing w:before="0" w:after="283"/>
              <w:jc w:val="left"/>
              <w:rPr/>
            </w:pPr>
            <w:r>
              <w:rPr/>
              <w:t>)</w:t>
            </w:r>
            <w:bookmarkStart w:id="152" w:name="xdx_43C_c20240401__20240630_eus-gaap--St"/>
            <w:bookmarkEnd w:id="152"/>
          </w:p>
        </w:tc>
      </w:tr>
      <w:tr>
        <w:trPr/>
        <w:tc>
          <w:tcPr>
            <w:tcW w:w="1340" w:type="dxa"/>
            <w:tcBorders/>
            <w:shd w:fill="FFFFFF" w:val="clear"/>
            <w:vAlign w:val="center"/>
          </w:tcPr>
          <w:p>
            <w:pPr>
              <w:pStyle w:val="TableContents"/>
              <w:bidi w:val="0"/>
              <w:spacing w:before="0" w:after="283"/>
              <w:jc w:val="left"/>
              <w:rPr/>
            </w:pPr>
            <w:r>
              <w:rPr/>
              <w:t>Balance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 w:name="xdx_982_eus-gaap--SharesOutstanding_iE_c"/>
            <w:bookmarkEnd w:id="15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35,479,492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212,439,000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(153,942,000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58,532,000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pPr>
            <w:r>
              <w:rPr/>
              <w:t>58,177,000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4" w:name="xdx_43D_c20250401__20250630_eus-gaap--St"/>
            <w:bookmarkEnd w:id="154"/>
          </w:p>
        </w:tc>
      </w:tr>
      <w:tr>
        <w:trPr/>
        <w:tc>
          <w:tcPr>
            <w:tcW w:w="1340" w:type="dxa"/>
            <w:tcBorders/>
            <w:shd w:fill="FFFFFF" w:val="clear"/>
            <w:vAlign w:val="center"/>
          </w:tcPr>
          <w:p>
            <w:pPr>
              <w:pStyle w:val="TableContents"/>
              <w:bidi w:val="0"/>
              <w:spacing w:before="0" w:after="283"/>
              <w:jc w:val="left"/>
              <w:rPr/>
            </w:pPr>
            <w:r>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5_eus-gaap--SharesOutstanding_iS_c"/>
            <w:bookmarkEnd w:id="155"/>
          </w:p>
        </w:tc>
        <w:tc>
          <w:tcPr>
            <w:tcW w:w="1100" w:type="dxa"/>
            <w:tcBorders/>
            <w:shd w:fill="FFFFFF" w:val="clear"/>
            <w:vAlign w:val="center"/>
          </w:tcPr>
          <w:p>
            <w:pPr>
              <w:pStyle w:val="TableContents"/>
              <w:bidi w:val="0"/>
              <w:spacing w:before="0" w:after="283"/>
              <w:jc w:val="right"/>
              <w:rPr/>
            </w:pPr>
            <w:r>
              <w:rPr/>
              <w:t>35,654,171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225,581,000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(169,165,000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56,451,000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259"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56,096,000</w:t>
            </w:r>
          </w:p>
        </w:tc>
        <w:tc>
          <w:tcPr>
            <w:tcW w:w="110" w:type="dxa"/>
            <w:tcBorders/>
            <w:shd w:fill="FFFFFF" w:val="clear"/>
            <w:vAlign w:val="center"/>
          </w:tcPr>
          <w:p>
            <w:pPr>
              <w:pStyle w:val="TableContents"/>
              <w:bidi w:val="0"/>
              <w:spacing w:before="0" w:after="283"/>
              <w:jc w:val="left"/>
              <w:rPr/>
            </w:pPr>
            <w:r>
              <w:rPr/>
              <w:t> </w:t>
            </w:r>
            <w:bookmarkStart w:id="156" w:name="xdx_43D_c20250401__20250630_eus-gaap--St"/>
            <w:bookmarkEnd w:id="156"/>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7" w:name="xdx_980_eus-gaap--SharesOutstanding_iS_c"/>
            <w:bookmarkEnd w:id="157"/>
          </w:p>
        </w:tc>
        <w:tc>
          <w:tcPr>
            <w:tcW w:w="1100" w:type="dxa"/>
            <w:tcBorders/>
            <w:shd w:fill="FFFFFF" w:val="clear"/>
            <w:vAlign w:val="center"/>
          </w:tcPr>
          <w:p>
            <w:pPr>
              <w:pStyle w:val="TableContents"/>
              <w:bidi w:val="0"/>
              <w:spacing w:before="0" w:after="283"/>
              <w:jc w:val="right"/>
              <w:rPr/>
            </w:pPr>
            <w:r>
              <w:rPr/>
              <w:t>35,654,171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225,581,000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(169,165,000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56,451,000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259"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56,096,000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Issuance of common stock in connection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 w:name="xdx_405_eus-gaap--StockIssuedDuringPerio"/>
            <w:bookmarkEnd w:id="158"/>
          </w:p>
        </w:tc>
      </w:tr>
      <w:tr>
        <w:trPr/>
        <w:tc>
          <w:tcPr>
            <w:tcW w:w="1340" w:type="dxa"/>
            <w:tcBorders/>
            <w:shd w:fill="CCEEFF" w:val="clear"/>
            <w:vAlign w:val="center"/>
          </w:tcPr>
          <w:p>
            <w:pPr>
              <w:pStyle w:val="TableContents"/>
              <w:bidi w:val="0"/>
              <w:spacing w:before="0" w:after="283"/>
              <w:jc w:val="left"/>
              <w:rPr/>
            </w:pPr>
            <w:r>
              <w:rPr/>
              <w:t>Exercise of employee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9_eus-gaap--StockIssuedDuringPerio"/>
            <w:bookmarkEnd w:id="159"/>
          </w:p>
        </w:tc>
        <w:tc>
          <w:tcPr>
            <w:tcW w:w="1100" w:type="dxa"/>
            <w:tcBorders/>
            <w:shd w:fill="CCEEFF" w:val="clear"/>
            <w:vAlign w:val="center"/>
          </w:tcPr>
          <w:p>
            <w:pPr>
              <w:pStyle w:val="TableContents"/>
              <w:bidi w:val="0"/>
              <w:spacing w:before="0" w:after="283"/>
              <w:jc w:val="right"/>
              <w:rPr/>
            </w:pPr>
            <w:r>
              <w:rPr/>
              <w:t>7,875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102,000</w:t>
            </w:r>
          </w:p>
        </w:tc>
        <w:tc>
          <w:tcPr>
            <w:tcW w:w="110" w:type="dxa"/>
            <w:tcBorders/>
            <w:shd w:fill="CCEEFF" w:val="clear"/>
            <w:vAlign w:val="center"/>
          </w:tcPr>
          <w:p>
            <w:pPr>
              <w:pStyle w:val="TableContents"/>
              <w:bidi w:val="0"/>
              <w:spacing w:before="0" w:after="283"/>
              <w:jc w:val="left"/>
              <w:rPr/>
            </w:pPr>
            <w:r>
              <w:rPr/>
              <w:t> </w:t>
            </w:r>
            <w:bookmarkStart w:id="160" w:name="xdx_408_eus-gaap--StockIssuedDuringPerio"/>
            <w:bookmarkEnd w:id="160"/>
          </w:p>
        </w:tc>
      </w:tr>
      <w:tr>
        <w:trPr/>
        <w:tc>
          <w:tcPr>
            <w:tcW w:w="1340" w:type="dxa"/>
            <w:tcBorders/>
            <w:shd w:fill="FFFFFF" w:val="clear"/>
            <w:vAlign w:val="center"/>
          </w:tcPr>
          <w:p>
            <w:pPr>
              <w:pStyle w:val="TableContents"/>
              <w:bidi w:val="0"/>
              <w:spacing w:before="0" w:after="283"/>
              <w:jc w:val="left"/>
              <w:rPr/>
            </w:pPr>
            <w:r>
              <w:rPr/>
              <w:t>Vesting of RSUs and PSUs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 w:name="xdx_98F_eus-gaap--StockIssuedDuringPerio"/>
            <w:bookmarkEnd w:id="161"/>
          </w:p>
        </w:tc>
        <w:tc>
          <w:tcPr>
            <w:tcW w:w="1100" w:type="dxa"/>
            <w:tcBorders/>
            <w:shd w:fill="FFFFFF" w:val="clear"/>
            <w:vAlign w:val="center"/>
          </w:tcPr>
          <w:p>
            <w:pPr>
              <w:pStyle w:val="TableContents"/>
              <w:bidi w:val="0"/>
              <w:spacing w:before="0" w:after="283"/>
              <w:jc w:val="right"/>
              <w:rPr/>
            </w:pPr>
            <w:r>
              <w:rPr/>
              <w:t>1,604,795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2" w:name="xdx_40E_eus-gaap--StockIssuedDuringPerio"/>
            <w:bookmarkEnd w:id="162"/>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 w:name="xdx_985_eus-gaap--StockIssuedDuringPerio"/>
            <w:bookmarkEnd w:id="163"/>
          </w:p>
        </w:tc>
        <w:tc>
          <w:tcPr>
            <w:tcW w:w="1100" w:type="dxa"/>
            <w:tcBorders/>
            <w:shd w:fill="CCEEFF" w:val="clear"/>
            <w:vAlign w:val="center"/>
          </w:tcPr>
          <w:p>
            <w:pPr>
              <w:pStyle w:val="TableContents"/>
              <w:bidi w:val="0"/>
              <w:spacing w:before="0" w:after="283"/>
              <w:jc w:val="right"/>
              <w:rPr/>
            </w:pPr>
            <w:r>
              <w:rPr/>
              <w:t>(552,162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(12,768,000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(12,769,000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(12,769,000</w:t>
            </w:r>
          </w:p>
        </w:tc>
        <w:tc>
          <w:tcPr>
            <w:tcW w:w="110" w:type="dxa"/>
            <w:tcBorders/>
            <w:shd w:fill="CCEEFF" w:val="clear"/>
            <w:vAlign w:val="center"/>
          </w:tcPr>
          <w:p>
            <w:pPr>
              <w:pStyle w:val="TableContents"/>
              <w:bidi w:val="0"/>
              <w:spacing w:before="0" w:after="283"/>
              <w:jc w:val="left"/>
              <w:rPr/>
            </w:pPr>
            <w:r>
              <w:rPr/>
              <w:t>)</w:t>
            </w:r>
            <w:bookmarkStart w:id="164" w:name="xdx_40E_eus-gaap--AdjustmentsToAdditiona"/>
            <w:bookmarkEnd w:id="164"/>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875,000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875,000</w:t>
            </w:r>
          </w:p>
        </w:tc>
        <w:tc>
          <w:tcPr>
            <w:tcW w:w="110" w:type="dxa"/>
            <w:tcBorders/>
            <w:shd w:fill="FFFFFF" w:val="clear"/>
            <w:vAlign w:val="center"/>
          </w:tcPr>
          <w:p>
            <w:pPr>
              <w:pStyle w:val="TableContents"/>
              <w:bidi w:val="0"/>
              <w:spacing w:before="0" w:after="283"/>
              <w:jc w:val="left"/>
              <w:rPr/>
            </w:pPr>
            <w:r>
              <w:rPr/>
              <w:t> </w:t>
            </w:r>
            <w:bookmarkStart w:id="165" w:name="xdx_40C_eus-gaap--NetIncomeLoss_zUydSrtW"/>
            <w:bookmarkEnd w:id="165"/>
          </w:p>
        </w:tc>
      </w:tr>
      <w:tr>
        <w:trPr/>
        <w:tc>
          <w:tcPr>
            <w:tcW w:w="13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4,995,000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4,995,000</w:t>
            </w:r>
          </w:p>
        </w:tc>
        <w:tc>
          <w:tcPr>
            <w:tcW w:w="110" w:type="dxa"/>
            <w:tcBorders/>
            <w:shd w:fill="CCEEFF" w:val="clear"/>
            <w:vAlign w:val="center"/>
          </w:tcPr>
          <w:p>
            <w:pPr>
              <w:pStyle w:val="TableContents"/>
              <w:bidi w:val="0"/>
              <w:spacing w:before="0" w:after="283"/>
              <w:jc w:val="left"/>
              <w:rPr/>
            </w:pPr>
            <w:r>
              <w:rPr/>
              <w:t> </w:t>
            </w:r>
            <w:bookmarkStart w:id="166" w:name="xdx_403_eus-gaap--NetIncomeLoss_z9JniZyb"/>
            <w:bookmarkEnd w:id="166"/>
          </w:p>
        </w:tc>
      </w:tr>
      <w:tr>
        <w:trPr/>
        <w:tc>
          <w:tcPr>
            <w:tcW w:w="13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shd w:fill="CCEEFF" w:val="clear"/>
            <w:tcMar>
              <w:bottom w:w="28" w:type="dxa"/>
            </w:tcMar>
            <w:vAlign w:val="center"/>
          </w:tcPr>
          <w:p>
            <w:pPr>
              <w:pStyle w:val="TableContents"/>
              <w:bidi w:val="0"/>
              <w:spacing w:before="0" w:after="283"/>
              <w:jc w:val="right"/>
              <w:rPr/>
            </w:pPr>
            <w:r>
              <w:rPr/>
              <w:t>4,995,000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4,995,000</w:t>
            </w:r>
          </w:p>
        </w:tc>
        <w:tc>
          <w:tcPr>
            <w:tcW w:w="110" w:type="dxa"/>
            <w:tcBorders/>
            <w:shd w:fill="CCEEFF" w:val="clear"/>
            <w:vAlign w:val="center"/>
          </w:tcPr>
          <w:p>
            <w:pPr>
              <w:pStyle w:val="TableContents"/>
              <w:bidi w:val="0"/>
              <w:spacing w:before="0" w:after="283"/>
              <w:jc w:val="left"/>
              <w:rPr/>
            </w:pPr>
            <w:r>
              <w:rPr/>
              <w:t> </w:t>
            </w:r>
            <w:bookmarkStart w:id="167" w:name="xdx_432_c20250401__20250630_eus-gaap--St"/>
            <w:bookmarkEnd w:id="167"/>
          </w:p>
        </w:tc>
      </w:tr>
      <w:tr>
        <w:trPr/>
        <w:tc>
          <w:tcPr>
            <w:tcW w:w="1340"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8" w:name="xdx_985_eus-gaap--SharesOutstanding_iE_c"/>
            <w:bookmarkEnd w:id="16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36,714,679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213,788,000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(164,170,000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49,654,000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pPr>
            <w:r>
              <w:rPr/>
              <w:t>49,299,000</w:t>
            </w:r>
          </w:p>
        </w:tc>
        <w:tc>
          <w:tcPr>
            <w:tcW w:w="110" w:type="dxa"/>
            <w:tcBorders/>
            <w:shd w:fill="FFFFFF" w:val="clear"/>
            <w:vAlign w:val="center"/>
          </w:tcPr>
          <w:p>
            <w:pPr>
              <w:pStyle w:val="TableContents"/>
              <w:bidi w:val="0"/>
              <w:spacing w:before="0" w:after="283"/>
              <w:jc w:val="left"/>
              <w:rPr/>
            </w:pPr>
            <w:r>
              <w:rPr/>
              <w:t> </w:t>
            </w:r>
            <w:bookmarkStart w:id="169" w:name="xdx_430_c20250401__20250630_eus-gaap--St"/>
            <w:bookmarkEnd w:id="169"/>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 w:name="xdx_98E_eus-gaap--SharesOutstanding_iE_c"/>
            <w:bookmarkEnd w:id="17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36,714,679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213,788,000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(164,170,000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49,654,000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pPr>
            <w:r>
              <w:rPr/>
              <w:t>49,299,000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1" w:name="xdx_302_112_zXOwwv0qSBth"/>
      <w:bookmarkStart w:id="172" w:name="xdx_302_112_zXOwwv0qSBth"/>
      <w:bookmarkEnd w:id="172"/>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73" w:name="xdx_49A_20250101__20250630_zlGsQqPoERp9"/>
            <w:bookmarkEnd w:id="173"/>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9B_20240101__20240630_zlgNpsYZxqaf"/>
            <w:bookmarkEnd w:id="174"/>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pPr>
            <w:r>
              <w:rPr/>
              <w:t>For the Six Months Ended</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bookmarkStart w:id="175" w:name="xdx_400_eus-gaap--NetCashProvidedByUsedI"/>
            <w:bookmarkEnd w:id="175"/>
          </w:p>
        </w:tc>
      </w:tr>
      <w:tr>
        <w:trPr/>
        <w:tc>
          <w:tcPr>
            <w:tcW w:w="7250" w:type="dxa"/>
            <w:tcBorders/>
            <w:shd w:fill="CCEEFF" w:val="clear"/>
            <w:vAlign w:val="center"/>
          </w:tcPr>
          <w:p>
            <w:pPr>
              <w:pStyle w:val="TableContents"/>
              <w:bidi w:val="0"/>
              <w:spacing w:before="0" w:after="283"/>
              <w:jc w:val="both"/>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6" w:name="xdx_40E_eus-gaap--NetIncomeLoss_i01_pp0p"/>
            <w:bookmarkEnd w:id="176"/>
          </w:p>
        </w:tc>
      </w:tr>
      <w:tr>
        <w:trPr/>
        <w:tc>
          <w:tcPr>
            <w:tcW w:w="7250"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(12,785,000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(20,038,000</w:t>
            </w:r>
          </w:p>
        </w:tc>
        <w:tc>
          <w:tcPr>
            <w:tcW w:w="110" w:type="dxa"/>
            <w:tcBorders/>
            <w:shd w:fill="FFFFFF" w:val="clear"/>
            <w:vAlign w:val="center"/>
          </w:tcPr>
          <w:p>
            <w:pPr>
              <w:pStyle w:val="TableContents"/>
              <w:bidi w:val="0"/>
              <w:spacing w:before="0" w:after="283"/>
              <w:jc w:val="left"/>
              <w:rPr/>
            </w:pPr>
            <w:r>
              <w:rPr/>
              <w:t>)</w:t>
            </w:r>
            <w:bookmarkStart w:id="177" w:name="xdx_403_eus-gaap--AdjustmentsToReconcile"/>
            <w:bookmarkEnd w:id="177"/>
          </w:p>
        </w:tc>
      </w:tr>
      <w:tr>
        <w:trPr/>
        <w:tc>
          <w:tcPr>
            <w:tcW w:w="7250" w:type="dxa"/>
            <w:tcBorders/>
            <w:shd w:fill="CCEEFF" w:val="clear"/>
            <w:vAlign w:val="center"/>
          </w:tcPr>
          <w:p>
            <w:pPr>
              <w:pStyle w:val="TableContents"/>
              <w:bidi w:val="0"/>
              <w:spacing w:before="0" w:after="283"/>
              <w:jc w:val="both"/>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8" w:name="xdx_40E_eus-gaap--DepreciationAndAmortiz"/>
            <w:bookmarkEnd w:id="178"/>
          </w:p>
        </w:tc>
      </w:tr>
      <w:tr>
        <w:trPr/>
        <w:tc>
          <w:tcPr>
            <w:tcW w:w="7250" w:type="dxa"/>
            <w:tcBorders/>
            <w:shd w:fill="FFFFFF" w:val="clear"/>
            <w:vAlign w:val="center"/>
          </w:tcPr>
          <w:p>
            <w:pPr>
              <w:pStyle w:val="TableContents"/>
              <w:bidi w:val="0"/>
              <w:spacing w:before="0" w:after="283"/>
              <w:jc w:val="both"/>
              <w:rPr/>
            </w:pPr>
            <w:r>
              <w:rPr/>
              <w:t>Depreciation and amortization of property, plant and equipment and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885,000</w:t>
            </w:r>
          </w:p>
        </w:tc>
        <w:tc>
          <w:tcPr>
            <w:tcW w:w="110" w:type="dxa"/>
            <w:tcBorders/>
            <w:shd w:fill="FFFFFF" w:val="clear"/>
            <w:vAlign w:val="center"/>
          </w:tcPr>
          <w:p>
            <w:pPr>
              <w:pStyle w:val="TableContents"/>
              <w:bidi w:val="0"/>
              <w:spacing w:before="0" w:after="283"/>
              <w:jc w:val="left"/>
              <w:rPr/>
            </w:pPr>
            <w:r>
              <w:rPr/>
              <w:t> </w:t>
            </w:r>
            <w:bookmarkStart w:id="179" w:name="xdx_402_eus-gaap--AmortizationOfIntangib"/>
            <w:bookmarkEnd w:id="179"/>
          </w:p>
        </w:tc>
      </w:tr>
      <w:tr>
        <w:trPr/>
        <w:tc>
          <w:tcPr>
            <w:tcW w:w="7250" w:type="dxa"/>
            <w:tcBorders/>
            <w:shd w:fill="CCEEFF" w:val="clear"/>
            <w:vAlign w:val="center"/>
          </w:tcPr>
          <w:p>
            <w:pPr>
              <w:pStyle w:val="TableContents"/>
              <w:bidi w:val="0"/>
              <w:spacing w:before="0" w:after="283"/>
              <w:jc w:val="both"/>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5,103,000</w:t>
            </w:r>
          </w:p>
        </w:tc>
        <w:tc>
          <w:tcPr>
            <w:tcW w:w="110" w:type="dxa"/>
            <w:tcBorders/>
            <w:shd w:fill="CCEEFF" w:val="clear"/>
            <w:vAlign w:val="center"/>
          </w:tcPr>
          <w:p>
            <w:pPr>
              <w:pStyle w:val="TableContents"/>
              <w:bidi w:val="0"/>
              <w:spacing w:before="0" w:after="283"/>
              <w:jc w:val="left"/>
              <w:rPr/>
            </w:pPr>
            <w:r>
              <w:rPr/>
              <w:t> </w:t>
            </w:r>
            <w:bookmarkStart w:id="180" w:name="xdx_400_eus-gaap--OperatingLeaseRightOfU"/>
            <w:bookmarkEnd w:id="180"/>
          </w:p>
        </w:tc>
      </w:tr>
      <w:tr>
        <w:trPr/>
        <w:tc>
          <w:tcPr>
            <w:tcW w:w="7250" w:type="dxa"/>
            <w:tcBorders/>
            <w:shd w:fill="FFFFFF" w:val="clear"/>
            <w:vAlign w:val="center"/>
          </w:tcPr>
          <w:p>
            <w:pPr>
              <w:pStyle w:val="TableContents"/>
              <w:bidi w:val="0"/>
              <w:spacing w:before="0" w:after="283"/>
              <w:jc w:val="both"/>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392,000</w:t>
            </w:r>
          </w:p>
        </w:tc>
        <w:tc>
          <w:tcPr>
            <w:tcW w:w="110" w:type="dxa"/>
            <w:tcBorders/>
            <w:shd w:fill="FFFFFF" w:val="clear"/>
            <w:vAlign w:val="center"/>
          </w:tcPr>
          <w:p>
            <w:pPr>
              <w:pStyle w:val="TableContents"/>
              <w:bidi w:val="0"/>
              <w:spacing w:before="0" w:after="283"/>
              <w:jc w:val="left"/>
              <w:rPr/>
            </w:pPr>
            <w:r>
              <w:rPr/>
              <w:t> </w:t>
            </w:r>
            <w:bookmarkStart w:id="181" w:name="xdx_400_eus-gaap--ProvisionForDoubtfulAc"/>
            <w:bookmarkEnd w:id="181"/>
          </w:p>
        </w:tc>
      </w:tr>
      <w:tr>
        <w:trPr/>
        <w:tc>
          <w:tcPr>
            <w:tcW w:w="7250" w:type="dxa"/>
            <w:tcBorders/>
            <w:shd w:fill="CCEEFF" w:val="clear"/>
            <w:vAlign w:val="center"/>
          </w:tcPr>
          <w:p>
            <w:pPr>
              <w:pStyle w:val="TableContents"/>
              <w:bidi w:val="0"/>
              <w:spacing w:before="0" w:after="283"/>
              <w:jc w:val="both"/>
              <w:rPr/>
            </w:pPr>
            <w:r>
              <w:rPr/>
              <w:t>Provision for (recovery of)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(96,000</w:t>
            </w:r>
          </w:p>
        </w:tc>
        <w:tc>
          <w:tcPr>
            <w:tcW w:w="110" w:type="dxa"/>
            <w:tcBorders/>
            <w:shd w:fill="CCEEFF" w:val="clear"/>
            <w:vAlign w:val="center"/>
          </w:tcPr>
          <w:p>
            <w:pPr>
              <w:pStyle w:val="TableContents"/>
              <w:bidi w:val="0"/>
              <w:spacing w:before="0" w:after="283"/>
              <w:jc w:val="left"/>
              <w:rPr/>
            </w:pPr>
            <w:r>
              <w:rPr/>
              <w:t>)</w:t>
            </w:r>
            <w:bookmarkStart w:id="182" w:name="xdx_409_eus-gaap--AmortizationOfFinancin"/>
            <w:bookmarkEnd w:id="182"/>
          </w:p>
        </w:tc>
      </w:tr>
      <w:tr>
        <w:trPr/>
        <w:tc>
          <w:tcPr>
            <w:tcW w:w="7250" w:type="dxa"/>
            <w:tcBorders/>
            <w:shd w:fill="FFFFFF" w:val="clear"/>
            <w:vAlign w:val="center"/>
          </w:tcPr>
          <w:p>
            <w:pPr>
              <w:pStyle w:val="TableContents"/>
              <w:bidi w:val="0"/>
              <w:spacing w:before="0" w:after="283"/>
              <w:jc w:val="both"/>
              <w:rPr/>
            </w:pPr>
            <w:r>
              <w:rPr/>
              <w:t>Amortization of debt issuance costs and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1,951,000</w:t>
            </w:r>
          </w:p>
        </w:tc>
        <w:tc>
          <w:tcPr>
            <w:tcW w:w="110" w:type="dxa"/>
            <w:tcBorders/>
            <w:shd w:fill="FFFFFF" w:val="clear"/>
            <w:vAlign w:val="center"/>
          </w:tcPr>
          <w:p>
            <w:pPr>
              <w:pStyle w:val="TableContents"/>
              <w:bidi w:val="0"/>
              <w:spacing w:before="0" w:after="283"/>
              <w:jc w:val="left"/>
              <w:rPr/>
            </w:pPr>
            <w:r>
              <w:rPr/>
              <w:t> </w:t>
            </w:r>
            <w:bookmarkStart w:id="183" w:name="xdx_408_eus-gaap--GainLossOnInvestments_"/>
            <w:bookmarkEnd w:id="183"/>
          </w:p>
        </w:tc>
      </w:tr>
      <w:tr>
        <w:trPr/>
        <w:tc>
          <w:tcPr>
            <w:tcW w:w="7250" w:type="dxa"/>
            <w:tcBorders/>
            <w:shd w:fill="CCEEFF" w:val="clear"/>
            <w:vAlign w:val="center"/>
          </w:tcPr>
          <w:p>
            <w:pPr>
              <w:pStyle w:val="TableContents"/>
              <w:bidi w:val="0"/>
              <w:spacing w:before="0" w:after="283"/>
              <w:jc w:val="both"/>
              <w:rPr/>
            </w:pPr>
            <w:r>
              <w:rPr/>
              <w:t>Investment loss from investment in Eton Pharmaceuticals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3,171,000</w:t>
            </w:r>
          </w:p>
        </w:tc>
        <w:tc>
          <w:tcPr>
            <w:tcW w:w="110" w:type="dxa"/>
            <w:tcBorders/>
            <w:shd w:fill="CCEEFF" w:val="clear"/>
            <w:vAlign w:val="center"/>
          </w:tcPr>
          <w:p>
            <w:pPr>
              <w:pStyle w:val="TableContents"/>
              <w:bidi w:val="0"/>
              <w:spacing w:before="0" w:after="283"/>
              <w:jc w:val="left"/>
              <w:rPr/>
            </w:pPr>
            <w:r>
              <w:rPr/>
              <w:t> </w:t>
            </w:r>
            <w:bookmarkStart w:id="184" w:name="xdx_40C_eus-gaap--ShareBasedCompensation"/>
            <w:bookmarkEnd w:id="184"/>
          </w:p>
        </w:tc>
      </w:tr>
      <w:tr>
        <w:trPr/>
        <w:tc>
          <w:tcPr>
            <w:tcW w:w="7250" w:type="dxa"/>
            <w:tcBorders/>
            <w:shd w:fill="FFFFFF" w:val="clear"/>
            <w:vAlign w:val="center"/>
          </w:tcPr>
          <w:p>
            <w:pPr>
              <w:pStyle w:val="TableContents"/>
              <w:bidi w:val="0"/>
              <w:spacing w:before="0" w:after="283"/>
              <w:jc w:val="both"/>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5,431,000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8,440,000</w:t>
            </w:r>
          </w:p>
        </w:tc>
        <w:tc>
          <w:tcPr>
            <w:tcW w:w="110" w:type="dxa"/>
            <w:tcBorders/>
            <w:shd w:fill="FFFFFF" w:val="clear"/>
            <w:vAlign w:val="center"/>
          </w:tcPr>
          <w:p>
            <w:pPr>
              <w:pStyle w:val="TableContents"/>
              <w:bidi w:val="0"/>
              <w:spacing w:before="0" w:after="283"/>
              <w:jc w:val="left"/>
              <w:rPr/>
            </w:pPr>
            <w:r>
              <w:rPr/>
              <w:t> </w:t>
            </w:r>
            <w:bookmarkStart w:id="185" w:name="xdx_409_eus-gaap--DeferredIncomeTaxExpen"/>
            <w:bookmarkEnd w:id="185"/>
          </w:p>
        </w:tc>
      </w:tr>
      <w:tr>
        <w:trPr/>
        <w:tc>
          <w:tcPr>
            <w:tcW w:w="7250" w:type="dxa"/>
            <w:tcBorders/>
            <w:shd w:fill="CCEEFF" w:val="clear"/>
            <w:vAlign w:val="center"/>
          </w:tcPr>
          <w:p>
            <w:pPr>
              <w:pStyle w:val="TableContents"/>
              <w:bidi w:val="0"/>
              <w:spacing w:before="0" w:after="283"/>
              <w:jc w:val="both"/>
              <w:rPr/>
            </w:pPr>
            <w:r>
              <w:rPr/>
              <w:t>Deferred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623,000</w:t>
            </w:r>
          </w:p>
        </w:tc>
        <w:tc>
          <w:tcPr>
            <w:tcW w:w="110" w:type="dxa"/>
            <w:tcBorders/>
            <w:shd w:fill="CCEEFF" w:val="clear"/>
            <w:vAlign w:val="center"/>
          </w:tcPr>
          <w:p>
            <w:pPr>
              <w:pStyle w:val="TableContents"/>
              <w:bidi w:val="0"/>
              <w:spacing w:before="0" w:after="283"/>
              <w:jc w:val="left"/>
              <w:rPr/>
            </w:pPr>
            <w:r>
              <w:rPr/>
              <w:t> </w:t>
            </w:r>
            <w:bookmarkStart w:id="186" w:name="xdx_404_eus-gaap--IncreaseDecreaseInOper"/>
            <w:bookmarkEnd w:id="186"/>
          </w:p>
        </w:tc>
      </w:tr>
      <w:tr>
        <w:trPr/>
        <w:tc>
          <w:tcPr>
            <w:tcW w:w="7250" w:type="dxa"/>
            <w:tcBorders/>
            <w:shd w:fill="FFFFFF" w:val="clear"/>
            <w:vAlign w:val="center"/>
          </w:tcPr>
          <w:p>
            <w:pPr>
              <w:pStyle w:val="TableContents"/>
              <w:bidi w:val="0"/>
              <w:spacing w:before="0" w:after="283"/>
              <w:jc w:val="both"/>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7" w:name="xdx_409_eus-gaap--IncreaseDecreaseInAcco"/>
            <w:bookmarkEnd w:id="187"/>
          </w:p>
        </w:tc>
      </w:tr>
      <w:tr>
        <w:trPr/>
        <w:tc>
          <w:tcPr>
            <w:tcW w:w="7250"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37,211,000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(15,631,000</w:t>
            </w:r>
          </w:p>
        </w:tc>
        <w:tc>
          <w:tcPr>
            <w:tcW w:w="110" w:type="dxa"/>
            <w:tcBorders/>
            <w:shd w:fill="CCEEFF" w:val="clear"/>
            <w:vAlign w:val="center"/>
          </w:tcPr>
          <w:p>
            <w:pPr>
              <w:pStyle w:val="TableContents"/>
              <w:bidi w:val="0"/>
              <w:spacing w:before="0" w:after="283"/>
              <w:jc w:val="left"/>
              <w:rPr/>
            </w:pPr>
            <w:r>
              <w:rPr/>
              <w:t>)</w:t>
            </w:r>
            <w:bookmarkStart w:id="188" w:name="xdx_400_eus-gaap--IncreaseDecreaseInInve"/>
            <w:bookmarkEnd w:id="188"/>
          </w:p>
        </w:tc>
      </w:tr>
      <w:tr>
        <w:trPr/>
        <w:tc>
          <w:tcPr>
            <w:tcW w:w="7250" w:type="dxa"/>
            <w:tcBorders/>
            <w:shd w:fill="FFFFFF" w:val="clear"/>
            <w:vAlign w:val="center"/>
          </w:tcPr>
          <w:p>
            <w:pPr>
              <w:pStyle w:val="TableContents"/>
              <w:bidi w:val="0"/>
              <w:spacing w:before="0" w:after="283"/>
              <w:jc w:val="both"/>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1,442,000</w:t>
            </w:r>
          </w:p>
        </w:tc>
        <w:tc>
          <w:tcPr>
            <w:tcW w:w="110" w:type="dxa"/>
            <w:tcBorders/>
            <w:shd w:fill="FFFFFF" w:val="clear"/>
            <w:vAlign w:val="center"/>
          </w:tcPr>
          <w:p>
            <w:pPr>
              <w:pStyle w:val="TableContents"/>
              <w:bidi w:val="0"/>
              <w:spacing w:before="0" w:after="283"/>
              <w:jc w:val="left"/>
              <w:rPr/>
            </w:pPr>
            <w:r>
              <w:rPr/>
              <w:t> </w:t>
            </w:r>
            <w:bookmarkStart w:id="189" w:name="xdx_404_eus-gaap--IncreaseDecreaseInPrep"/>
            <w:bookmarkEnd w:id="189"/>
          </w:p>
        </w:tc>
      </w:tr>
      <w:tr>
        <w:trPr/>
        <w:tc>
          <w:tcPr>
            <w:tcW w:w="7250"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3,776,000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2,579,000</w:t>
            </w:r>
          </w:p>
        </w:tc>
        <w:tc>
          <w:tcPr>
            <w:tcW w:w="110" w:type="dxa"/>
            <w:tcBorders/>
            <w:shd w:fill="CCEEFF" w:val="clear"/>
            <w:vAlign w:val="center"/>
          </w:tcPr>
          <w:p>
            <w:pPr>
              <w:pStyle w:val="TableContents"/>
              <w:bidi w:val="0"/>
              <w:spacing w:before="0" w:after="283"/>
              <w:jc w:val="left"/>
              <w:rPr/>
            </w:pPr>
            <w:r>
              <w:rPr/>
              <w:t> </w:t>
            </w:r>
            <w:bookmarkStart w:id="190" w:name="xdx_407_eus-gaap--IncreaseDecreaseInAcco"/>
            <w:bookmarkEnd w:id="190"/>
          </w:p>
        </w:tc>
      </w:tr>
      <w:tr>
        <w:trPr/>
        <w:tc>
          <w:tcPr>
            <w:tcW w:w="7250" w:type="dxa"/>
            <w:tcBorders/>
            <w:shd w:fill="FFFFFF" w:val="clear"/>
            <w:vAlign w:val="center"/>
          </w:tcPr>
          <w:p>
            <w:pPr>
              <w:pStyle w:val="TableContents"/>
              <w:bidi w:val="0"/>
              <w:spacing w:before="0" w:after="283"/>
              <w:jc w:val="both"/>
              <w:rPr/>
            </w:pPr>
            <w:r>
              <w:rPr/>
              <w:t>Accounts payable, accrued expenses, accrued rebates and copay assistance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(24,009,000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3,361,000</w:t>
            </w:r>
          </w:p>
        </w:tc>
        <w:tc>
          <w:tcPr>
            <w:tcW w:w="110" w:type="dxa"/>
            <w:tcBorders/>
            <w:shd w:fill="FFFFFF" w:val="clear"/>
            <w:vAlign w:val="center"/>
          </w:tcPr>
          <w:p>
            <w:pPr>
              <w:pStyle w:val="TableContents"/>
              <w:bidi w:val="0"/>
              <w:spacing w:before="0" w:after="283"/>
              <w:jc w:val="left"/>
              <w:rPr/>
            </w:pPr>
            <w:r>
              <w:rPr/>
              <w:t> </w:t>
            </w:r>
            <w:bookmarkStart w:id="191" w:name="xdx_40D_eus-gaap--IncreaseDecreaseInEmpl"/>
            <w:bookmarkEnd w:id="191"/>
          </w:p>
        </w:tc>
      </w:tr>
      <w:tr>
        <w:trPr/>
        <w:tc>
          <w:tcPr>
            <w:tcW w:w="7250" w:type="dxa"/>
            <w:tcBorders/>
            <w:shd w:fill="CCEEFF" w:val="clear"/>
            <w:vAlign w:val="center"/>
          </w:tcPr>
          <w:p>
            <w:pPr>
              <w:pStyle w:val="TableContents"/>
              <w:bidi w:val="0"/>
              <w:spacing w:before="0" w:after="283"/>
              <w:jc w:val="both"/>
              <w:rPr/>
            </w:pPr>
            <w:r>
              <w:rPr/>
              <w:t>Accrued payroll and 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(2,672,000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271,000</w:t>
            </w:r>
          </w:p>
        </w:tc>
        <w:tc>
          <w:tcPr>
            <w:tcW w:w="110" w:type="dxa"/>
            <w:tcBorders/>
            <w:shd w:fill="CCEEFF" w:val="clear"/>
            <w:vAlign w:val="center"/>
          </w:tcPr>
          <w:p>
            <w:pPr>
              <w:pStyle w:val="TableContents"/>
              <w:bidi w:val="0"/>
              <w:spacing w:before="0" w:after="283"/>
              <w:jc w:val="left"/>
              <w:rPr/>
            </w:pPr>
            <w:r>
              <w:rPr/>
              <w:t> </w:t>
            </w:r>
            <w:bookmarkStart w:id="192" w:name="xdx_408_eus-gaap--IncreaseDecreaseInDefe"/>
            <w:bookmarkEnd w:id="192"/>
          </w:p>
        </w:tc>
      </w:tr>
      <w:tr>
        <w:trPr/>
        <w:tc>
          <w:tcPr>
            <w:tcW w:w="7250" w:type="dxa"/>
            <w:tcBorders/>
            <w:shd w:fill="FFFFFF" w:val="clear"/>
            <w:vAlign w:val="center"/>
          </w:tcPr>
          <w:p>
            <w:pPr>
              <w:pStyle w:val="TableContents"/>
              <w:bidi w:val="0"/>
              <w:spacing w:before="0" w:after="283"/>
              <w:jc w:val="both"/>
              <w:rPr/>
            </w:pPr>
            <w:r>
              <w:rPr/>
              <w:t>Deferred revenue and 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173,000</w:t>
            </w:r>
          </w:p>
        </w:tc>
        <w:tc>
          <w:tcPr>
            <w:tcW w:w="110" w:type="dxa"/>
            <w:tcBorders/>
            <w:shd w:fill="FFFFFF" w:val="clear"/>
            <w:vAlign w:val="center"/>
          </w:tcPr>
          <w:p>
            <w:pPr>
              <w:pStyle w:val="TableContents"/>
              <w:bidi w:val="0"/>
              <w:spacing w:before="0" w:after="283"/>
              <w:jc w:val="left"/>
              <w:rPr/>
            </w:pPr>
            <w:r>
              <w:rPr/>
              <w:t> </w:t>
            </w:r>
            <w:bookmarkStart w:id="193" w:name="xdx_404_eus-gaap--NetCashProvidedByUsedI"/>
            <w:bookmarkEnd w:id="193"/>
          </w:p>
        </w:tc>
      </w:tr>
      <w:tr>
        <w:trPr/>
        <w:tc>
          <w:tcPr>
            <w:tcW w:w="7250" w:type="dxa"/>
            <w:tcBorders/>
            <w:shd w:fill="CCEEFF" w:val="clear"/>
            <w:vAlign w:val="center"/>
          </w:tcPr>
          <w:p>
            <w:pPr>
              <w:pStyle w:val="TableContents"/>
              <w:bidi w:val="0"/>
              <w:spacing w:before="0" w:after="283"/>
              <w:jc w:val="both"/>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18,865,000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(7,374,000</w:t>
            </w:r>
          </w:p>
        </w:tc>
        <w:tc>
          <w:tcPr>
            <w:tcW w:w="110" w:type="dxa"/>
            <w:tcBorders/>
            <w:shd w:fill="CCEEFF" w:val="clear"/>
            <w:vAlign w:val="center"/>
          </w:tcPr>
          <w:p>
            <w:pPr>
              <w:pStyle w:val="TableContents"/>
              <w:bidi w:val="0"/>
              <w:spacing w:before="0" w:after="283"/>
              <w:jc w:val="left"/>
              <w:rPr/>
            </w:pPr>
            <w:r>
              <w:rPr/>
              <w:t>)</w:t>
            </w:r>
            <w:bookmarkStart w:id="194" w:name="xdx_406_eus-gaap--NetCashProvidedByUsedI"/>
            <w:bookmarkEnd w:id="194"/>
          </w:p>
        </w:tc>
      </w:tr>
      <w:tr>
        <w:trPr/>
        <w:tc>
          <w:tcPr>
            <w:tcW w:w="7250" w:type="dxa"/>
            <w:tcBorders/>
            <w:shd w:fill="FFFFFF" w:val="clear"/>
            <w:vAlign w:val="center"/>
          </w:tcPr>
          <w:p>
            <w:pPr>
              <w:pStyle w:val="TableContents"/>
              <w:bidi w:val="0"/>
              <w:spacing w:before="0" w:after="283"/>
              <w:jc w:val="both"/>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5" w:name="xdx_40E_eus-gaap--ProceedsFromSaleMaturi"/>
            <w:bookmarkEnd w:id="195"/>
          </w:p>
        </w:tc>
      </w:tr>
      <w:tr>
        <w:trPr/>
        <w:tc>
          <w:tcPr>
            <w:tcW w:w="7250" w:type="dxa"/>
            <w:tcBorders/>
            <w:shd w:fill="CCEEFF" w:val="clear"/>
            <w:vAlign w:val="center"/>
          </w:tcPr>
          <w:p>
            <w:pPr>
              <w:pStyle w:val="TableContents"/>
              <w:bidi w:val="0"/>
              <w:spacing w:before="0" w:after="283"/>
              <w:jc w:val="both"/>
              <w:rPr/>
            </w:pPr>
            <w:r>
              <w:rPr/>
              <w:t>Net proceeds on sale of investment in Eton Pharmaceuticals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5,510,000</w:t>
            </w:r>
          </w:p>
        </w:tc>
        <w:tc>
          <w:tcPr>
            <w:tcW w:w="110" w:type="dxa"/>
            <w:tcBorders/>
            <w:shd w:fill="CCEEFF" w:val="clear"/>
            <w:vAlign w:val="center"/>
          </w:tcPr>
          <w:p>
            <w:pPr>
              <w:pStyle w:val="TableContents"/>
              <w:bidi w:val="0"/>
              <w:spacing w:before="0" w:after="283"/>
              <w:jc w:val="left"/>
              <w:rPr/>
            </w:pPr>
            <w:r>
              <w:rPr/>
              <w:t> </w:t>
            </w:r>
            <w:bookmarkStart w:id="196" w:name="xdx_40D_eus-gaap--PaymentsToAcquireIntan"/>
            <w:bookmarkEnd w:id="196"/>
          </w:p>
        </w:tc>
      </w:tr>
      <w:tr>
        <w:trPr/>
        <w:tc>
          <w:tcPr>
            <w:tcW w:w="7250" w:type="dxa"/>
            <w:tcBorders/>
            <w:shd w:fill="FFFFFF" w:val="clear"/>
            <w:vAlign w:val="center"/>
          </w:tcPr>
          <w:p>
            <w:pPr>
              <w:pStyle w:val="TableContents"/>
              <w:bidi w:val="0"/>
              <w:spacing w:before="0" w:after="283"/>
              <w:jc w:val="both"/>
              <w:rPr/>
            </w:pPr>
            <w:r>
              <w:rPr/>
              <w:t>Investment in patent and trademark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(81,000</w:t>
            </w:r>
          </w:p>
        </w:tc>
        <w:tc>
          <w:tcPr>
            <w:tcW w:w="110" w:type="dxa"/>
            <w:tcBorders/>
            <w:shd w:fill="FFFFFF" w:val="clear"/>
            <w:vAlign w:val="center"/>
          </w:tcPr>
          <w:p>
            <w:pPr>
              <w:pStyle w:val="TableContents"/>
              <w:bidi w:val="0"/>
              <w:spacing w:before="0" w:after="283"/>
              <w:jc w:val="left"/>
              <w:rPr/>
            </w:pPr>
            <w:r>
              <w:rPr/>
              <w:t>)</w:t>
            </w:r>
            <w:bookmarkStart w:id="197" w:name="xdx_408_eus-gaap--PaymentsToAcquirePrope"/>
            <w:bookmarkEnd w:id="197"/>
          </w:p>
        </w:tc>
      </w:tr>
      <w:tr>
        <w:trPr/>
        <w:tc>
          <w:tcPr>
            <w:tcW w:w="7250" w:type="dxa"/>
            <w:tcBorders/>
            <w:shd w:fill="CCEEFF" w:val="clear"/>
            <w:vAlign w:val="center"/>
          </w:tcPr>
          <w:p>
            <w:pPr>
              <w:pStyle w:val="TableContents"/>
              <w:bidi w:val="0"/>
              <w:spacing w:before="0" w:after="283"/>
              <w:jc w:val="both"/>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(436,000</w:t>
            </w:r>
          </w:p>
        </w:tc>
        <w:tc>
          <w:tcPr>
            <w:tcW w:w="110" w:type="dxa"/>
            <w:tcBorders/>
            <w:shd w:fill="CCEEFF" w:val="clear"/>
            <w:vAlign w:val="center"/>
          </w:tcPr>
          <w:p>
            <w:pPr>
              <w:pStyle w:val="TableContents"/>
              <w:bidi w:val="0"/>
              <w:spacing w:before="0" w:after="283"/>
              <w:jc w:val="left"/>
              <w:rPr/>
            </w:pPr>
            <w:r>
              <w:rPr/>
              <w:t>)</w:t>
            </w:r>
            <w:bookmarkStart w:id="198" w:name="xdx_40B_eus-gaap--NetCashProvidedByUsedI"/>
            <w:bookmarkEnd w:id="198"/>
          </w:p>
        </w:tc>
      </w:tr>
      <w:tr>
        <w:trPr/>
        <w:tc>
          <w:tcPr>
            <w:tcW w:w="7250" w:type="dxa"/>
            <w:tcBorders/>
            <w:shd w:fill="FFFFFF" w:val="clear"/>
            <w:vAlign w:val="center"/>
          </w:tcPr>
          <w:p>
            <w:pPr>
              <w:pStyle w:val="TableContents"/>
              <w:bidi w:val="0"/>
              <w:spacing w:before="0" w:after="283"/>
              <w:jc w:val="both"/>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(505,000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4,993,000</w:t>
            </w:r>
          </w:p>
        </w:tc>
        <w:tc>
          <w:tcPr>
            <w:tcW w:w="110" w:type="dxa"/>
            <w:tcBorders/>
            <w:shd w:fill="FFFFFF" w:val="clear"/>
            <w:vAlign w:val="center"/>
          </w:tcPr>
          <w:p>
            <w:pPr>
              <w:pStyle w:val="TableContents"/>
              <w:bidi w:val="0"/>
              <w:spacing w:before="0" w:after="283"/>
              <w:jc w:val="left"/>
              <w:rPr/>
            </w:pPr>
            <w:r>
              <w:rPr/>
              <w:t> </w:t>
            </w:r>
            <w:bookmarkStart w:id="199" w:name="xdx_403_eus-gaap--NetCashProvidedByUsedI"/>
            <w:bookmarkEnd w:id="199"/>
          </w:p>
        </w:tc>
      </w:tr>
      <w:tr>
        <w:trPr/>
        <w:tc>
          <w:tcPr>
            <w:tcW w:w="7250" w:type="dxa"/>
            <w:tcBorders/>
            <w:shd w:fill="CCEEFF" w:val="clear"/>
            <w:vAlign w:val="center"/>
          </w:tcPr>
          <w:p>
            <w:pPr>
              <w:pStyle w:val="TableContents"/>
              <w:bidi w:val="0"/>
              <w:spacing w:before="0" w:after="283"/>
              <w:jc w:val="both"/>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0" w:name="xdx_406_ecustom--PaymentOfPayrollTaxesUp"/>
            <w:bookmarkEnd w:id="200"/>
          </w:p>
        </w:tc>
      </w:tr>
      <w:tr>
        <w:trPr/>
        <w:tc>
          <w:tcPr>
            <w:tcW w:w="7250" w:type="dxa"/>
            <w:tcBorders/>
            <w:shd w:fill="FFFFFF" w:val="clear"/>
            <w:vAlign w:val="center"/>
          </w:tcPr>
          <w:p>
            <w:pPr>
              <w:pStyle w:val="TableContents"/>
              <w:bidi w:val="0"/>
              <w:spacing w:before="0" w:after="283"/>
              <w:jc w:val="both"/>
              <w:rPr/>
            </w:pPr>
            <w:r>
              <w:rPr/>
              <w:t>Payment of payroll taxes upon vesting of PSUs, RSUs and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(12,769,000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(1,157,000</w:t>
            </w:r>
          </w:p>
        </w:tc>
        <w:tc>
          <w:tcPr>
            <w:tcW w:w="110" w:type="dxa"/>
            <w:tcBorders/>
            <w:shd w:fill="FFFFFF" w:val="clear"/>
            <w:vAlign w:val="center"/>
          </w:tcPr>
          <w:p>
            <w:pPr>
              <w:pStyle w:val="TableContents"/>
              <w:bidi w:val="0"/>
              <w:spacing w:before="0" w:after="283"/>
              <w:jc w:val="left"/>
              <w:rPr/>
            </w:pPr>
            <w:r>
              <w:rPr/>
              <w:t>)</w:t>
            </w:r>
            <w:bookmarkStart w:id="201" w:name="xdx_40C_eus-gaap--ProceedsFromStockOptio"/>
            <w:bookmarkEnd w:id="201"/>
          </w:p>
        </w:tc>
      </w:tr>
      <w:tr>
        <w:trPr/>
        <w:tc>
          <w:tcPr>
            <w:tcW w:w="7250" w:type="dxa"/>
            <w:tcBorders/>
            <w:shd w:fill="CCEEFF" w:val="clear"/>
            <w:vAlign w:val="center"/>
          </w:tcPr>
          <w:p>
            <w:pPr>
              <w:pStyle w:val="TableContents"/>
              <w:bidi w:val="0"/>
              <w:spacing w:before="0" w:after="283"/>
              <w:jc w:val="both"/>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521,000</w:t>
            </w:r>
          </w:p>
        </w:tc>
        <w:tc>
          <w:tcPr>
            <w:tcW w:w="110" w:type="dxa"/>
            <w:tcBorders/>
            <w:shd w:fill="CCEEFF" w:val="clear"/>
            <w:vAlign w:val="center"/>
          </w:tcPr>
          <w:p>
            <w:pPr>
              <w:pStyle w:val="TableContents"/>
              <w:bidi w:val="0"/>
              <w:spacing w:before="0" w:after="283"/>
              <w:jc w:val="left"/>
              <w:rPr/>
            </w:pPr>
            <w:r>
              <w:rPr/>
              <w:t> </w:t>
            </w:r>
            <w:bookmarkStart w:id="202" w:name="xdx_40E_eus-gaap--PaymentsOfDebtIssuance"/>
            <w:bookmarkEnd w:id="202"/>
          </w:p>
        </w:tc>
      </w:tr>
      <w:tr>
        <w:trPr/>
        <w:tc>
          <w:tcPr>
            <w:tcW w:w="7250" w:type="dxa"/>
            <w:tcBorders/>
            <w:shd w:fill="FFFFFF" w:val="clear"/>
            <w:vAlign w:val="center"/>
          </w:tcPr>
          <w:p>
            <w:pPr>
              <w:pStyle w:val="TableContents"/>
              <w:bidi w:val="0"/>
              <w:spacing w:before="0" w:after="283"/>
              <w:jc w:val="both"/>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110" w:type="dxa"/>
            <w:tcBorders/>
            <w:shd w:fill="FFFFFF" w:val="clear"/>
            <w:vAlign w:val="center"/>
          </w:tcPr>
          <w:p>
            <w:pPr>
              <w:pStyle w:val="TableContents"/>
              <w:bidi w:val="0"/>
              <w:spacing w:before="0" w:after="283"/>
              <w:jc w:val="left"/>
              <w:rPr/>
            </w:pPr>
            <w:r>
              <w:rPr/>
              <w:t>)</w:t>
            </w:r>
            <w:bookmarkStart w:id="203" w:name="xdx_403_eus-gaap--NetCashProvidedByUsedI"/>
            <w:bookmarkEnd w:id="203"/>
          </w:p>
        </w:tc>
      </w:tr>
      <w:tr>
        <w:trPr/>
        <w:tc>
          <w:tcPr>
            <w:tcW w:w="7250" w:type="dxa"/>
            <w:tcBorders/>
            <w:shd w:fill="CCEEFF" w:val="clear"/>
            <w:vAlign w:val="center"/>
          </w:tcPr>
          <w:p>
            <w:pPr>
              <w:pStyle w:val="TableContents"/>
              <w:bidi w:val="0"/>
              <w:spacing w:before="0" w:after="283"/>
              <w:jc w:val="both"/>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(12,644,000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(736,000</w:t>
            </w:r>
          </w:p>
        </w:tc>
        <w:tc>
          <w:tcPr>
            <w:tcW w:w="110" w:type="dxa"/>
            <w:tcBorders/>
            <w:shd w:fill="CCEEFF" w:val="clear"/>
            <w:vAlign w:val="center"/>
          </w:tcPr>
          <w:p>
            <w:pPr>
              <w:pStyle w:val="TableContents"/>
              <w:bidi w:val="0"/>
              <w:spacing w:before="0" w:after="283"/>
              <w:jc w:val="left"/>
              <w:rPr/>
            </w:pPr>
            <w:r>
              <w:rPr/>
              <w:t>)</w:t>
            </w:r>
            <w:bookmarkStart w:id="204" w:name="xdx_400_eus-gaap--CashCashEquivalentsRes"/>
            <w:bookmarkEnd w:id="204"/>
          </w:p>
        </w:tc>
      </w:tr>
      <w:tr>
        <w:trPr/>
        <w:tc>
          <w:tcPr>
            <w:tcW w:w="7250" w:type="dxa"/>
            <w:tcBorders/>
            <w:shd w:fill="FFFFFF" w:val="clear"/>
            <w:vAlign w:val="center"/>
          </w:tcPr>
          <w:p>
            <w:pPr>
              <w:pStyle w:val="TableContents"/>
              <w:bidi w:val="0"/>
              <w:spacing w:before="0" w:after="283"/>
              <w:jc w:val="both"/>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5,716,000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(3,117,000</w:t>
            </w:r>
          </w:p>
        </w:tc>
        <w:tc>
          <w:tcPr>
            <w:tcW w:w="110" w:type="dxa"/>
            <w:tcBorders/>
            <w:shd w:fill="FFFFFF" w:val="clear"/>
            <w:vAlign w:val="center"/>
          </w:tcPr>
          <w:p>
            <w:pPr>
              <w:pStyle w:val="TableContents"/>
              <w:bidi w:val="0"/>
              <w:spacing w:before="0" w:after="283"/>
              <w:jc w:val="left"/>
              <w:rPr/>
            </w:pPr>
            <w:r>
              <w:rPr/>
              <w:t>)</w:t>
            </w:r>
            <w:bookmarkStart w:id="205" w:name="xdx_40F_eus-gaap--CashCashEquivalentsRes"/>
            <w:bookmarkEnd w:id="205"/>
          </w:p>
        </w:tc>
      </w:tr>
      <w:tr>
        <w:trPr/>
        <w:tc>
          <w:tcPr>
            <w:tcW w:w="7250" w:type="dxa"/>
            <w:tcBorders/>
            <w:shd w:fill="CCEEFF" w:val="clear"/>
            <w:vAlign w:val="center"/>
          </w:tcPr>
          <w:p>
            <w:pPr>
              <w:pStyle w:val="TableContents"/>
              <w:bidi w:val="0"/>
              <w:spacing w:before="0" w:after="283"/>
              <w:jc w:val="both"/>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47,247,000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74,085,000</w:t>
            </w:r>
          </w:p>
        </w:tc>
        <w:tc>
          <w:tcPr>
            <w:tcW w:w="110" w:type="dxa"/>
            <w:tcBorders/>
            <w:shd w:fill="CCEEFF" w:val="clear"/>
            <w:vAlign w:val="center"/>
          </w:tcPr>
          <w:p>
            <w:pPr>
              <w:pStyle w:val="TableContents"/>
              <w:bidi w:val="0"/>
              <w:spacing w:before="0" w:after="283"/>
              <w:jc w:val="left"/>
              <w:rPr/>
            </w:pPr>
            <w:r>
              <w:rPr/>
              <w:t> </w:t>
            </w:r>
            <w:bookmarkStart w:id="206" w:name="xdx_40B_eus-gaap--CashCashEquivalentsRes"/>
            <w:bookmarkEnd w:id="206"/>
          </w:p>
        </w:tc>
      </w:tr>
      <w:tr>
        <w:trPr/>
        <w:tc>
          <w:tcPr>
            <w:tcW w:w="7250" w:type="dxa"/>
            <w:tcBorders/>
            <w:shd w:fill="FFFFFF" w:val="clear"/>
            <w:vAlign w:val="center"/>
          </w:tcPr>
          <w:p>
            <w:pPr>
              <w:pStyle w:val="TableContents"/>
              <w:bidi w:val="0"/>
              <w:spacing w:before="0" w:after="283"/>
              <w:jc w:val="both"/>
              <w:rPr/>
            </w:pPr>
            <w:r>
              <w:rPr/>
              <w:t>CASH,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52,963,000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70,968,000</w:t>
            </w:r>
          </w:p>
        </w:tc>
        <w:tc>
          <w:tcPr>
            <w:tcW w:w="110" w:type="dxa"/>
            <w:tcBorders/>
            <w:shd w:fill="FFFFFF" w:val="clear"/>
            <w:vAlign w:val="center"/>
          </w:tcPr>
          <w:p>
            <w:pPr>
              <w:pStyle w:val="TableContents"/>
              <w:bidi w:val="0"/>
              <w:spacing w:before="0" w:after="283"/>
              <w:jc w:val="left"/>
              <w:rPr/>
            </w:pPr>
            <w:r>
              <w:rPr/>
              <w:t> </w:t>
            </w:r>
            <w:bookmarkStart w:id="207" w:name="xdx_402_eus-gaap--SupplementalCashFlowIn"/>
            <w:bookmarkEnd w:id="207"/>
          </w:p>
        </w:tc>
      </w:tr>
      <w:tr>
        <w:trPr/>
        <w:tc>
          <w:tcPr>
            <w:tcW w:w="7250" w:type="dxa"/>
            <w:tcBorders/>
            <w:shd w:fill="CCEEFF" w:val="clear"/>
            <w:vAlign w:val="center"/>
          </w:tcPr>
          <w:p>
            <w:pPr>
              <w:pStyle w:val="TableContents"/>
              <w:bidi w:val="0"/>
              <w:spacing w:before="0" w:after="283"/>
              <w:jc w:val="both"/>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8" w:name="xdx_409_eus-gaap--IncomeTaxesPaidNet_i01"/>
            <w:bookmarkEnd w:id="208"/>
          </w:p>
        </w:tc>
      </w:tr>
      <w:tr>
        <w:trPr/>
        <w:tc>
          <w:tcPr>
            <w:tcW w:w="7250" w:type="dxa"/>
            <w:tcBorders/>
            <w:shd w:fill="FFFFFF" w:val="clear"/>
            <w:vAlign w:val="center"/>
          </w:tcPr>
          <w:p>
            <w:pPr>
              <w:pStyle w:val="TableContents"/>
              <w:bidi w:val="0"/>
              <w:spacing w:before="0" w:after="283"/>
              <w:jc w:val="both"/>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9" w:name="xdx_401_eus-gaap--InterestPaidNet_i01_zI"/>
            <w:bookmarkEnd w:id="209"/>
          </w:p>
        </w:tc>
      </w:tr>
      <w:tr>
        <w:trPr/>
        <w:tc>
          <w:tcPr>
            <w:tcW w:w="7250" w:type="dxa"/>
            <w:tcBorders/>
            <w:shd w:fill="CCEEFF" w:val="clear"/>
            <w:vAlign w:val="center"/>
          </w:tcPr>
          <w:p>
            <w:pPr>
              <w:pStyle w:val="TableContents"/>
              <w:bidi w:val="0"/>
              <w:spacing w:before="0" w:after="283"/>
              <w:jc w:val="both"/>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12,180,000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10,316,000</w:t>
            </w:r>
          </w:p>
        </w:tc>
        <w:tc>
          <w:tcPr>
            <w:tcW w:w="110" w:type="dxa"/>
            <w:tcBorders/>
            <w:shd w:fill="CCEEFF" w:val="clear"/>
            <w:vAlign w:val="center"/>
          </w:tcPr>
          <w:p>
            <w:pPr>
              <w:pStyle w:val="TableContents"/>
              <w:bidi w:val="0"/>
              <w:spacing w:before="0" w:after="283"/>
              <w:jc w:val="left"/>
              <w:rPr/>
            </w:pPr>
            <w:r>
              <w:rPr/>
              <w:t> </w:t>
            </w:r>
            <w:bookmarkStart w:id="210" w:name="xdx_400_eus-gaap--CashFlowNoncashInvesti"/>
            <w:bookmarkEnd w:id="210"/>
          </w:p>
        </w:tc>
      </w:tr>
      <w:tr>
        <w:trPr/>
        <w:tc>
          <w:tcPr>
            <w:tcW w:w="7250" w:type="dxa"/>
            <w:tcBorders/>
            <w:shd w:fill="FFFFFF" w:val="clear"/>
            <w:vAlign w:val="center"/>
          </w:tcPr>
          <w:p>
            <w:pPr>
              <w:pStyle w:val="TableContents"/>
              <w:bidi w:val="0"/>
              <w:spacing w:before="0" w:after="283"/>
              <w:jc w:val="both"/>
              <w:rPr/>
            </w:pPr>
            <w:r>
              <w:rPr/>
              <w:t>SUPPLEMENTAL DISCLOSURES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 w:name="xdx_40A_eus-gaap--CapitalExpendituresInc"/>
            <w:bookmarkEnd w:id="211"/>
          </w:p>
        </w:tc>
      </w:tr>
      <w:tr>
        <w:trPr/>
        <w:tc>
          <w:tcPr>
            <w:tcW w:w="7250" w:type="dxa"/>
            <w:tcBorders/>
            <w:shd w:fill="CCEEFF" w:val="clear"/>
            <w:vAlign w:val="center"/>
          </w:tcPr>
          <w:p>
            <w:pPr>
              <w:pStyle w:val="TableContents"/>
              <w:bidi w:val="0"/>
              <w:spacing w:before="0" w:after="283"/>
              <w:jc w:val="both"/>
              <w:rPr/>
            </w:pPr>
            <w:r>
              <w:rPr/>
              <w:t>Purchase of property, plant and equipment included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44,000</w:t>
            </w:r>
          </w:p>
        </w:tc>
        <w:tc>
          <w:tcPr>
            <w:tcW w:w="110" w:type="dxa"/>
            <w:tcBorders/>
            <w:shd w:fill="CCEEFF" w:val="clear"/>
            <w:vAlign w:val="center"/>
          </w:tcPr>
          <w:p>
            <w:pPr>
              <w:pStyle w:val="TableContents"/>
              <w:bidi w:val="0"/>
              <w:spacing w:before="0" w:after="283"/>
              <w:jc w:val="left"/>
              <w:rPr/>
            </w:pPr>
            <w:r>
              <w:rPr/>
              <w:t> </w:t>
            </w:r>
            <w:bookmarkStart w:id="212" w:name="xdx_409_ecustom--ChangeInRightofuseAsset"/>
            <w:bookmarkEnd w:id="212"/>
          </w:p>
        </w:tc>
      </w:tr>
      <w:tr>
        <w:trPr/>
        <w:tc>
          <w:tcPr>
            <w:tcW w:w="7250" w:type="dxa"/>
            <w:tcBorders/>
            <w:shd w:fill="FFFFFF" w:val="clear"/>
            <w:vAlign w:val="center"/>
          </w:tcPr>
          <w:p>
            <w:pPr>
              <w:pStyle w:val="TableContents"/>
              <w:bidi w:val="0"/>
              <w:spacing w:before="0" w:after="283"/>
              <w:jc w:val="both"/>
              <w:rPr/>
            </w:pPr>
            <w:r>
              <w:rPr/>
              <w:t>Change in right-of-use assets for operating lease obligations assumptions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377,000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3" w:name="xdx_806_eus-gaap--BusinessDescriptionAnd"/>
      <w:bookmarkEnd w:id="213"/>
      <w:r>
        <w:rPr>
          <w:rFonts w:ascii="Times New Roman;Times;Serif" w:hAnsi="Times New Roman;Times;Serif"/>
          <w:b/>
          <w:i w:val="false"/>
          <w:caps w:val="false"/>
          <w:smallCaps w:val="false"/>
          <w:sz w:val="20"/>
        </w:rPr>
        <w:t xml:space="preserve">NOTE 1. </w:t>
      </w:r>
      <w:bookmarkStart w:id="214" w:name="xdx_820_ziK0rKwAE3Ik"/>
      <w:bookmarkEnd w:id="214"/>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and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(together with its consolidated subsidiaries, unless the context indicates or otherwise requires, the “Company” or “Harrow”)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2025 are not necessarily indicative of the results that may be expected for the year ending December 31, 2025 or for any other period. For further information, refer to the Company’s audited consolidated financial statements and notes thereto included in the Company’s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 owned and majority-owned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consolidates entities in which it has a controlling financial interest. The Company assesses control under the variable interest entity (“VIE”) model to determine whether the Company is the primary beneficiary of that entity. The Company consolidates </w:t>
      </w:r>
      <w:bookmarkStart w:id="215" w:name="xdx_90D_ecustom--ConsolidationBasisDescr"/>
      <w:bookmarkEnd w:id="215"/>
      <w:r>
        <w:rPr>
          <w:rFonts w:ascii="Times New Roman;Times;Serif" w:hAnsi="Times New Roman;Times;Serif"/>
          <w:b w:val="false"/>
          <w:i w:val="false"/>
          <w:caps w:val="false"/>
          <w:smallCaps w:val="false"/>
          <w:sz w:val="20"/>
        </w:rPr>
        <w:t>(i) entities in which it holds and/or controls, directly or indirectly, more than 50% of the voting rights, and (ii) VIEs for which the Company is deemed to be the primary beneficiary.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6" w:name="xdx_808_eus-gaap--SignificantAccountingP"/>
      <w:bookmarkEnd w:id="216"/>
      <w:r>
        <w:rPr>
          <w:rFonts w:ascii="Times New Roman;Times;Serif" w:hAnsi="Times New Roman;Times;Serif"/>
          <w:b/>
          <w:i w:val="false"/>
          <w:caps w:val="false"/>
          <w:smallCaps w:val="false"/>
          <w:sz w:val="20"/>
        </w:rPr>
        <w:t xml:space="preserve">NOTE 2. </w:t>
      </w:r>
      <w:bookmarkStart w:id="217" w:name="xdx_82C_zM2JY0W576X7"/>
      <w:bookmarkEnd w:id="217"/>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an update for the six months ended June 30, 2025 to the significant accounting policies described in the Company’s Annual Report on Form 10-K for the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218" w:name="xdx_862_z7wCB8Hw4mQg"/>
      <w:bookmarkStart w:id="219" w:name="xdx_847_ecustom--RisksUncertaintiesAndLi"/>
      <w:bookmarkEnd w:id="218"/>
      <w:bookmarkEnd w:id="219"/>
      <w:r>
        <w:rPr>
          <w:rFonts w:ascii="Times New Roman;Times;Serif" w:hAnsi="Times New Roman;Times;Serif"/>
          <w:b/>
          <w:i w:val="false"/>
          <w:caps w:val="false"/>
          <w:smallCaps w:val="false"/>
          <w:sz w:val="20"/>
        </w:rPr>
        <w:t>Risks, Uncertainties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Oaktree Loan (as defined in Note 10) totaling $</w:t>
      </w:r>
      <w:bookmarkStart w:id="220" w:name="xdx_90B_eus-gaap--DebtInstrumentFaceAmou"/>
      <w:bookmarkEnd w:id="220"/>
      <w:r>
        <w:rPr>
          <w:rFonts w:ascii="Times New Roman;Times;Serif" w:hAnsi="Times New Roman;Times;Serif"/>
          <w:b w:val="false"/>
          <w:i w:val="false"/>
          <w:caps w:val="false"/>
          <w:smallCaps w:val="false"/>
          <w:sz w:val="20"/>
        </w:rPr>
        <w:t>107,500,000 principal at June 30, 2025 and the 2026 Notes (as defined in Note 10) totaling $</w:t>
      </w:r>
      <w:bookmarkStart w:id="221" w:name="xdx_904_eus-gaap--DebtInstrumentIssuedPr"/>
      <w:bookmarkEnd w:id="221"/>
      <w:r>
        <w:rPr>
          <w:rFonts w:ascii="Times New Roman;Times;Serif" w:hAnsi="Times New Roman;Times;Serif"/>
          <w:b w:val="false"/>
          <w:i w:val="false"/>
          <w:caps w:val="false"/>
          <w:smallCaps w:val="false"/>
          <w:sz w:val="20"/>
        </w:rPr>
        <w:t>75,000,000 in principal amount outstanding at June 30, 2025 become due in January 2026 and April 2026, respectively. The maturity of these debt obligations prior to their maturities without a refinancing event could raise substantial doubt about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discussions with its current senior lender, Oaktree Fund Administration, LLC, as administrative agent for the lenders (together, “Oaktree”), and other potential lenders about refinancing the Oaktree Loan and the 2026 Notes. Management believes it is probable that the Company will be able to refinance the Oaktree Loan and the 2026 Notes based on the Company’s collateral strength and expected cash flows from operations; however, there can be no assurance that the Company will be able to refinance the indebtedness on terms acceptable to it,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one of the other alternatives available to it in lieu of refinancing the Oaktree Loan and the 2026 Notes is the sale of one or more of the Company’s assets. There can be no assurance that any sale could be completed on a timely basis or on terms acceptable to the Company. If the Company is unable to successfully refinance the Oaktree Loan and the 2026 Notes, or sell assets to raise sufficient capital, the Company does not expect to have the ability to repay the Oaktree Loan and the 2026 Notes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are prepared on a going concern basis and do not include any adjustments that might result from the Company’s inability to refinance the Oaktree Loan and the 2026 Notes or sell some of its assets to meet its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2" w:name="xdx_86E_z1tTiwYqhKrc"/>
      <w:bookmarkStart w:id="223" w:name="xdx_849_eus-gaap--CreditLossFinancialIns"/>
      <w:bookmarkEnd w:id="222"/>
      <w:bookmarkEnd w:id="223"/>
      <w:r>
        <w:rPr>
          <w:rFonts w:ascii="Times New Roman;Times;Serif" w:hAnsi="Times New Roman;Times;Serif"/>
          <w:b/>
          <w:i w:val="false"/>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provision for credit losses for accounts receivable, the Company has disaggregated its accounts receivable by class of customer at the business component level, as management determined that the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4" w:name="xdx_89D_eus-gaap--AccountsReceivableAllo"/>
      <w:bookmarkEnd w:id="224"/>
      <w:r>
        <w:rPr>
          <w:rFonts w:ascii="Times New Roman;Times;Serif" w:hAnsi="Times New Roman;Times;Serif"/>
          <w:b w:val="false"/>
          <w:i w:val="false"/>
          <w:caps w:val="false"/>
          <w:smallCaps w:val="false"/>
          <w:sz w:val="20"/>
        </w:rPr>
        <w:t>The following table provides a roll-forward of the allowance for credit losses that is deducted from the amortized cost basis of accounts receivable to present the net amount expected to be collected at June 30, 2025:</w:t>
      </w:r>
    </w:p>
    <w:p>
      <w:pPr>
        <w:pStyle w:val="TextBody"/>
        <w:bidi w:val="0"/>
        <w:spacing w:before="0" w:after="0"/>
        <w:ind w:left="0" w:right="0" w:hanging="0"/>
        <w:jc w:val="both"/>
        <w:rPr>
          <w:caps w:val="false"/>
          <w:smallCaps w:val="false"/>
        </w:rPr>
      </w:pPr>
      <w:r>
        <w:rPr>
          <w:caps w:val="false"/>
          <w:smallCaps w:val="false"/>
        </w:rPr>
        <w:t>  </w:t>
      </w:r>
      <w:bookmarkStart w:id="225" w:name="xdx_8B4_zu7gKs0M9jl1"/>
      <w:bookmarkEnd w:id="225"/>
      <w:r>
        <w:rPr>
          <w:rFonts w:ascii="Times New Roman;Times;Serif" w:hAnsi="Times New Roman;Times;Serif"/>
          <w:b/>
          <w:i w:val="false"/>
          <w:caps w:val="false"/>
          <w:smallCaps w:val="false"/>
          <w:sz w:val="20"/>
        </w:rPr>
        <w:t>SCHEDULE OF ACCOUNTS RECEIVABLE ALLOWANCE OF CREDIT LOSS </w:t>
      </w:r>
    </w:p>
    <w:tbl>
      <w:tblPr>
        <w:tblW w:w="4220" w:type="dxa"/>
        <w:jc w:val="left"/>
        <w:tblInd w:w="0" w:type="dxa"/>
        <w:tblLayout w:type="fixed"/>
        <w:tblCellMar>
          <w:top w:w="0" w:type="dxa"/>
          <w:left w:w="0" w:type="dxa"/>
          <w:bottom w:w="0" w:type="dxa"/>
          <w:right w:w="0" w:type="dxa"/>
        </w:tblCellMar>
      </w:tblPr>
      <w:tblGrid>
        <w:gridCol w:w="3110"/>
        <w:gridCol w:w="60"/>
        <w:gridCol w:w="140"/>
        <w:gridCol w:w="800"/>
        <w:gridCol w:w="110"/>
      </w:tblGrid>
      <w:tr>
        <w:trPr/>
        <w:tc>
          <w:tcPr>
            <w:tcW w:w="3110" w:type="dxa"/>
            <w:tcBorders/>
            <w:shd w:fill="CCEEFF" w:val="clear"/>
            <w:vAlign w:val="center"/>
          </w:tcPr>
          <w:p>
            <w:pPr>
              <w:pStyle w:val="TableContents"/>
              <w:bidi w:val="0"/>
              <w:spacing w:before="0" w:after="283"/>
              <w:jc w:val="both"/>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26" w:name="xdx_989_eus-gaap--AllowanceForDoubtfulAc"/>
            <w:bookmarkEnd w:id="226"/>
          </w:p>
        </w:tc>
        <w:tc>
          <w:tcPr>
            <w:tcW w:w="800" w:type="dxa"/>
            <w:tcBorders/>
            <w:shd w:fill="CCEEFF" w:val="clear"/>
            <w:vAlign w:val="center"/>
          </w:tcPr>
          <w:p>
            <w:pPr>
              <w:pStyle w:val="TableContents"/>
              <w:bidi w:val="0"/>
              <w:spacing w:before="0" w:after="283"/>
              <w:jc w:val="right"/>
              <w:rPr/>
            </w:pPr>
            <w:r>
              <w:rPr/>
              <w:t>416,000</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both"/>
              <w:rPr/>
            </w:pPr>
            <w:r>
              <w:rPr/>
              <w:t>Change in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7" w:name="xdx_989_eus-gaap--AllowanceForDoubtfulAc"/>
            <w:bookmarkEnd w:id="227"/>
          </w:p>
        </w:tc>
        <w:tc>
          <w:tcPr>
            <w:tcW w:w="800" w:type="dxa"/>
            <w:tcBorders/>
            <w:shd w:fill="FFFFFF" w:val="clear"/>
            <w:vAlign w:val="center"/>
          </w:tcPr>
          <w:p>
            <w:pPr>
              <w:pStyle w:val="TableContents"/>
              <w:bidi w:val="0"/>
              <w:spacing w:before="0" w:after="283"/>
              <w:jc w:val="right"/>
              <w:rPr/>
            </w:pPr>
            <w:r>
              <w:rPr/>
              <w:t>340,000</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Write-offs, net of recoveries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8" w:name="xdx_984_eus-gaap--AllowanceForDoubtfulAc"/>
            <w:bookmarkEnd w:id="228"/>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(68,000</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both"/>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29" w:name="xdx_989_eus-gaap--AllowanceForDoubtfulAc"/>
            <w:bookmarkEnd w:id="229"/>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688,000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30" w:name="xdx_8A1_zywpSHlCAE5k"/>
      <w:bookmarkEnd w:id="230"/>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1" w:name="xdx_867_zFK2hKwmzaAg"/>
      <w:bookmarkStart w:id="232" w:name="xdx_841_eus-gaap--FairValueMeasurementPo"/>
      <w:bookmarkEnd w:id="231"/>
      <w:bookmarkEnd w:id="232"/>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2026 Notes (as defined in Note 10) are carried at face value, including the unamortized premium, less unamortized debt issuance costs, the 2027 Notes (as described in Note 10) are carried at face value less unamortized debt issuance costs, and the Oaktree Loan (as defined in Note 10) is carried at face value less the original issue discount and unamortized debt issuance costs on the condensed consolidated balance sheets and the Company presents fair value for disclosure purposes only. The 2026 Notes and the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3" w:name="xdx_891_eus-gaap--ScheduleOfCarryingValu"/>
      <w:bookmarkEnd w:id="233"/>
      <w:r>
        <w:rPr>
          <w:rFonts w:ascii="Times New Roman;Times;Serif" w:hAnsi="Times New Roman;Times;Serif"/>
          <w:b w:val="false"/>
          <w:i w:val="false"/>
          <w:caps w:val="false"/>
          <w:smallCaps w:val="false"/>
          <w:sz w:val="20"/>
        </w:rPr>
        <w:t>The following table presents the estimated fair values and the carrying values:</w:t>
      </w:r>
    </w:p>
    <w:p>
      <w:pPr>
        <w:pStyle w:val="TextBody"/>
        <w:bidi w:val="0"/>
        <w:spacing w:before="0" w:after="0"/>
        <w:ind w:left="0" w:right="0" w:hanging="0"/>
        <w:jc w:val="both"/>
        <w:rPr>
          <w:caps w:val="false"/>
          <w:smallCaps w:val="false"/>
        </w:rPr>
      </w:pPr>
      <w:r>
        <w:rPr>
          <w:caps w:val="false"/>
          <w:smallCaps w:val="false"/>
        </w:rPr>
        <w:t> </w:t>
      </w:r>
      <w:bookmarkStart w:id="234" w:name="xdx_8B7_z9DT8kvvm3I"/>
      <w:bookmarkEnd w:id="234"/>
      <w:r>
        <w:rPr>
          <w:rFonts w:ascii="Times New Roman;Times;Serif" w:hAnsi="Times New Roman;Times;Serif"/>
          <w:b w:val="false"/>
          <w:i w:val="false"/>
          <w:caps w:val="false"/>
          <w:smallCaps w:val="false"/>
          <w:sz w:val="20"/>
        </w:rPr>
        <w:t>SCHEDULE OF ESTIMATED FAIR VALUE</w:t>
      </w:r>
    </w:p>
    <w:tbl>
      <w:tblPr>
        <w:tblW w:w="7533" w:type="dxa"/>
        <w:jc w:val="left"/>
        <w:tblInd w:w="0" w:type="dxa"/>
        <w:tblLayout w:type="fixed"/>
        <w:tblCellMar>
          <w:top w:w="0" w:type="dxa"/>
          <w:left w:w="0" w:type="dxa"/>
          <w:bottom w:w="0" w:type="dxa"/>
          <w:right w:w="0" w:type="dxa"/>
        </w:tblCellMar>
      </w:tblPr>
      <w:tblGrid>
        <w:gridCol w:w="1340"/>
        <w:gridCol w:w="60"/>
        <w:gridCol w:w="153"/>
        <w:gridCol w:w="1336"/>
        <w:gridCol w:w="60"/>
        <w:gridCol w:w="60"/>
        <w:gridCol w:w="140"/>
        <w:gridCol w:w="1220"/>
        <w:gridCol w:w="60"/>
        <w:gridCol w:w="60"/>
        <w:gridCol w:w="153"/>
        <w:gridCol w:w="1336"/>
        <w:gridCol w:w="60"/>
        <w:gridCol w:w="60"/>
        <w:gridCol w:w="140"/>
        <w:gridCol w:w="1220"/>
        <w:gridCol w:w="75"/>
      </w:tblGrid>
      <w:tr>
        <w:trPr/>
        <w:tc>
          <w:tcPr>
            <w:tcW w:w="1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69" w:type="dxa"/>
            <w:gridSpan w:val="6"/>
            <w:tcBorders>
              <w:bottom w:val="single" w:sz="8" w:space="0" w:color="000000"/>
            </w:tcBorders>
            <w:tcMar>
              <w:bottom w:w="28" w:type="dxa"/>
            </w:tcMar>
            <w:vAlign w:val="center"/>
          </w:tcPr>
          <w:p>
            <w:pPr>
              <w:pStyle w:val="TableContents"/>
              <w:bidi w:val="0"/>
              <w:spacing w:before="0" w:after="283"/>
              <w:jc w:val="center"/>
              <w:rPr/>
            </w:pPr>
            <w:r>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9" w:type="dxa"/>
            <w:gridSpan w:val="6"/>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Fair Value</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both"/>
              <w:rPr/>
            </w:pPr>
            <w:r>
              <w:rPr/>
              <w:t>2026 Notes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bookmarkStart w:id="235" w:name="xdx_981_eus-gaap--DebtInstrumentCarrying"/>
            <w:bookmarkEnd w:id="235"/>
          </w:p>
        </w:tc>
        <w:tc>
          <w:tcPr>
            <w:tcW w:w="1336" w:type="dxa"/>
            <w:tcBorders/>
            <w:shd w:fill="CCEEFF" w:val="clear"/>
            <w:vAlign w:val="center"/>
          </w:tcPr>
          <w:p>
            <w:pPr>
              <w:pStyle w:val="TableContents"/>
              <w:bidi w:val="0"/>
              <w:spacing w:before="0" w:after="283"/>
              <w:jc w:val="right"/>
              <w:rPr/>
            </w:pPr>
            <w:r>
              <w:rPr/>
              <w:t>74,389,000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6" w:name="xdx_981_eus-gaap--DebtInstrumentFairValu"/>
            <w:bookmarkEnd w:id="236"/>
          </w:p>
        </w:tc>
        <w:tc>
          <w:tcPr>
            <w:tcW w:w="1220" w:type="dxa"/>
            <w:tcBorders/>
            <w:shd w:fill="CCEEFF" w:val="clear"/>
            <w:vAlign w:val="center"/>
          </w:tcPr>
          <w:p>
            <w:pPr>
              <w:pStyle w:val="TableContents"/>
              <w:bidi w:val="0"/>
              <w:spacing w:before="0" w:after="283"/>
              <w:jc w:val="right"/>
              <w:rPr/>
            </w:pPr>
            <w:r>
              <w:rPr/>
              <w:t>76,560,000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bookmarkStart w:id="237" w:name="xdx_98B_eus-gaap--DebtInstrumentCarrying"/>
            <w:bookmarkEnd w:id="237"/>
          </w:p>
        </w:tc>
        <w:tc>
          <w:tcPr>
            <w:tcW w:w="1336" w:type="dxa"/>
            <w:tcBorders/>
            <w:shd w:fill="CCEEFF" w:val="clear"/>
            <w:vAlign w:val="center"/>
          </w:tcPr>
          <w:p>
            <w:pPr>
              <w:pStyle w:val="TableContents"/>
              <w:bidi w:val="0"/>
              <w:spacing w:before="0" w:after="283"/>
              <w:jc w:val="right"/>
              <w:rPr/>
            </w:pPr>
            <w:r>
              <w:rPr/>
              <w:t>74,002,000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38" w:name="xdx_98F_eus-gaap--DebtInstrumentFairValu"/>
            <w:bookmarkEnd w:id="238"/>
          </w:p>
        </w:tc>
        <w:tc>
          <w:tcPr>
            <w:tcW w:w="1220" w:type="dxa"/>
            <w:tcBorders/>
            <w:shd w:fill="CCEEFF" w:val="clear"/>
            <w:vAlign w:val="center"/>
          </w:tcPr>
          <w:p>
            <w:pPr>
              <w:pStyle w:val="TableContents"/>
              <w:bidi w:val="0"/>
              <w:spacing w:before="0" w:after="283"/>
              <w:jc w:val="right"/>
              <w:rPr/>
            </w:pPr>
            <w:r>
              <w:rPr/>
              <w:t>75,840,000</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2027 Notes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bookmarkStart w:id="239" w:name="xdx_989_eus-gaap--DebtInstrumentCarrying"/>
            <w:bookmarkEnd w:id="239"/>
          </w:p>
        </w:tc>
        <w:tc>
          <w:tcPr>
            <w:tcW w:w="1336" w:type="dxa"/>
            <w:tcBorders/>
            <w:shd w:fill="FFFFFF" w:val="clear"/>
            <w:vAlign w:val="center"/>
          </w:tcPr>
          <w:p>
            <w:pPr>
              <w:pStyle w:val="TableContents"/>
              <w:bidi w:val="0"/>
              <w:spacing w:before="0" w:after="283"/>
              <w:jc w:val="right"/>
              <w:rPr/>
            </w:pPr>
            <w:r>
              <w:rPr/>
              <w:t>38,484,000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40" w:name="xdx_98B_eus-gaap--DebtInstrumentFairValu"/>
            <w:bookmarkEnd w:id="240"/>
          </w:p>
        </w:tc>
        <w:tc>
          <w:tcPr>
            <w:tcW w:w="1220" w:type="dxa"/>
            <w:tcBorders/>
            <w:shd w:fill="FFFFFF" w:val="clear"/>
            <w:vAlign w:val="center"/>
          </w:tcPr>
          <w:p>
            <w:pPr>
              <w:pStyle w:val="TableContents"/>
              <w:bidi w:val="0"/>
              <w:spacing w:before="0" w:after="283"/>
              <w:jc w:val="right"/>
              <w:rPr/>
            </w:pPr>
            <w:r>
              <w:rPr/>
              <w:t>42,391,000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bookmarkStart w:id="241" w:name="xdx_98B_eus-gaap--DebtInstrumentCarrying"/>
            <w:bookmarkEnd w:id="241"/>
          </w:p>
        </w:tc>
        <w:tc>
          <w:tcPr>
            <w:tcW w:w="1336" w:type="dxa"/>
            <w:tcBorders/>
            <w:shd w:fill="FFFFFF" w:val="clear"/>
            <w:vAlign w:val="center"/>
          </w:tcPr>
          <w:p>
            <w:pPr>
              <w:pStyle w:val="TableContents"/>
              <w:bidi w:val="0"/>
              <w:spacing w:before="0" w:after="283"/>
              <w:jc w:val="right"/>
              <w:rPr/>
            </w:pPr>
            <w:r>
              <w:rPr/>
              <w:t>38,130,000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42" w:name="xdx_98B_eus-gaap--DebtInstrumentFairValu"/>
            <w:bookmarkEnd w:id="242"/>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42,198,000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both"/>
              <w:rPr/>
            </w:pPr>
            <w:r>
              <w:rPr/>
              <w:t>Oaktree Loan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bookmarkStart w:id="243" w:name="xdx_98D_eus-gaap--DebtInstrumentCarrying"/>
            <w:bookmarkEnd w:id="243"/>
          </w:p>
        </w:tc>
        <w:tc>
          <w:tcPr>
            <w:tcW w:w="1336" w:type="dxa"/>
            <w:tcBorders/>
            <w:shd w:fill="CCEEFF" w:val="clear"/>
            <w:vAlign w:val="center"/>
          </w:tcPr>
          <w:p>
            <w:pPr>
              <w:pStyle w:val="TableContents"/>
              <w:bidi w:val="0"/>
              <w:spacing w:before="0" w:after="283"/>
              <w:jc w:val="right"/>
              <w:rPr/>
            </w:pPr>
            <w:r>
              <w:rPr/>
              <w:t>109,229,000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44" w:name="xdx_987_eus-gaap--DebtInstrumentFairValu"/>
            <w:bookmarkEnd w:id="244"/>
          </w:p>
        </w:tc>
        <w:tc>
          <w:tcPr>
            <w:tcW w:w="1220" w:type="dxa"/>
            <w:tcBorders/>
            <w:shd w:fill="CCEEFF" w:val="clear"/>
            <w:vAlign w:val="center"/>
          </w:tcPr>
          <w:p>
            <w:pPr>
              <w:pStyle w:val="TableContents"/>
              <w:bidi w:val="0"/>
              <w:spacing w:before="0" w:after="283"/>
              <w:jc w:val="right"/>
              <w:rPr/>
            </w:pPr>
            <w:r>
              <w:rPr/>
              <w:t>113,488,000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bookmarkStart w:id="245" w:name="xdx_98A_eus-gaap--DebtInstrumentCarrying"/>
            <w:bookmarkEnd w:id="245"/>
          </w:p>
        </w:tc>
        <w:tc>
          <w:tcPr>
            <w:tcW w:w="1336" w:type="dxa"/>
            <w:tcBorders/>
            <w:shd w:fill="CCEEFF" w:val="clear"/>
            <w:vAlign w:val="center"/>
          </w:tcPr>
          <w:p>
            <w:pPr>
              <w:pStyle w:val="TableContents"/>
              <w:bidi w:val="0"/>
              <w:spacing w:before="0" w:after="283"/>
              <w:jc w:val="right"/>
              <w:rPr/>
            </w:pPr>
            <w:r>
              <w:rPr/>
              <w:t>107,407,000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46" w:name="xdx_98B_eus-gaap--DebtInstrumentFairValu"/>
            <w:bookmarkEnd w:id="246"/>
          </w:p>
        </w:tc>
        <w:tc>
          <w:tcPr>
            <w:tcW w:w="1220" w:type="dxa"/>
            <w:tcBorders/>
            <w:shd w:fill="CCEEFF" w:val="clear"/>
            <w:vAlign w:val="center"/>
          </w:tcPr>
          <w:p>
            <w:pPr>
              <w:pStyle w:val="TableContents"/>
              <w:bidi w:val="0"/>
              <w:spacing w:before="0" w:after="283"/>
              <w:jc w:val="right"/>
              <w:rPr/>
            </w:pPr>
            <w:r>
              <w:rPr/>
              <w:t>112,932,000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47" w:name="xdx_8AD_zP6qbOMCrwbf"/>
      <w:bookmarkEnd w:id="2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8" w:name="xdx_864_zh15XBAOSFLd"/>
      <w:bookmarkStart w:id="249" w:name="xdx_849_eus-gaap--EarningsPerSharePolicy"/>
      <w:bookmarkEnd w:id="248"/>
      <w:bookmarkEnd w:id="249"/>
      <w:r>
        <w:rPr>
          <w:rFonts w:ascii="Times New Roman;Times;Serif" w:hAnsi="Times New Roman;Times;Serif"/>
          <w:b/>
          <w:i w:val="false"/>
          <w:caps w:val="false"/>
          <w:smallCaps w:val="false"/>
          <w:sz w:val="20"/>
        </w:rPr>
        <w:t>Basic and Diluted Net Income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income (loss) per common share is computed by dividing net income (loss) attributable to common stockholders for the period by the weighted average number of common shares outstanding during the period. Diluted net income (loss) per share is computed by dividing the net income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method) from stock options, unvested RSUs, unvested PSUs and warrants were </w:t>
      </w:r>
      <w:bookmarkStart w:id="250" w:name="xdx_90F_eus-gaap--AntidilutiveSecurities"/>
      <w:bookmarkEnd w:id="250"/>
      <w:r>
        <w:rPr>
          <w:rFonts w:ascii="Times New Roman;Times;Serif" w:hAnsi="Times New Roman;Times;Serif"/>
          <w:b w:val="false"/>
          <w:i w:val="false"/>
          <w:caps w:val="false"/>
          <w:smallCaps w:val="false"/>
          <w:sz w:val="20"/>
        </w:rPr>
        <w:t xml:space="preserve">2,816,409 and </w:t>
      </w:r>
      <w:bookmarkStart w:id="251" w:name="xdx_90F_eus-gaap--AntidilutiveSecurities"/>
      <w:bookmarkStart w:id="252" w:name="xdx_907_eus-gaap--AntidilutiveSecurities"/>
      <w:bookmarkEnd w:id="251"/>
      <w:bookmarkEnd w:id="252"/>
      <w:r>
        <w:rPr>
          <w:rFonts w:ascii="Times New Roman;Times;Serif" w:hAnsi="Times New Roman;Times;Serif"/>
          <w:b w:val="false"/>
          <w:i w:val="false"/>
          <w:caps w:val="false"/>
          <w:smallCaps w:val="false"/>
          <w:sz w:val="20"/>
        </w:rPr>
        <w:t xml:space="preserve">4,488,940 for the six-months ended June 30, 2025 and the three and six-months ended June 30, 2024, respectively, and are excluded in the calculation of diluted net loss per common share for the periods presented, because the effect is anti-dilutive. Included in the basic and diluted net income (loss) per share calculation were RSUs awarded to directors that had vested, but the issuance and delivery of the shares are deferred until the director ceases providing services to the Company. The number of shares underlying vested RSUs at June 30, 2025 and 2024 was </w:t>
      </w:r>
      <w:bookmarkStart w:id="253" w:name="xdx_909_eus-gaap--StockIssuedDuringPerio"/>
      <w:bookmarkEnd w:id="253"/>
      <w:r>
        <w:rPr>
          <w:rFonts w:ascii="Times New Roman;Times;Serif" w:hAnsi="Times New Roman;Times;Serif"/>
          <w:b w:val="false"/>
          <w:i w:val="false"/>
          <w:caps w:val="false"/>
          <w:smallCaps w:val="false"/>
          <w:sz w:val="20"/>
        </w:rPr>
        <w:t xml:space="preserve">212,452 and </w:t>
      </w:r>
      <w:bookmarkStart w:id="254" w:name="xdx_90C_eus-gaap--StockIssuedDuringPerio"/>
      <w:bookmarkEnd w:id="254"/>
      <w:r>
        <w:rPr>
          <w:rFonts w:ascii="Times New Roman;Times;Serif" w:hAnsi="Times New Roman;Times;Serif"/>
          <w:b w:val="false"/>
          <w:i w:val="false"/>
          <w:caps w:val="false"/>
          <w:smallCaps w:val="false"/>
          <w:sz w:val="20"/>
        </w:rPr>
        <w:t>181,038,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5" w:name="xdx_895_eus-gaap--ScheduleOfEarningsPerS"/>
      <w:bookmarkEnd w:id="255"/>
      <w:r>
        <w:rPr>
          <w:rFonts w:ascii="Times New Roman;Times;Serif" w:hAnsi="Times New Roman;Times;Serif"/>
          <w:b w:val="false"/>
          <w:i w:val="false"/>
          <w:caps w:val="false"/>
          <w:smallCaps w:val="false"/>
          <w:sz w:val="20"/>
        </w:rPr>
        <w:t>The following table shows the computation of basic net income (loss) per share of common stock:</w:t>
      </w:r>
    </w:p>
    <w:p>
      <w:pPr>
        <w:pStyle w:val="TextBody"/>
        <w:bidi w:val="0"/>
        <w:spacing w:before="0" w:after="0"/>
        <w:ind w:left="0" w:right="0" w:hanging="0"/>
        <w:jc w:val="both"/>
        <w:rPr>
          <w:caps w:val="false"/>
          <w:smallCaps w:val="false"/>
        </w:rPr>
      </w:pPr>
      <w:r>
        <w:rPr>
          <w:caps w:val="false"/>
          <w:smallCaps w:val="false"/>
        </w:rPr>
        <w:t> </w:t>
      </w:r>
      <w:bookmarkStart w:id="256" w:name="xdx_8B3_z0hq7jmBqCu1"/>
      <w:bookmarkEnd w:id="256"/>
      <w:r>
        <w:rPr>
          <w:rFonts w:ascii="Times New Roman;Times;Serif" w:hAnsi="Times New Roman;Times;Serif"/>
          <w:b w:val="false"/>
          <w:i w:val="false"/>
          <w:caps w:val="false"/>
          <w:smallCaps w:val="false"/>
          <w:sz w:val="20"/>
        </w:rPr>
        <w:t>SCHEDULE OF BASIC EARNINGS PER COMMON SHARE</w:t>
      </w:r>
    </w:p>
    <w:tbl>
      <w:tblPr>
        <w:tblW w:w="10205" w:type="dxa"/>
        <w:jc w:val="left"/>
        <w:tblInd w:w="0" w:type="dxa"/>
        <w:tblLayout w:type="fixed"/>
        <w:tblCellMar>
          <w:top w:w="0" w:type="dxa"/>
          <w:left w:w="0" w:type="dxa"/>
          <w:bottom w:w="0" w:type="dxa"/>
          <w:right w:w="0" w:type="dxa"/>
        </w:tblCellMar>
      </w:tblPr>
      <w:tblGrid>
        <w:gridCol w:w="4163"/>
        <w:gridCol w:w="60"/>
        <w:gridCol w:w="151"/>
        <w:gridCol w:w="1195"/>
        <w:gridCol w:w="64"/>
        <w:gridCol w:w="64"/>
        <w:gridCol w:w="151"/>
        <w:gridCol w:w="1195"/>
        <w:gridCol w:w="95"/>
        <w:gridCol w:w="60"/>
        <w:gridCol w:w="145"/>
        <w:gridCol w:w="1223"/>
        <w:gridCol w:w="95"/>
        <w:gridCol w:w="60"/>
        <w:gridCol w:w="145"/>
        <w:gridCol w:w="1223"/>
        <w:gridCol w:w="116"/>
      </w:tblGrid>
      <w:tr>
        <w:trPr/>
        <w:tc>
          <w:tcPr>
            <w:tcW w:w="41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r>
          </w:p>
        </w:tc>
        <w:tc>
          <w:tcPr>
            <w:tcW w:w="116" w:type="dxa"/>
            <w:tcBorders/>
            <w:vAlign w:val="center"/>
          </w:tcPr>
          <w:p>
            <w:pPr>
              <w:pStyle w:val="TableContents"/>
              <w:bidi w:val="0"/>
              <w:spacing w:before="0" w:after="283"/>
              <w:jc w:val="left"/>
              <w:rPr/>
            </w:pPr>
            <w:r>
              <w:rPr/>
              <w:t> </w:t>
            </w:r>
          </w:p>
        </w:tc>
      </w:tr>
      <w:tr>
        <w:trPr/>
        <w:tc>
          <w:tcPr>
            <w:tcW w:w="41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116" w:type="dxa"/>
            <w:tcBorders/>
            <w:vAlign w:val="center"/>
          </w:tcPr>
          <w:p>
            <w:pPr>
              <w:pStyle w:val="TableContents"/>
              <w:bidi w:val="0"/>
              <w:spacing w:before="0" w:after="283"/>
              <w:jc w:val="left"/>
              <w:rPr/>
            </w:pPr>
            <w:r>
              <w:rPr/>
              <w:t> </w:t>
            </w:r>
          </w:p>
        </w:tc>
      </w:tr>
      <w:tr>
        <w:trPr/>
        <w:tc>
          <w:tcPr>
            <w:tcW w:w="41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r>
        <w:trPr/>
        <w:tc>
          <w:tcPr>
            <w:tcW w:w="4163" w:type="dxa"/>
            <w:tcBorders/>
            <w:shd w:fill="CCEEFF" w:val="clear"/>
            <w:vAlign w:val="center"/>
          </w:tcPr>
          <w:p>
            <w:pPr>
              <w:pStyle w:val="TableContents"/>
              <w:bidi w:val="0"/>
              <w:spacing w:before="0" w:after="283"/>
              <w:jc w:val="both"/>
              <w:rPr/>
            </w:pPr>
            <w:r>
              <w:rPr/>
              <w:t>Numerator – net income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7" w:name="xdx_907_eus-gaap--NetIncomeLossAvailable"/>
            <w:bookmarkEnd w:id="257"/>
            <w:r>
              <w:rPr/>
              <w:t>4,995,000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8" w:name="xdx_90E_eus-gaap--NetIncomeLossAvailable"/>
            <w:bookmarkEnd w:id="258"/>
            <w:r>
              <w:rPr/>
              <w:t>(6,473,000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59" w:name="xdx_908_eus-gaap--NetIncomeLossAvailable"/>
            <w:bookmarkEnd w:id="259"/>
            <w:r>
              <w:rPr/>
              <w:t>(12,785,000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0" w:name="xdx_90F_eus-gaap--NetIncomeLossAvailable"/>
            <w:bookmarkEnd w:id="260"/>
            <w:r>
              <w:rPr/>
              <w:t>(20,038,000</w:t>
            </w:r>
          </w:p>
        </w:tc>
        <w:tc>
          <w:tcPr>
            <w:tcW w:w="116" w:type="dxa"/>
            <w:tcBorders/>
            <w:shd w:fill="CCEEFF" w:val="clear"/>
            <w:vAlign w:val="center"/>
          </w:tcPr>
          <w:p>
            <w:pPr>
              <w:pStyle w:val="TableContents"/>
              <w:bidi w:val="0"/>
              <w:spacing w:before="0" w:after="283"/>
              <w:jc w:val="left"/>
              <w:rPr/>
            </w:pPr>
            <w:r>
              <w:rPr/>
              <w:t>)</w:t>
            </w:r>
          </w:p>
        </w:tc>
      </w:tr>
      <w:tr>
        <w:trPr/>
        <w:tc>
          <w:tcPr>
            <w:tcW w:w="4163" w:type="dxa"/>
            <w:tcBorders/>
            <w:shd w:fill="FFFFFF" w:val="clear"/>
            <w:vAlign w:val="center"/>
          </w:tcPr>
          <w:p>
            <w:pPr>
              <w:pStyle w:val="TableContents"/>
              <w:bidi w:val="0"/>
              <w:spacing w:before="0" w:after="283"/>
              <w:jc w:val="both"/>
              <w:rPr/>
            </w:pPr>
            <w:r>
              <w:rPr/>
              <w:t>Denominator – weighted average number of shares outstanding, basic</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61" w:name="xdx_901_eus-gaap--WeightedAverageNumberO"/>
            <w:bookmarkEnd w:id="261"/>
            <w:r>
              <w:rPr/>
              <w:t>36,790,306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62" w:name="xdx_90C_eus-gaap--WeightedAverageNumberO"/>
            <w:bookmarkEnd w:id="262"/>
            <w:r>
              <w:rPr/>
              <w:t>35,618,977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63" w:name="xdx_90D_eus-gaap--WeightedAverageNumberO"/>
            <w:bookmarkEnd w:id="263"/>
            <w:r>
              <w:rPr/>
              <w:t>36,304,787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64" w:name="xdx_90C_eus-gaap--WeightedAverageNumberO"/>
            <w:bookmarkEnd w:id="264"/>
            <w:r>
              <w:rPr/>
              <w:t>35,544,312</w:t>
            </w:r>
          </w:p>
        </w:tc>
        <w:tc>
          <w:tcPr>
            <w:tcW w:w="116" w:type="dxa"/>
            <w:tcBorders/>
            <w:shd w:fill="FFFFFF" w:val="clear"/>
            <w:vAlign w:val="center"/>
          </w:tcPr>
          <w:p>
            <w:pPr>
              <w:pStyle w:val="TableContents"/>
              <w:bidi w:val="0"/>
              <w:spacing w:before="0" w:after="283"/>
              <w:jc w:val="left"/>
              <w:rPr/>
            </w:pPr>
            <w:r>
              <w:rPr/>
              <w:t> </w:t>
            </w:r>
          </w:p>
        </w:tc>
      </w:tr>
      <w:tr>
        <w:trPr/>
        <w:tc>
          <w:tcPr>
            <w:tcW w:w="4163" w:type="dxa"/>
            <w:tcBorders/>
            <w:shd w:fill="CCEEFF" w:val="clear"/>
            <w:vAlign w:val="center"/>
          </w:tcPr>
          <w:p>
            <w:pPr>
              <w:pStyle w:val="TableContents"/>
              <w:bidi w:val="0"/>
              <w:spacing w:before="0" w:after="283"/>
              <w:jc w:val="both"/>
              <w:rPr>
                <w:b/>
              </w:rPr>
            </w:pPr>
            <w:r>
              <w:rPr>
                <w:b/>
              </w:rPr>
              <w:t>Net income (loss) per share, basic</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5" w:name="xdx_90C_eus-gaap--EarningsPerShareBasic_"/>
            <w:bookmarkEnd w:id="265"/>
            <w:r>
              <w:rPr/>
              <w:t>0.14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6" w:name="xdx_90A_eus-gaap--EarningsPerShareBasic_"/>
            <w:bookmarkEnd w:id="266"/>
            <w:r>
              <w:rPr/>
              <w:t>(0.18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7" w:name="xdx_907_eus-gaap--EarningsPerShareBasic_"/>
            <w:bookmarkEnd w:id="267"/>
            <w:r>
              <w:rPr/>
              <w:t>(0.35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8" w:name="xdx_90D_eus-gaap--EarningsPerShareBasic_"/>
            <w:bookmarkEnd w:id="268"/>
            <w:r>
              <w:rPr/>
              <w:t>(0.56</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269" w:name="xdx_8A0_zFmW4Ed4Sw7h"/>
      <w:bookmarkEnd w:id="2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0" w:name="xdx_89D_eus-gaap--ScheduleOfAntidilutive"/>
      <w:bookmarkEnd w:id="270"/>
      <w:r>
        <w:rPr>
          <w:rFonts w:ascii="Times New Roman;Times;Serif" w:hAnsi="Times New Roman;Times;Serif"/>
          <w:b w:val="false"/>
          <w:i w:val="false"/>
          <w:caps w:val="false"/>
          <w:smallCaps w:val="false"/>
          <w:sz w:val="20"/>
        </w:rPr>
        <w:t xml:space="preserve">For the three months ended June 30, 2025, the Company computed diluted net income per share using the weighted-average number of common shares and dilutive common equivalent shares outstanding during that period. For the three-months the total excluded common stock equivalents was </w:t>
      </w:r>
      <w:bookmarkStart w:id="271" w:name="xdx_90D_ecustom--AntidilutiveSecuritiesE"/>
      <w:bookmarkEnd w:id="271"/>
      <w:r>
        <w:rPr>
          <w:rFonts w:ascii="Times New Roman;Times;Serif" w:hAnsi="Times New Roman;Times;Serif"/>
          <w:b w:val="false"/>
          <w:i w:val="false"/>
          <w:caps w:val="false"/>
          <w:smallCaps w:val="false"/>
          <w:sz w:val="20"/>
        </w:rPr>
        <w:t>188,836 because their effect was anti-dilutive. Diluted common equivalent shares for the three months ended June 30, 2025 consisted of the following: </w:t>
      </w:r>
    </w:p>
    <w:p>
      <w:pPr>
        <w:pStyle w:val="TextBody"/>
        <w:bidi w:val="0"/>
        <w:spacing w:before="0" w:after="0"/>
        <w:ind w:left="0" w:right="0" w:hanging="0"/>
        <w:jc w:val="both"/>
        <w:rPr>
          <w:caps w:val="false"/>
          <w:smallCaps w:val="false"/>
        </w:rPr>
      </w:pPr>
      <w:r>
        <w:rPr>
          <w:caps w:val="false"/>
          <w:smallCaps w:val="false"/>
        </w:rPr>
        <w:t> </w:t>
      </w:r>
      <w:bookmarkStart w:id="272" w:name="xdx_8BF_z4RKD4fj43ek"/>
      <w:bookmarkEnd w:id="272"/>
      <w:r>
        <w:rPr>
          <w:rFonts w:ascii="Times New Roman;Times;Serif" w:hAnsi="Times New Roman;Times;Serif"/>
          <w:b w:val="false"/>
          <w:i w:val="false"/>
          <w:caps w:val="false"/>
          <w:smallCaps w:val="false"/>
          <w:sz w:val="20"/>
        </w:rPr>
        <w:t>SCHEDULE OF DILUTED NET INCOME PER SHARE</w:t>
      </w:r>
    </w:p>
    <w:tbl>
      <w:tblPr>
        <w:tblW w:w="5034" w:type="dxa"/>
        <w:jc w:val="left"/>
        <w:tblInd w:w="0" w:type="dxa"/>
        <w:tblLayout w:type="fixed"/>
        <w:tblCellMar>
          <w:top w:w="0" w:type="dxa"/>
          <w:left w:w="0" w:type="dxa"/>
          <w:bottom w:w="0" w:type="dxa"/>
          <w:right w:w="0" w:type="dxa"/>
        </w:tblCellMar>
      </w:tblPr>
      <w:tblGrid>
        <w:gridCol w:w="3365"/>
        <w:gridCol w:w="60"/>
        <w:gridCol w:w="88"/>
        <w:gridCol w:w="1446"/>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3" w:name="xdx_499_20250401__20250630_zLckBKcfxCPd"/>
            <w:bookmarkEnd w:id="273"/>
          </w:p>
        </w:tc>
        <w:tc>
          <w:tcPr>
            <w:tcW w:w="1534" w:type="dxa"/>
            <w:gridSpan w:val="2"/>
            <w:tcBorders/>
            <w:vAlign w:val="center"/>
          </w:tcPr>
          <w:p>
            <w:pPr>
              <w:pStyle w:val="TableContents"/>
              <w:bidi w:val="0"/>
              <w:jc w:val="center"/>
              <w:rPr>
                <w:b/>
              </w:rPr>
            </w:pPr>
            <w:r>
              <w:rPr>
                <w:b/>
              </w:rPr>
              <w:t>Three</w:t>
            </w:r>
          </w:p>
          <w:p>
            <w:pPr>
              <w:pStyle w:val="TableContents"/>
              <w:bidi w:val="0"/>
              <w:spacing w:before="0" w:after="283"/>
              <w:jc w:val="center"/>
              <w:rPr>
                <w:b/>
              </w:rPr>
            </w:pPr>
            <w:r>
              <w:rPr>
                <w:b/>
              </w:rPr>
              <w:t>Months Ended</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pPr>
            <w:r>
              <w:rPr/>
              <w:t>Diluted shares related to:</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74" w:name="xdx_40C_eus-gaap--AntidilutiveSecurities"/>
            <w:bookmarkEnd w:id="274"/>
          </w:p>
        </w:tc>
      </w:tr>
      <w:tr>
        <w:trPr/>
        <w:tc>
          <w:tcPr>
            <w:tcW w:w="3365"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231,111</w:t>
            </w:r>
          </w:p>
        </w:tc>
        <w:tc>
          <w:tcPr>
            <w:tcW w:w="75" w:type="dxa"/>
            <w:tcBorders/>
            <w:shd w:fill="FFFFFF" w:val="clear"/>
            <w:vAlign w:val="center"/>
          </w:tcPr>
          <w:p>
            <w:pPr>
              <w:pStyle w:val="TableContents"/>
              <w:bidi w:val="0"/>
              <w:spacing w:before="0" w:after="283"/>
              <w:jc w:val="left"/>
              <w:rPr/>
            </w:pPr>
            <w:r>
              <w:rPr/>
              <w:t> </w:t>
            </w:r>
            <w:bookmarkStart w:id="275" w:name="xdx_40B_eus-gaap--AntidilutiveSecurities"/>
            <w:bookmarkEnd w:id="275"/>
          </w:p>
        </w:tc>
      </w:tr>
      <w:tr>
        <w:trPr/>
        <w:tc>
          <w:tcPr>
            <w:tcW w:w="3365"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1,832,438</w:t>
            </w:r>
          </w:p>
        </w:tc>
        <w:tc>
          <w:tcPr>
            <w:tcW w:w="75" w:type="dxa"/>
            <w:tcBorders/>
            <w:shd w:fill="CCEEFF" w:val="clear"/>
            <w:vAlign w:val="center"/>
          </w:tcPr>
          <w:p>
            <w:pPr>
              <w:pStyle w:val="TableContents"/>
              <w:bidi w:val="0"/>
              <w:spacing w:before="0" w:after="283"/>
              <w:jc w:val="left"/>
              <w:rPr/>
            </w:pPr>
            <w:r>
              <w:rPr/>
              <w:t> </w:t>
            </w:r>
            <w:bookmarkStart w:id="276" w:name="xdx_406_eus-gaap--AntidilutiveSecurities"/>
            <w:bookmarkEnd w:id="276"/>
          </w:p>
        </w:tc>
      </w:tr>
      <w:tr>
        <w:trPr/>
        <w:tc>
          <w:tcPr>
            <w:tcW w:w="3365" w:type="dxa"/>
            <w:tcBorders/>
            <w:shd w:fill="FFFFFF" w:val="clear"/>
            <w:vAlign w:val="center"/>
          </w:tcPr>
          <w:p>
            <w:pPr>
              <w:pStyle w:val="TableContents"/>
              <w:bidi w:val="0"/>
              <w:spacing w:before="0" w:after="283"/>
              <w:jc w:val="both"/>
              <w:rPr/>
            </w:pPr>
            <w:r>
              <w:rPr/>
              <w:t>Dilutive common equivalent shares</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FFFFFF" w:val="clear"/>
            <w:tcMar>
              <w:bottom w:w="28" w:type="dxa"/>
            </w:tcMar>
            <w:vAlign w:val="center"/>
          </w:tcPr>
          <w:p>
            <w:pPr>
              <w:pStyle w:val="TableContents"/>
              <w:bidi w:val="0"/>
              <w:spacing w:before="0" w:after="283"/>
              <w:jc w:val="right"/>
              <w:rPr/>
            </w:pPr>
            <w:r>
              <w:rPr/>
              <w:t>2,063,549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277" w:name="xdx_8A7_zIpVenCgSjC5"/>
      <w:bookmarkEnd w:id="277"/>
      <w:r>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bookmarkStart w:id="278" w:name="xdx_893_eus-gaap--ScheduleOfEarningsPerS"/>
      <w:bookmarkEnd w:id="278"/>
      <w:r>
        <w:rPr>
          <w:rFonts w:ascii="Times New Roman;Times;Serif" w:hAnsi="Times New Roman;Times;Serif"/>
          <w:b w:val="false"/>
          <w:i w:val="false"/>
          <w:caps w:val="false"/>
          <w:smallCaps w:val="false"/>
          <w:color w:val="212529"/>
          <w:sz w:val="20"/>
        </w:rPr>
        <w:t>The following table shows the computation of diluted net income per share using the weighted-average number of common shares and dilutive common equivalent shares outstanding for the three months ended June 30, 2025:</w:t>
      </w:r>
    </w:p>
    <w:p>
      <w:pPr>
        <w:pStyle w:val="TextBody"/>
        <w:bidi w:val="0"/>
        <w:spacing w:before="0" w:after="0"/>
        <w:ind w:left="0" w:right="0" w:hanging="0"/>
        <w:jc w:val="both"/>
        <w:rPr>
          <w:caps w:val="false"/>
          <w:smallCaps w:val="false"/>
          <w:color w:val="212529"/>
        </w:rPr>
      </w:pPr>
      <w:r>
        <w:rPr>
          <w:caps w:val="false"/>
          <w:smallCaps w:val="false"/>
          <w:color w:val="212529"/>
        </w:rPr>
        <w:t> </w:t>
      </w:r>
      <w:bookmarkStart w:id="279" w:name="xdx_8BF_zTHHx8mnSQb1"/>
      <w:bookmarkEnd w:id="279"/>
      <w:r>
        <w:rPr>
          <w:rFonts w:ascii="Times New Roman;Times;Serif" w:hAnsi="Times New Roman;Times;Serif"/>
          <w:b w:val="false"/>
          <w:i w:val="false"/>
          <w:caps w:val="false"/>
          <w:smallCaps w:val="false"/>
          <w:color w:val="212529"/>
          <w:sz w:val="20"/>
        </w:rPr>
        <w:t>SCHEDULE OF BASIC AND DILUTED EARNINGS PER COMMON SHARE</w:t>
      </w:r>
    </w:p>
    <w:tbl>
      <w:tblPr>
        <w:tblW w:w="7014" w:type="dxa"/>
        <w:jc w:val="left"/>
        <w:tblInd w:w="0" w:type="dxa"/>
        <w:tblLayout w:type="fixed"/>
        <w:tblCellMar>
          <w:top w:w="0" w:type="dxa"/>
          <w:left w:w="0" w:type="dxa"/>
          <w:bottom w:w="0" w:type="dxa"/>
          <w:right w:w="0" w:type="dxa"/>
        </w:tblCellMar>
      </w:tblPr>
      <w:tblGrid>
        <w:gridCol w:w="5345"/>
        <w:gridCol w:w="60"/>
        <w:gridCol w:w="173"/>
        <w:gridCol w:w="1361"/>
        <w:gridCol w:w="75"/>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0" w:name="xdx_499_20250401__20250630_zb1OeTrV68X6"/>
            <w:bookmarkEnd w:id="280"/>
          </w:p>
        </w:tc>
        <w:tc>
          <w:tcPr>
            <w:tcW w:w="1534" w:type="dxa"/>
            <w:gridSpan w:val="2"/>
            <w:tcBorders/>
            <w:vAlign w:val="center"/>
          </w:tcPr>
          <w:p>
            <w:pPr>
              <w:pStyle w:val="TableContents"/>
              <w:bidi w:val="0"/>
              <w:jc w:val="center"/>
              <w:rPr>
                <w:b/>
              </w:rPr>
            </w:pPr>
            <w:r>
              <w:rPr>
                <w:b/>
              </w:rPr>
              <w:t>Three</w:t>
            </w:r>
          </w:p>
          <w:p>
            <w:pPr>
              <w:pStyle w:val="TableContents"/>
              <w:bidi w:val="0"/>
              <w:spacing w:before="0" w:after="283"/>
              <w:jc w:val="center"/>
              <w:rPr>
                <w:b/>
              </w:rPr>
            </w:pPr>
            <w:r>
              <w:rPr>
                <w:b/>
              </w:rPr>
              <w:t>Months Ended</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281" w:name="xdx_404_eus-gaap--NetIncomeLossAvailable"/>
            <w:bookmarkEnd w:id="281"/>
          </w:p>
        </w:tc>
      </w:tr>
      <w:tr>
        <w:trPr/>
        <w:tc>
          <w:tcPr>
            <w:tcW w:w="5345" w:type="dxa"/>
            <w:tcBorders/>
            <w:shd w:fill="CCEEFF" w:val="clear"/>
            <w:vAlign w:val="center"/>
          </w:tcPr>
          <w:p>
            <w:pPr>
              <w:pStyle w:val="TableContents"/>
              <w:bidi w:val="0"/>
              <w:spacing w:before="0" w:after="283"/>
              <w:jc w:val="both"/>
              <w:rPr/>
            </w:pPr>
            <w:r>
              <w:rPr/>
              <w:t>Numerator - net income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4,995,000</w:t>
            </w:r>
          </w:p>
        </w:tc>
        <w:tc>
          <w:tcPr>
            <w:tcW w:w="75" w:type="dxa"/>
            <w:tcBorders/>
            <w:shd w:fill="CCEEFF" w:val="clear"/>
            <w:vAlign w:val="center"/>
          </w:tcPr>
          <w:p>
            <w:pPr>
              <w:pStyle w:val="TableContents"/>
              <w:bidi w:val="0"/>
              <w:spacing w:before="0" w:after="283"/>
              <w:jc w:val="left"/>
              <w:rPr/>
            </w:pPr>
            <w:r>
              <w:rPr/>
              <w:t> </w:t>
            </w:r>
            <w:bookmarkStart w:id="282" w:name="xdx_406_eus-gaap--WeightedAverageNumberO"/>
            <w:bookmarkEnd w:id="282"/>
          </w:p>
        </w:tc>
      </w:tr>
      <w:tr>
        <w:trPr/>
        <w:tc>
          <w:tcPr>
            <w:tcW w:w="5345" w:type="dxa"/>
            <w:tcBorders/>
            <w:shd w:fill="FFFFFF" w:val="clear"/>
            <w:vAlign w:val="center"/>
          </w:tcPr>
          <w:p>
            <w:pPr>
              <w:pStyle w:val="TableContents"/>
              <w:bidi w:val="0"/>
              <w:spacing w:before="0" w:after="283"/>
              <w:jc w:val="both"/>
              <w:rPr/>
            </w:pPr>
            <w:r>
              <w:rPr/>
              <w:t>Weighted average number of shares outstanding, basic</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36,790,306</w:t>
            </w:r>
          </w:p>
        </w:tc>
        <w:tc>
          <w:tcPr>
            <w:tcW w:w="75" w:type="dxa"/>
            <w:tcBorders/>
            <w:shd w:fill="FFFFFF" w:val="clear"/>
            <w:vAlign w:val="center"/>
          </w:tcPr>
          <w:p>
            <w:pPr>
              <w:pStyle w:val="TableContents"/>
              <w:bidi w:val="0"/>
              <w:spacing w:before="0" w:after="283"/>
              <w:jc w:val="left"/>
              <w:rPr/>
            </w:pPr>
            <w:r>
              <w:rPr/>
              <w:t> </w:t>
            </w:r>
            <w:bookmarkStart w:id="283" w:name="xdx_400_eus-gaap--AntidilutiveSecurities"/>
            <w:bookmarkEnd w:id="283"/>
          </w:p>
        </w:tc>
      </w:tr>
      <w:tr>
        <w:trPr/>
        <w:tc>
          <w:tcPr>
            <w:tcW w:w="5345" w:type="dxa"/>
            <w:tcBorders/>
            <w:shd w:fill="CCEEFF" w:val="clear"/>
            <w:vAlign w:val="center"/>
          </w:tcPr>
          <w:p>
            <w:pPr>
              <w:pStyle w:val="TableContents"/>
              <w:bidi w:val="0"/>
              <w:spacing w:before="0" w:after="283"/>
              <w:jc w:val="both"/>
              <w:rPr/>
            </w:pPr>
            <w:r>
              <w:rPr/>
              <w:t>Dilutive common equivalents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CCEEFF" w:val="clear"/>
            <w:tcMar>
              <w:bottom w:w="28" w:type="dxa"/>
            </w:tcMar>
            <w:vAlign w:val="center"/>
          </w:tcPr>
          <w:p>
            <w:pPr>
              <w:pStyle w:val="TableContents"/>
              <w:bidi w:val="0"/>
              <w:spacing w:before="0" w:after="283"/>
              <w:jc w:val="right"/>
              <w:rPr/>
            </w:pPr>
            <w:r>
              <w:rPr/>
              <w:t>2,063,549</w:t>
            </w:r>
          </w:p>
        </w:tc>
        <w:tc>
          <w:tcPr>
            <w:tcW w:w="75" w:type="dxa"/>
            <w:tcBorders/>
            <w:shd w:fill="CCEEFF" w:val="clear"/>
            <w:vAlign w:val="center"/>
          </w:tcPr>
          <w:p>
            <w:pPr>
              <w:pStyle w:val="TableContents"/>
              <w:bidi w:val="0"/>
              <w:spacing w:before="0" w:after="283"/>
              <w:jc w:val="left"/>
              <w:rPr/>
            </w:pPr>
            <w:r>
              <w:rPr/>
              <w:t> </w:t>
            </w:r>
            <w:bookmarkStart w:id="284" w:name="xdx_40A_eus-gaap--WeightedAverageNumberO"/>
            <w:bookmarkEnd w:id="284"/>
          </w:p>
        </w:tc>
      </w:tr>
      <w:tr>
        <w:trPr/>
        <w:tc>
          <w:tcPr>
            <w:tcW w:w="5345" w:type="dxa"/>
            <w:tcBorders/>
            <w:shd w:fill="FFFFFF" w:val="clear"/>
            <w:vAlign w:val="center"/>
          </w:tcPr>
          <w:p>
            <w:pPr>
              <w:pStyle w:val="TableContents"/>
              <w:bidi w:val="0"/>
              <w:spacing w:before="0" w:after="283"/>
              <w:jc w:val="both"/>
              <w:rPr/>
            </w:pPr>
            <w:r>
              <w:rPr/>
              <w:t>Weighted average number of shares outstanding, diluted</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38,853,855</w:t>
            </w:r>
          </w:p>
        </w:tc>
        <w:tc>
          <w:tcPr>
            <w:tcW w:w="75" w:type="dxa"/>
            <w:tcBorders/>
            <w:shd w:fill="FFFFFF" w:val="clear"/>
            <w:vAlign w:val="center"/>
          </w:tcPr>
          <w:p>
            <w:pPr>
              <w:pStyle w:val="TableContents"/>
              <w:bidi w:val="0"/>
              <w:spacing w:before="0" w:after="283"/>
              <w:jc w:val="left"/>
              <w:rPr/>
            </w:pPr>
            <w:r>
              <w:rPr/>
              <w:t> </w:t>
            </w:r>
            <w:bookmarkStart w:id="285" w:name="xdx_406_eus-gaap--EarningsPerShareDilute"/>
            <w:bookmarkEnd w:id="285"/>
          </w:p>
        </w:tc>
      </w:tr>
      <w:tr>
        <w:trPr/>
        <w:tc>
          <w:tcPr>
            <w:tcW w:w="5345" w:type="dxa"/>
            <w:tcBorders/>
            <w:shd w:fill="CCEEFF" w:val="clear"/>
            <w:vAlign w:val="center"/>
          </w:tcPr>
          <w:p>
            <w:pPr>
              <w:pStyle w:val="TableContents"/>
              <w:bidi w:val="0"/>
              <w:spacing w:before="0" w:after="283"/>
              <w:jc w:val="both"/>
              <w:rPr>
                <w:b/>
              </w:rPr>
            </w:pPr>
            <w:r>
              <w:rPr>
                <w:b/>
              </w:rPr>
              <w:t>Net income per share, diluted</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6" w:space="0" w:color="000000"/>
            </w:tcBorders>
            <w:shd w:fill="CCEEFF" w:val="clear"/>
            <w:tcMar>
              <w:bottom w:w="28" w:type="dxa"/>
            </w:tcMar>
            <w:vAlign w:val="center"/>
          </w:tcPr>
          <w:p>
            <w:pPr>
              <w:pStyle w:val="TableContents"/>
              <w:bidi w:val="0"/>
              <w:spacing w:before="0" w:after="283"/>
              <w:jc w:val="right"/>
              <w:rPr/>
            </w:pPr>
            <w:r>
              <w:rPr/>
              <w:t>0.13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6" w:name="xdx_8AF_zJljvxakPtBa"/>
      <w:bookmarkEnd w:id="28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7" w:name="xdx_86F_zIBmC70aZaPa"/>
      <w:bookmarkStart w:id="288" w:name="xdx_84A_eus-gaap--IncomeTaxPolicyTextBlo"/>
      <w:bookmarkEnd w:id="287"/>
      <w:bookmarkEnd w:id="288"/>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289" w:name="xdx_901_eus-gaap--EffectiveIncomeTaxRate"/>
      <w:bookmarkEnd w:id="289"/>
      <w:r>
        <w:rPr>
          <w:rFonts w:ascii="Times New Roman;Times;Serif" w:hAnsi="Times New Roman;Times;Serif"/>
          <w:b w:val="false"/>
          <w:i w:val="false"/>
          <w:caps w:val="false"/>
          <w:smallCaps w:val="false"/>
          <w:sz w:val="20"/>
        </w:rPr>
        <w:t>0% and (</w:t>
      </w:r>
      <w:bookmarkStart w:id="290" w:name="xdx_90C_eus-gaap--EffectiveIncomeTaxRate"/>
      <w:bookmarkEnd w:id="290"/>
      <w:r>
        <w:rPr>
          <w:rFonts w:ascii="Times New Roman;Times;Serif" w:hAnsi="Times New Roman;Times;Serif"/>
          <w:b w:val="false"/>
          <w:i w:val="false"/>
          <w:caps w:val="false"/>
          <w:smallCaps w:val="false"/>
          <w:sz w:val="20"/>
        </w:rPr>
        <w:t xml:space="preserve">3.38)% for the six months ended June 30, 2025 and 2024, respectively. The Company’s effective tax rate for the six months ended June 30, 2025 and 2024 differs from the U.S. federal statutory tax rate of </w:t>
      </w:r>
      <w:bookmarkStart w:id="291" w:name="xdx_900_eus-gaap--EffectiveIncomeTaxRate"/>
      <w:bookmarkStart w:id="292" w:name="xdx_905_eus-gaap--EffectiveIncomeTaxRate"/>
      <w:bookmarkEnd w:id="291"/>
      <w:bookmarkEnd w:id="292"/>
      <w:r>
        <w:rPr>
          <w:rFonts w:ascii="Times New Roman;Times;Serif" w:hAnsi="Times New Roman;Times;Serif"/>
          <w:b w:val="false"/>
          <w:i w:val="false"/>
          <w:caps w:val="false"/>
          <w:smallCaps w:val="false"/>
          <w:sz w:val="20"/>
        </w:rPr>
        <w:t>21% due to state taxes, permanent book-tax differences related to Internal Revenue Code of 1986, as amended (“IRC”), Section 162(m) excess officer compensation limitation and share-based compensation and the change in valuation allowance.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there were $</w:t>
      </w:r>
      <w:bookmarkStart w:id="293" w:name="xdx_903_eus-gaap--UnrecognizedTaxBenefit"/>
      <w:bookmarkEnd w:id="293"/>
      <w:r>
        <w:rPr>
          <w:rFonts w:ascii="Times New Roman;Times;Serif" w:hAnsi="Times New Roman;Times;Serif"/>
          <w:b w:val="false"/>
          <w:i w:val="false"/>
          <w:caps w:val="false"/>
          <w:smallCaps w:val="false"/>
          <w:sz w:val="20"/>
        </w:rPr>
        <w:t>2,860,000 and $</w:t>
      </w:r>
      <w:bookmarkStart w:id="294" w:name="xdx_90A_eus-gaap--UnrecognizedTaxBenefit"/>
      <w:bookmarkEnd w:id="294"/>
      <w:r>
        <w:rPr>
          <w:rFonts w:ascii="Times New Roman;Times;Serif" w:hAnsi="Times New Roman;Times;Serif"/>
          <w:b w:val="false"/>
          <w:i w:val="false"/>
          <w:caps w:val="false"/>
          <w:smallCaps w:val="false"/>
          <w:sz w:val="20"/>
        </w:rPr>
        <w:t>2,858,000, respectively, of unrecognized tax benefits included in the condensed consolidated balance sheets that would, if recognized, affect the effective tax 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United States enacted the One Big Beautiful Bill Act (“OBBBA”), which, among other provisions, permanently restores 100% bonus depreciation and modifies the limitation on business-interest expense under §163(j) to be based on taxable income before interest, amortization, and depreciation. Based on preliminary analysis, management expects OBBBA to reduce U.S. cash income-tax payments. There is not expected to be any material impact on the effective tax rate. The Company is continuing to evaluate the Act’s impacts, including potential effects on deferred-tax balances, and will refine these estimates as additional guidance becomes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5" w:name="xdx_865_zatbnBWIgS16"/>
      <w:bookmarkStart w:id="296" w:name="xdx_842_eus-gaap--NewAccountingPronounce"/>
      <w:bookmarkEnd w:id="295"/>
      <w:bookmarkEnd w:id="296"/>
      <w:r>
        <w:rPr>
          <w:rFonts w:ascii="Times New Roman;Times;Serif" w:hAnsi="Times New Roman;Times;Serif"/>
          <w:b/>
          <w:i w:val="false"/>
          <w:caps w:val="false"/>
          <w:smallCaps w:val="false"/>
          <w:sz w:val="20"/>
        </w:rPr>
        <w:t>Accounting Guidance Issued but Not Adopted at June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FASB issued ASU 2023-06, </w:t>
      </w:r>
      <w:r>
        <w:rPr>
          <w:rFonts w:ascii="Times New Roman;Times;Serif" w:hAnsi="Times New Roman;Times;Serif"/>
          <w:b w:val="false"/>
          <w:i/>
          <w:caps w:val="false"/>
          <w:smallCaps w:val="false"/>
          <w:sz w:val="20"/>
        </w:rPr>
        <w:t>Disclosure Improvements—Codification Amendments in Response to the SEC’s Disclosure Update and Simplification Initiative</w:t>
      </w:r>
      <w:r>
        <w:rPr>
          <w:rFonts w:ascii="Times New Roman;Times;Serif" w:hAnsi="Times New Roman;Times;Serif"/>
          <w:b w:val="false"/>
          <w:i w:val="false"/>
          <w:caps w:val="false"/>
          <w:smallCaps w:val="false"/>
          <w:sz w:val="20"/>
        </w:rPr>
        <w:t>. This ASU modifies the disclosure or presentation 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year 2025 on a prospective basis. Early adoption and retrospective reporting are permitted. The Company is currently evaluating the impact of ASU 2023-09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to improve the disclosures by a public business entity about the types of expenses in commonly presented expense captions. This ASU is effective for annual reporting periods beginning after December 15, 2026, and interim reporting periods beginning after December 15, 2027, with early adoption permitted. The Company is currently evaluating the impact of ASU 2024-03 on its consolidated financial statements.</w:t>
      </w:r>
    </w:p>
    <w:p>
      <w:pPr>
        <w:pStyle w:val="TextBody"/>
        <w:shd w:fill="FFFFFF" w:val="clear"/>
        <w:bidi w:val="0"/>
        <w:spacing w:before="0" w:after="0"/>
        <w:ind w:left="0" w:right="0" w:hanging="0"/>
        <w:jc w:val="both"/>
        <w:rPr>
          <w:caps w:val="false"/>
          <w:smallCaps w:val="false"/>
        </w:rPr>
      </w:pPr>
      <w:bookmarkStart w:id="297" w:name="xdx_850_zbpMo4bkHG31"/>
      <w:bookmarkEnd w:id="29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8" w:name="xdx_804_eus-gaap--RevenueFromContractWit"/>
      <w:bookmarkEnd w:id="298"/>
      <w:r>
        <w:rPr>
          <w:rFonts w:ascii="Times New Roman;Times;Serif" w:hAnsi="Times New Roman;Times;Serif"/>
          <w:b/>
          <w:i w:val="false"/>
          <w:caps w:val="false"/>
          <w:smallCaps w:val="false"/>
          <w:sz w:val="20"/>
        </w:rPr>
        <w:t xml:space="preserve">NOTE 3. </w:t>
      </w:r>
      <w:bookmarkStart w:id="299" w:name="xdx_828_zqHCKW4gJMY6"/>
      <w:bookmarkEnd w:id="299"/>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contracts with customers in accordance with ASC 606, </w:t>
      </w:r>
      <w:r>
        <w:rPr>
          <w:rFonts w:ascii="Times New Roman;Times;Serif" w:hAnsi="Times New Roman;Times;Serif"/>
          <w:b w:val="false"/>
          <w:i/>
          <w:caps w:val="false"/>
          <w:smallCaps w:val="false"/>
          <w:sz w:val="20"/>
        </w:rPr>
        <w:t>Revenues from Contracts with Customers</w:t>
      </w:r>
      <w:r>
        <w:rPr>
          <w:rFonts w:ascii="Times New Roman;Times;Serif" w:hAnsi="Times New Roman;Times;Serif"/>
          <w:b w:val="false"/>
          <w:i w:val="false"/>
          <w:caps w:val="false"/>
          <w:smallCaps w:val="false"/>
          <w:sz w:val="20"/>
        </w:rPr>
        <w:t>. The Company has two primary streams of revenue: (1) product revenues, including revenue recognized from sales of products through its pharmacy and outsourcing facility and sales of branded products to wholesalers through a third-party logistics (“3PL”) partner, and (2) revenue recognized from intellectual property licenses and related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contract(s) with a customer:</w:t>
            </w:r>
            <w:r>
              <w:rPr>
                <w:rFonts w:ascii="Times New Roman;Times;Serif" w:hAnsi="Times New Roman;Times;Serif"/>
                <w:b w:val="false"/>
                <w:i w:val="false"/>
                <w:caps w:val="false"/>
                <w:smallCaps w:val="false"/>
                <w:sz w:val="20"/>
              </w:rPr>
              <w:t xml:space="preserve">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performance obligations in the contract:</w:t>
            </w:r>
            <w:r>
              <w:rPr>
                <w:rFonts w:ascii="Times New Roman;Times;Serif" w:hAnsi="Times New Roman;Times;Serif"/>
                <w:b w:val="false"/>
                <w:i w:val="false"/>
                <w:caps w:val="false"/>
                <w:smallCaps w:val="false"/>
                <w:sz w:val="20"/>
              </w:rPr>
              <w:t xml:space="preserve"> Obligations for fulfillment of the Company’s contracts consist of delivering the product to 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Determine the transaction price:</w:t>
            </w:r>
            <w:r>
              <w:rPr>
                <w:rFonts w:ascii="Times New Roman;Times;Serif" w:hAnsi="Times New Roman;Times;Serif"/>
                <w:b w:val="false"/>
                <w:i w:val="false"/>
                <w:caps w:val="false"/>
                <w:smallCaps w:val="false"/>
                <w:sz w:val="20"/>
              </w:rPr>
              <w:t xml:space="preserve"> The transaction price is based on an amount that reflects the consideration to which the Company expects to be 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r>
        <w:trPr/>
        <w:tc>
          <w:tcPr>
            <w:tcW w:w="147" w:type="dxa"/>
            <w:tcBorders/>
            <w:vAlign w:val="center"/>
          </w:tcPr>
          <w:p>
            <w:pPr>
              <w:pStyle w:val="TableContents"/>
              <w:bidi w:val="0"/>
              <w:spacing w:before="0" w:after="283"/>
              <w:jc w:val="both"/>
              <w:rPr>
                <w:caps w:val="false"/>
                <w:smallCaps w:val="false"/>
              </w:rPr>
            </w:pPr>
            <w:r>
              <w:rPr>
                <w:caps w:val="false"/>
                <w:smallCaps w:val="false"/>
              </w:rPr>
              <w:t> </w:t>
            </w:r>
          </w:p>
        </w:tc>
        <w:tc>
          <w:tcPr>
            <w:tcW w:w="100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Allocate the transaction price to the performance obligations in the contract:</w:t>
            </w:r>
            <w:r>
              <w:rPr>
                <w:rFonts w:ascii="Times New Roman;Times;Serif" w:hAnsi="Times New Roman;Times;Serif"/>
                <w:b w:val="false"/>
                <w:i w:val="false"/>
                <w:caps w:val="false"/>
                <w:smallCaps w:val="false"/>
                <w:sz w:val="20"/>
              </w:rPr>
              <w:t xml:space="preserve"> Because there is only one performance obligation for product sales, no allocation is necessary.</w:t>
            </w:r>
          </w:p>
        </w:tc>
      </w:tr>
      <w:tr>
        <w:trPr/>
        <w:tc>
          <w:tcPr>
            <w:tcW w:w="147" w:type="dxa"/>
            <w:tcBorders/>
            <w:vAlign w:val="center"/>
          </w:tcPr>
          <w:p>
            <w:pPr>
              <w:pStyle w:val="TableContents"/>
              <w:bidi w:val="0"/>
              <w:spacing w:before="0" w:after="283"/>
              <w:jc w:val="both"/>
              <w:rPr>
                <w:caps w:val="false"/>
                <w:smallCaps w:val="false"/>
              </w:rPr>
            </w:pPr>
            <w:r>
              <w:rPr>
                <w:caps w:val="false"/>
                <w:smallCaps w:val="false"/>
              </w:rPr>
              <w:t> </w:t>
            </w:r>
          </w:p>
        </w:tc>
        <w:tc>
          <w:tcPr>
            <w:tcW w:w="100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Recognize revenue when (or as) the entity satisfies a performance obligation:</w:t>
            </w:r>
            <w:r>
              <w:rPr>
                <w:rFonts w:ascii="Times New Roman;Times;Serif" w:hAnsi="Times New Roman;Times;Serif"/>
                <w:b w:val="false"/>
                <w:i w:val="false"/>
                <w:caps w:val="false"/>
                <w:smallCaps w:val="false"/>
                <w:sz w:val="20"/>
              </w:rPr>
              <w:t xml:space="preserve">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branded pharmaceutical products are subject to variable consideration due to chargebacks, government rebates, returns, administrative fees, co-pay assistance and other rebates, and prompt pay discounts. Estimates for these elements of variable consideration require significant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Chargebacks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Chargebacks, primarily from distributors and wholesalers, result from arrangements with indirect customers establishing prices for products which the indirect customer purchases through a wholesaler. Alternatively, the Company may pre-authorize wholesalers to offer specified contract pricing to other indirect customers. Under either arrangement, the Company provides a chargeback credit to the wholesaler for any difference between the contracted price with the indirect customer and the wholesaler’s invoice price, typically Wholesale Acquisition Cost (“WAC”).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 chargebacks claimed by wholesalers are analyzed to determine the actual net price per package (“NPP”) for each product. This calculation is performed by product, by wholesaler. NPPs can be affected by several factors such as:</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170"/>
        <w:gridCol w:w="39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customer mix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39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negotiated terms with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39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volume of off-contract purchases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39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WAC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 NPPs are adjusted based on anticipated changes in the factors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NPP and WAC is recorded as a reduction in both gross revenues in the consolidated statements of operations and accounts receivable in the consolidated balance sheets, at the time revenue is recognized from the product sale. The Company continually monitors chargeback activity and adjusts NPPs when the Company believes that actual selling prices will differ from current NPPs.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rebates reserve consists of estimated payments due to governmental agencies for utilization of the Company’s products by beneficiaries under such governmental programs. The two largest government programs are Medicaid and Medicare.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participates in the Medicaid Drug Rebate Program and pays rebates to the states related to Medicaid beneficiary utilization of the Company’s products. Medicaid rebates are billed within 60-90 days of the end of the quarter in which the product was dispensed to a Medicaid beneficiary. Medicaid rebate amounts per product unit are established by law, based on the Average Manufacturer Price (“AMP”), which is reported on a monthly and quarterly basis, and, in the case of branded products, best price, which is reported on a quarterly basis. Medicaid reserves are based on expected claims from state Medicaid programs. Estimates for expected claims are driven by patient usage, sales mix, calculated AMP or best price, as well as inventory in the distribution channel that will be subject to a Medicaid rebate. As a result of the delay between selling the products, dispensing the products and rebate billing, the Medicaid rebate reserve includes both an estimate of outstanding claims for end-customer sales that have occurred but for which the related claim has not been billed, as well as an estimate for future claims that will be made when inventory in the distribution channel is sold through to plan participants. Many of the Company’s branded products are also covered under Medicare. The Company participates in the Coverage Gap Discount Program in order for its branded products to be covered by Medicare Part D and must provide a rebate for any products sold under NDAs dispensed to Medicare Part D beneficiaries while the beneficiaries are in the Coverage Gap phase of the benefit. This applies to all products sold under NDAs. Estimates for these discounts are based on historical experience with Medicare rebates for products. Medicare rebates are billed quarterly for drugs dispensed to Medicare beneficiaries in the prior quarter, which is typically 120 days after the product is shipped. As a result of the delay between selling the products, dispensing the products and rebate billing, Medicare rebate reserve includes both an estimate of outstanding claims for end-customer sales that have occurred but for which the related claim has not been billed, as well as an estimate for future claims that will be made when inventory in the distribution channel is sold through to Medicare Part D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evaluate the adequacy of the government rebate reserves, reserves are reviewed on a quarterly basis against actual claims data to ensure the liability is fairly stated. The Company continually monitors the government rebate reserve and adjusts estimates if it is expected that actual government rebates may differ from established accruals. Accruals for government rebates are recorded as a reduction to gross revenues in the consolidated statements of operations and as an increase to accrued rebates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returns policy is in place that allows customers to return product within a specified period prior to and subsequent to the expiration date. Generally, product may be returned for a period beginning six months prior to its expiration date to up to one year after its expiration date. Product returns are settled through the issuance of a credit to the customer. The estimate for returns is based upon historical experience with actual returns. While such experience has allowed for reasonable estimation in the past, history may not always be an accurate indicator of future returns. The Company continually monitors estimates for returns and adjusts when it is expected that actual product returns may differ from the established accruals. Accruals for returns are recorded as a reduction to gross revenues in the consolidated statements of operations and as an increase to the accrued expenses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Fees and Other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fees or rebates are offered to wholesalers, group purchasing organizations, and indirect customers. Fees and rebates are accrued, by product by wholesaler, at the time of sale based on contracted rates and NPP. To evaluate the adequacy of the administrative fee accruals, on-hand inventory counts are obtained from the wholesalers. The Company continually monitors administrative fee activity and adjusts accruals when it is expected that actual administrative fees may differ from the accruals. Accruals for administrative fees and other rebates are recorded as a reduction in both gross revenues in the consolidated statements of operations and accounts receivable or accrued expenses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Co-payment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Prompt Payment Discounts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may be granted to customers for prompt payment. The reserve for prompt payment discounts is based on invoices outstanding. Based on past experience, it is assumed that all available discounts will be taken. Accruals for prompt payment discounts are recorded as a reduction in both gross revenues in the condensed consolidated statements of operations and accounts receivable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0" w:name="xdx_89E_ecustom--ScheduleOfValuationAndQ"/>
      <w:bookmarkEnd w:id="300"/>
      <w:r>
        <w:rPr>
          <w:rFonts w:ascii="Times New Roman;Times;Serif" w:hAnsi="Times New Roman;Times;Serif"/>
          <w:b w:val="false"/>
          <w:i w:val="false"/>
          <w:caps w:val="false"/>
          <w:smallCaps w:val="false"/>
          <w:sz w:val="20"/>
        </w:rPr>
        <w:t>The following table summarizes activity and ending balances of the Company’s variable consideration provisions in the condensed consolidated financial statements for the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1" w:name="xdx_8B2_zuNKTQaJUz8g"/>
      <w:bookmarkEnd w:id="301"/>
      <w:r>
        <w:rPr>
          <w:rFonts w:ascii="Times New Roman;Times;Serif" w:hAnsi="Times New Roman;Times;Serif"/>
          <w:b w:val="false"/>
          <w:i w:val="false"/>
          <w:caps w:val="false"/>
          <w:smallCaps w:val="false"/>
          <w:sz w:val="20"/>
        </w:rPr>
        <w:t>SCHEDULE OF ACCRUALS AND ALLOWANCES</w:t>
      </w:r>
    </w:p>
    <w:tbl>
      <w:tblPr>
        <w:tblW w:w="11405" w:type="dxa"/>
        <w:jc w:val="left"/>
        <w:tblInd w:w="0" w:type="dxa"/>
        <w:tblLayout w:type="fixed"/>
        <w:tblCellMar>
          <w:top w:w="0" w:type="dxa"/>
          <w:left w:w="0" w:type="dxa"/>
          <w:bottom w:w="0" w:type="dxa"/>
          <w:right w:w="0" w:type="dxa"/>
        </w:tblCellMar>
      </w:tblPr>
      <w:tblGrid>
        <w:gridCol w:w="1220"/>
        <w:gridCol w:w="60"/>
        <w:gridCol w:w="140"/>
        <w:gridCol w:w="1130"/>
        <w:gridCol w:w="95"/>
        <w:gridCol w:w="60"/>
        <w:gridCol w:w="140"/>
        <w:gridCol w:w="1100"/>
        <w:gridCol w:w="95"/>
        <w:gridCol w:w="60"/>
        <w:gridCol w:w="140"/>
        <w:gridCol w:w="1055"/>
        <w:gridCol w:w="95"/>
        <w:gridCol w:w="60"/>
        <w:gridCol w:w="140"/>
        <w:gridCol w:w="1295"/>
        <w:gridCol w:w="95"/>
        <w:gridCol w:w="60"/>
        <w:gridCol w:w="140"/>
        <w:gridCol w:w="1175"/>
        <w:gridCol w:w="95"/>
        <w:gridCol w:w="60"/>
        <w:gridCol w:w="140"/>
        <w:gridCol w:w="1055"/>
        <w:gridCol w:w="95"/>
        <w:gridCol w:w="60"/>
        <w:gridCol w:w="140"/>
        <w:gridCol w:w="1295"/>
        <w:gridCol w:w="11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2" w:name="xdx_4B9_us-gaap--ValuationAllowancesAndR"/>
            <w:bookmarkEnd w:id="302"/>
          </w:p>
        </w:tc>
        <w:tc>
          <w:tcPr>
            <w:tcW w:w="113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Chargebacks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3" w:name="xdx_4B8_us-gaap--ValuationAllowancesAndR"/>
            <w:bookmarkEnd w:id="303"/>
          </w:p>
        </w:tc>
        <w:tc>
          <w:tcPr>
            <w:tcW w:w="1100"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Government</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Rebates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4" w:name="xdx_4B4_us-gaap--ValuationAllowancesAndR"/>
            <w:bookmarkEnd w:id="304"/>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Returns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5" w:name="xdx_4B1_us-gaap--ValuationAllowancesAndR"/>
            <w:bookmarkEnd w:id="305"/>
          </w:p>
        </w:tc>
        <w:tc>
          <w:tcPr>
            <w:tcW w:w="129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Administrative</w:t>
            </w:r>
          </w:p>
          <w:p>
            <w:pPr>
              <w:pStyle w:val="TableContents"/>
              <w:bidi w:val="0"/>
              <w:jc w:val="center"/>
              <w:rPr>
                <w:rFonts w:ascii="Times New Roman;Times;Serif" w:hAnsi="Times New Roman;Times;Serif"/>
                <w:b/>
                <w:sz w:val="20"/>
              </w:rPr>
            </w:pPr>
            <w:r>
              <w:rPr>
                <w:rFonts w:ascii="Times New Roman;Times;Serif" w:hAnsi="Times New Roman;Times;Serif"/>
                <w:b/>
                <w:sz w:val="20"/>
              </w:rPr>
              <w:t>Fees and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 Rebates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6" w:name="xdx_4B5_us-gaap--ValuationAllowancesAndR"/>
            <w:bookmarkEnd w:id="306"/>
          </w:p>
        </w:tc>
        <w:tc>
          <w:tcPr>
            <w:tcW w:w="117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Co-Pay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Assistance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7" w:name="xdx_4B9_us-gaap--ValuationAllowancesAndR"/>
            <w:bookmarkEnd w:id="307"/>
          </w:p>
        </w:tc>
        <w:tc>
          <w:tcPr>
            <w:tcW w:w="105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Prompt</w:t>
            </w:r>
          </w:p>
          <w:p>
            <w:pPr>
              <w:pStyle w:val="TableContents"/>
              <w:bidi w:val="0"/>
              <w:jc w:val="center"/>
              <w:rPr>
                <w:rFonts w:ascii="Times New Roman;Times;Serif" w:hAnsi="Times New Roman;Times;Serif"/>
                <w:b/>
                <w:sz w:val="20"/>
              </w:rPr>
            </w:pPr>
            <w:r>
              <w:rPr>
                <w:rFonts w:ascii="Times New Roman;Times;Serif" w:hAnsi="Times New Roman;Times;Serif"/>
                <w:b/>
                <w:sz w:val="20"/>
              </w:rPr>
              <w:t>Pay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Discounts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08" w:name="xdx_4B0_zdEM7E8wnQZg"/>
            <w:bookmarkEnd w:id="308"/>
          </w:p>
        </w:tc>
        <w:tc>
          <w:tcPr>
            <w:tcW w:w="12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10" w:type="dxa"/>
            <w:tcBorders/>
            <w:shd w:fill="FFFF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75" w:type="dxa"/>
            <w:gridSpan w:val="2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Accruals for Chargebacks, Returns, and Other Allowances</w:t>
            </w:r>
          </w:p>
        </w:tc>
        <w:tc>
          <w:tcPr>
            <w:tcW w:w="110" w:type="dxa"/>
            <w:tcBorders/>
            <w:shd w:fill="FFFFFF" w:val="clear"/>
            <w:vAlign w:val="center"/>
          </w:tcPr>
          <w:p>
            <w:pPr>
              <w:pStyle w:val="TableContents"/>
              <w:bidi w:val="0"/>
              <w:spacing w:before="0" w:after="283"/>
              <w:jc w:val="center"/>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Chargebacks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Government</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Rebates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Returns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9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Administrative</w:t>
            </w:r>
          </w:p>
          <w:p>
            <w:pPr>
              <w:pStyle w:val="TableContents"/>
              <w:bidi w:val="0"/>
              <w:jc w:val="center"/>
              <w:rPr>
                <w:rFonts w:ascii="Times New Roman;Times;Serif" w:hAnsi="Times New Roman;Times;Serif"/>
                <w:b/>
                <w:sz w:val="20"/>
              </w:rPr>
            </w:pPr>
            <w:r>
              <w:rPr>
                <w:rFonts w:ascii="Times New Roman;Times;Serif" w:hAnsi="Times New Roman;Times;Serif"/>
                <w:b/>
                <w:sz w:val="20"/>
              </w:rPr>
              <w:t>Fees and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 Rebates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7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Co-Pay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Assistance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5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Prompt</w:t>
            </w:r>
          </w:p>
          <w:p>
            <w:pPr>
              <w:pStyle w:val="TableContents"/>
              <w:bidi w:val="0"/>
              <w:jc w:val="center"/>
              <w:rPr>
                <w:rFonts w:ascii="Times New Roman;Times;Serif" w:hAnsi="Times New Roman;Times;Serif"/>
                <w:b/>
                <w:sz w:val="20"/>
              </w:rPr>
            </w:pPr>
            <w:r>
              <w:rPr>
                <w:rFonts w:ascii="Times New Roman;Times;Serif" w:hAnsi="Times New Roman;Times;Serif"/>
                <w:b/>
                <w:sz w:val="20"/>
              </w:rPr>
              <w:t>Pay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Discounts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10" w:type="dxa"/>
            <w:tcBorders/>
            <w:shd w:fill="FFFFFF" w:val="clear"/>
            <w:vAlign w:val="center"/>
          </w:tcPr>
          <w:p>
            <w:pPr>
              <w:pStyle w:val="TableContents"/>
              <w:bidi w:val="0"/>
              <w:spacing w:before="0" w:after="283"/>
              <w:jc w:val="center"/>
              <w:rPr/>
            </w:pPr>
            <w:r>
              <w:rPr/>
              <w:t> </w:t>
            </w:r>
            <w:bookmarkStart w:id="309" w:name="xdx_435_c20240101__20240630_eus-gaap--Va"/>
            <w:bookmarkEnd w:id="309"/>
          </w:p>
        </w:tc>
      </w:tr>
      <w:tr>
        <w:trPr/>
        <w:tc>
          <w:tcPr>
            <w:tcW w:w="122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2,810,000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3,585,000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24,069,000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1,101,000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33,307,000</w:t>
            </w:r>
          </w:p>
        </w:tc>
        <w:tc>
          <w:tcPr>
            <w:tcW w:w="110" w:type="dxa"/>
            <w:tcBorders/>
            <w:shd w:fill="CCEEFF" w:val="clear"/>
            <w:vAlign w:val="center"/>
          </w:tcPr>
          <w:p>
            <w:pPr>
              <w:pStyle w:val="TableContents"/>
              <w:bidi w:val="0"/>
              <w:spacing w:before="0" w:after="283"/>
              <w:jc w:val="left"/>
              <w:rPr/>
            </w:pPr>
            <w:r>
              <w:rPr/>
              <w:t> </w:t>
            </w:r>
            <w:bookmarkStart w:id="310" w:name="xdx_40D_eus-gaap--ValuationAllowancesAnd"/>
            <w:bookmarkEnd w:id="310"/>
          </w:p>
        </w:tc>
      </w:tr>
      <w:tr>
        <w:trPr/>
        <w:tc>
          <w:tcPr>
            <w:tcW w:w="1220" w:type="dxa"/>
            <w:tcBorders/>
            <w:shd w:fill="FFFFFF" w:val="clear"/>
            <w:vAlign w:val="center"/>
          </w:tcPr>
          <w:p>
            <w:pPr>
              <w:pStyle w:val="TableContents"/>
              <w:bidi w:val="0"/>
              <w:spacing w:before="0" w:after="283"/>
              <w:jc w:val="left"/>
              <w:rPr/>
            </w:pPr>
            <w:r>
              <w:rPr/>
              <w:t>Accruals/Adjustments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4,090,000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3,979,000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23,869,000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26,356,000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1,763,000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63,182,000</w:t>
            </w:r>
          </w:p>
        </w:tc>
        <w:tc>
          <w:tcPr>
            <w:tcW w:w="110" w:type="dxa"/>
            <w:tcBorders/>
            <w:shd w:fill="FFFFFF" w:val="clear"/>
            <w:vAlign w:val="center"/>
          </w:tcPr>
          <w:p>
            <w:pPr>
              <w:pStyle w:val="TableContents"/>
              <w:bidi w:val="0"/>
              <w:spacing w:before="0" w:after="283"/>
              <w:jc w:val="left"/>
              <w:rPr/>
            </w:pPr>
            <w:r>
              <w:rPr/>
              <w:t> </w:t>
            </w:r>
            <w:bookmarkStart w:id="311" w:name="xdx_400_eus-gaap--ValuationAllowancesAnd"/>
            <w:bookmarkEnd w:id="311"/>
          </w:p>
        </w:tc>
      </w:tr>
      <w:tr>
        <w:trPr/>
        <w:tc>
          <w:tcPr>
            <w:tcW w:w="1220" w:type="dxa"/>
            <w:tcBorders/>
            <w:shd w:fill="CCEEFF" w:val="clear"/>
            <w:vAlign w:val="center"/>
          </w:tcPr>
          <w:p>
            <w:pPr>
              <w:pStyle w:val="TableContents"/>
              <w:bidi w:val="0"/>
              <w:spacing w:before="0" w:after="283"/>
              <w:jc w:val="left"/>
              <w:rPr/>
            </w:pPr>
            <w:r>
              <w:rPr/>
              <w:t>Credits Taken Against Reserve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(5,141,000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(408,000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(1,319,000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(29,060,000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(19,188,000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(1,008,000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(56,124,000</w:t>
            </w:r>
          </w:p>
        </w:tc>
        <w:tc>
          <w:tcPr>
            <w:tcW w:w="110" w:type="dxa"/>
            <w:tcBorders/>
            <w:shd w:fill="CCEEFF" w:val="clear"/>
            <w:vAlign w:val="center"/>
          </w:tcPr>
          <w:p>
            <w:pPr>
              <w:pStyle w:val="TableContents"/>
              <w:bidi w:val="0"/>
              <w:spacing w:before="0" w:after="283"/>
              <w:jc w:val="left"/>
              <w:rPr/>
            </w:pPr>
            <w:r>
              <w:rPr/>
              <w:t>)</w:t>
            </w:r>
            <w:bookmarkStart w:id="312" w:name="xdx_437_c20240101__20240630_eus-gaap--Va"/>
            <w:bookmarkEnd w:id="312"/>
          </w:p>
        </w:tc>
      </w:tr>
      <w:tr>
        <w:trPr/>
        <w:tc>
          <w:tcPr>
            <w:tcW w:w="1220" w:type="dxa"/>
            <w:tcBorders/>
            <w:shd w:fill="FFFFFF" w:val="clear"/>
            <w:vAlign w:val="center"/>
          </w:tcPr>
          <w:p>
            <w:pPr>
              <w:pStyle w:val="TableContents"/>
              <w:bidi w:val="0"/>
              <w:spacing w:before="0" w:after="283"/>
              <w:jc w:val="left"/>
              <w:rPr>
                <w:b/>
              </w:rPr>
            </w:pPr>
            <w:r>
              <w:rPr>
                <w:b/>
              </w:rPr>
              <w:t>Balance at June 30,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1,759,000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18,878,000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8,139,000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40,365,000</w:t>
            </w:r>
          </w:p>
        </w:tc>
        <w:tc>
          <w:tcPr>
            <w:tcW w:w="11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 w:name="xdx_437_c20250101__20250630_eus-gaap--Va"/>
            <w:bookmarkEnd w:id="313"/>
          </w:p>
        </w:tc>
      </w:tr>
      <w:tr>
        <w:trPr/>
        <w:tc>
          <w:tcPr>
            <w:tcW w:w="1220" w:type="dxa"/>
            <w:tcBorders/>
            <w:shd w:fill="FFFFFF" w:val="clear"/>
            <w:vAlign w:val="center"/>
          </w:tcPr>
          <w:p>
            <w:pPr>
              <w:pStyle w:val="TableContents"/>
              <w:bidi w:val="0"/>
              <w:spacing w:before="0" w:after="283"/>
              <w:jc w:val="left"/>
              <w:rPr/>
            </w:pPr>
            <w:r>
              <w:rPr/>
              <w:t>Balance at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960,000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12,360,000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1,449,000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32,873,000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9,612,000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59,631,000</w:t>
            </w:r>
          </w:p>
        </w:tc>
        <w:tc>
          <w:tcPr>
            <w:tcW w:w="110" w:type="dxa"/>
            <w:tcBorders/>
            <w:shd w:fill="FFFFFF" w:val="clear"/>
            <w:vAlign w:val="center"/>
          </w:tcPr>
          <w:p>
            <w:pPr>
              <w:pStyle w:val="TableContents"/>
              <w:bidi w:val="0"/>
              <w:spacing w:before="0" w:after="283"/>
              <w:jc w:val="left"/>
              <w:rPr/>
            </w:pPr>
            <w:r>
              <w:rPr/>
              <w:t> </w:t>
            </w:r>
            <w:bookmarkStart w:id="314" w:name="xdx_43E_c20250101__20250630_eus-gaap--Va"/>
            <w:bookmarkEnd w:id="314"/>
          </w:p>
        </w:tc>
      </w:tr>
      <w:tr>
        <w:trPr/>
        <w:tc>
          <w:tcPr>
            <w:tcW w:w="1220" w:type="dxa"/>
            <w:tcBorders/>
            <w:shd w:fill="FFFFFF" w:val="clear"/>
            <w:vAlign w:val="center"/>
          </w:tcPr>
          <w:p>
            <w:pPr>
              <w:pStyle w:val="TableContents"/>
              <w:bidi w:val="0"/>
              <w:spacing w:before="0" w:after="283"/>
              <w:jc w:val="left"/>
              <w:rPr/>
            </w:pPr>
            <w:r>
              <w:rPr/>
              <w:t>Beginning, balance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960,000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12,360,000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1,449,000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32,873,000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9,612,000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2,377,000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59,631,000</w:t>
            </w:r>
          </w:p>
        </w:tc>
        <w:tc>
          <w:tcPr>
            <w:tcW w:w="11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5" w:name="xdx_40D_eus-gaap--ValuationAllowancesAnd"/>
            <w:bookmarkEnd w:id="315"/>
          </w:p>
        </w:tc>
      </w:tr>
      <w:tr>
        <w:trPr/>
        <w:tc>
          <w:tcPr>
            <w:tcW w:w="1220" w:type="dxa"/>
            <w:tcBorders/>
            <w:shd w:fill="FFFFFF" w:val="clear"/>
            <w:vAlign w:val="center"/>
          </w:tcPr>
          <w:p>
            <w:pPr>
              <w:pStyle w:val="TableContents"/>
              <w:bidi w:val="0"/>
              <w:spacing w:before="0" w:after="283"/>
              <w:jc w:val="left"/>
              <w:rPr/>
            </w:pPr>
            <w:r>
              <w:rPr/>
              <w:t>Accruals/Adjustments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11,163,000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11,128,000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40,093,000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30,771,000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2,346,000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100,116,000</w:t>
            </w:r>
          </w:p>
        </w:tc>
        <w:tc>
          <w:tcPr>
            <w:tcW w:w="110" w:type="dxa"/>
            <w:tcBorders/>
            <w:shd w:fill="FFFFFF" w:val="clear"/>
            <w:vAlign w:val="center"/>
          </w:tcPr>
          <w:p>
            <w:pPr>
              <w:pStyle w:val="TableContents"/>
              <w:bidi w:val="0"/>
              <w:spacing w:before="0" w:after="283"/>
              <w:jc w:val="left"/>
              <w:rPr/>
            </w:pPr>
            <w:r>
              <w:rPr/>
              <w:t> </w:t>
            </w:r>
            <w:bookmarkStart w:id="316" w:name="xdx_40D_eus-gaap--ValuationAllowancesAnd"/>
            <w:bookmarkEnd w:id="316"/>
          </w:p>
        </w:tc>
      </w:tr>
      <w:tr>
        <w:trPr/>
        <w:tc>
          <w:tcPr>
            <w:tcW w:w="1220" w:type="dxa"/>
            <w:tcBorders/>
            <w:shd w:fill="CCEEFF" w:val="clear"/>
            <w:vAlign w:val="center"/>
          </w:tcPr>
          <w:p>
            <w:pPr>
              <w:pStyle w:val="TableContents"/>
              <w:bidi w:val="0"/>
              <w:spacing w:before="0" w:after="283"/>
              <w:jc w:val="left"/>
              <w:rPr/>
            </w:pPr>
            <w:r>
              <w:rPr/>
              <w:t>Credits Taken Against Reserve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(7,706,000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(7,696,000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(4,828,000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(53,480,000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(37,193,000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(3,185,000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(114,088,000</w:t>
            </w:r>
          </w:p>
        </w:tc>
        <w:tc>
          <w:tcPr>
            <w:tcW w:w="110" w:type="dxa"/>
            <w:tcBorders/>
            <w:shd w:fill="CCEEFF" w:val="clear"/>
            <w:vAlign w:val="center"/>
          </w:tcPr>
          <w:p>
            <w:pPr>
              <w:pStyle w:val="TableContents"/>
              <w:bidi w:val="0"/>
              <w:spacing w:before="0" w:after="283"/>
              <w:jc w:val="left"/>
              <w:rPr/>
            </w:pPr>
            <w:r>
              <w:rPr/>
              <w:t>)</w:t>
            </w:r>
            <w:bookmarkStart w:id="317" w:name="xdx_431_c20250101__20250630_eus-gaap--Va"/>
            <w:bookmarkEnd w:id="317"/>
          </w:p>
        </w:tc>
      </w:tr>
      <w:tr>
        <w:trPr/>
        <w:tc>
          <w:tcPr>
            <w:tcW w:w="1220"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19,486,000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45,659,000</w:t>
            </w:r>
          </w:p>
        </w:tc>
        <w:tc>
          <w:tcPr>
            <w:tcW w:w="110" w:type="dxa"/>
            <w:tcBorders/>
            <w:shd w:fill="FFFFFF" w:val="clear"/>
            <w:vAlign w:val="center"/>
          </w:tcPr>
          <w:p>
            <w:pPr>
              <w:pStyle w:val="TableContents"/>
              <w:bidi w:val="0"/>
              <w:spacing w:before="0" w:after="283"/>
              <w:jc w:val="left"/>
              <w:rPr/>
            </w:pPr>
            <w:r>
              <w:rPr/>
              <w:t> </w:t>
            </w:r>
            <w:bookmarkStart w:id="318" w:name="xdx_436_c20250101__20250630_eus-gaap--Va"/>
            <w:bookmarkEnd w:id="318"/>
          </w:p>
        </w:tc>
      </w:tr>
      <w:tr>
        <w:trPr/>
        <w:tc>
          <w:tcPr>
            <w:tcW w:w="1220" w:type="dxa"/>
            <w:tcBorders/>
            <w:shd w:fill="FFFFFF" w:val="clear"/>
            <w:vAlign w:val="center"/>
          </w:tcPr>
          <w:p>
            <w:pPr>
              <w:pStyle w:val="TableContents"/>
              <w:bidi w:val="0"/>
              <w:spacing w:before="0" w:after="283"/>
              <w:jc w:val="left"/>
              <w:rPr>
                <w:b/>
              </w:rPr>
            </w:pPr>
            <w:r>
              <w:rPr>
                <w:b/>
              </w:rPr>
              <w:t>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15,792,000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19,486,000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45,659,000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9" w:name="xdx_8A7_zSy09NMchtQa"/>
      <w:bookmarkEnd w:id="31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License and Related Arrangements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multiple intellectual property licenses and related arrangements pursuant to which the Company has agreed to license or sell to a customer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0" w:name="xdx_89A_eus-gaap--DisaggregationOfRevenu"/>
      <w:bookmarkEnd w:id="320"/>
      <w:r>
        <w:rPr>
          <w:rFonts w:ascii="Times New Roman;Times;Serif" w:hAnsi="Times New Roman;Times;Serif"/>
          <w:b w:val="false"/>
          <w:i w:val="false"/>
          <w:caps w:val="false"/>
          <w:smallCaps w:val="false"/>
          <w:sz w:val="20"/>
        </w:rPr>
        <w:t>Revenue disaggregated by revenue source for the three and six months ended June 30, 2025 and 2024 consisted of the following:</w:t>
      </w:r>
    </w:p>
    <w:p>
      <w:pPr>
        <w:pStyle w:val="TextBody"/>
        <w:bidi w:val="0"/>
        <w:spacing w:before="0" w:after="0"/>
        <w:ind w:left="0" w:right="0" w:hanging="0"/>
        <w:jc w:val="center"/>
        <w:rPr>
          <w:caps w:val="false"/>
          <w:smallCaps w:val="false"/>
        </w:rPr>
      </w:pPr>
      <w:r>
        <w:rPr>
          <w:caps w:val="false"/>
          <w:smallCaps w:val="false"/>
        </w:rPr>
        <w:t> </w:t>
      </w:r>
      <w:bookmarkStart w:id="321" w:name="xdx_8BA_z2AngtvksWXd"/>
      <w:bookmarkEnd w:id="321"/>
      <w:r>
        <w:rPr>
          <w:rFonts w:ascii="Times New Roman;Times;Serif" w:hAnsi="Times New Roman;Times;Serif"/>
          <w:b w:val="false"/>
          <w:i w:val="false"/>
          <w:caps w:val="false"/>
          <w:smallCaps w:val="false"/>
          <w:sz w:val="20"/>
        </w:rPr>
        <w:t>SCHEDULE OF DISAGGREGATED REVENUE  </w:t>
      </w:r>
    </w:p>
    <w:tbl>
      <w:tblPr>
        <w:tblW w:w="7420" w:type="dxa"/>
        <w:jc w:val="left"/>
        <w:tblInd w:w="0" w:type="dxa"/>
        <w:tblLayout w:type="fixed"/>
        <w:tblCellMar>
          <w:top w:w="0" w:type="dxa"/>
          <w:left w:w="0" w:type="dxa"/>
          <w:bottom w:w="0" w:type="dxa"/>
          <w:right w:w="0" w:type="dxa"/>
        </w:tblCellMar>
      </w:tblPr>
      <w:tblGrid>
        <w:gridCol w:w="1685"/>
        <w:gridCol w:w="60"/>
        <w:gridCol w:w="148"/>
        <w:gridCol w:w="1169"/>
        <w:gridCol w:w="63"/>
        <w:gridCol w:w="63"/>
        <w:gridCol w:w="148"/>
        <w:gridCol w:w="1169"/>
        <w:gridCol w:w="60"/>
        <w:gridCol w:w="60"/>
        <w:gridCol w:w="140"/>
        <w:gridCol w:w="1220"/>
        <w:gridCol w:w="60"/>
        <w:gridCol w:w="60"/>
        <w:gridCol w:w="140"/>
        <w:gridCol w:w="110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8_20250401__20250630_zl5v9meu4Z0k"/>
            <w:bookmarkEnd w:id="322"/>
          </w:p>
        </w:tc>
        <w:tc>
          <w:tcPr>
            <w:tcW w:w="131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323" w:name="xdx_49B_20240401__20240630_zL8HFrYdC0v"/>
            <w:bookmarkEnd w:id="323"/>
          </w:p>
        </w:tc>
        <w:tc>
          <w:tcPr>
            <w:tcW w:w="131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4" w:name="xdx_494_20250101__20250630_zSykoOb6PdP6"/>
            <w:bookmarkEnd w:id="324"/>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5" w:name="xdx_492_20240101__20240630_zDDFPBPyxYea"/>
            <w:bookmarkEnd w:id="325"/>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6"/>
            <w:tcBorders/>
            <w:vAlign w:val="center"/>
          </w:tcPr>
          <w:p>
            <w:pPr>
              <w:pStyle w:val="TableContents"/>
              <w:bidi w:val="0"/>
              <w:spacing w:before="0" w:after="283"/>
              <w:jc w:val="center"/>
              <w:rPr/>
            </w:pPr>
            <w:r>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vAlign w:val="center"/>
          </w:tcPr>
          <w:p>
            <w:pPr>
              <w:pStyle w:val="TableContents"/>
              <w:bidi w:val="0"/>
              <w:spacing w:before="0" w:after="283"/>
              <w:jc w:val="center"/>
              <w:rPr/>
            </w:pPr>
            <w:r>
              <w:rPr/>
              <w:t>For the Six Months Ended</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326" w:name="xdx_408_eus-gaap--RevenueFromContractWit"/>
            <w:bookmarkEnd w:id="326"/>
          </w:p>
        </w:tc>
      </w:tr>
      <w:tr>
        <w:trPr/>
        <w:tc>
          <w:tcPr>
            <w:tcW w:w="1685" w:type="dxa"/>
            <w:tcBorders/>
            <w:shd w:fill="CCEEFF" w:val="clear"/>
            <w:vAlign w:val="center"/>
          </w:tcPr>
          <w:p>
            <w:pPr>
              <w:pStyle w:val="TableContents"/>
              <w:bidi w:val="0"/>
              <w:spacing w:before="0" w:after="283"/>
              <w:jc w:val="both"/>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63,657,000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48,871,000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111,402,000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83,379,000</w:t>
            </w:r>
          </w:p>
        </w:tc>
        <w:tc>
          <w:tcPr>
            <w:tcW w:w="75" w:type="dxa"/>
            <w:tcBorders/>
            <w:shd w:fill="CCEEFF" w:val="clear"/>
            <w:vAlign w:val="center"/>
          </w:tcPr>
          <w:p>
            <w:pPr>
              <w:pStyle w:val="TableContents"/>
              <w:bidi w:val="0"/>
              <w:spacing w:before="0" w:after="283"/>
              <w:jc w:val="left"/>
              <w:rPr/>
            </w:pPr>
            <w:r>
              <w:rPr/>
              <w:t> </w:t>
            </w:r>
            <w:bookmarkStart w:id="327" w:name="xdx_402_eus-gaap--RevenueFromContractWit"/>
            <w:bookmarkEnd w:id="327"/>
          </w:p>
        </w:tc>
      </w:tr>
      <w:tr>
        <w:trPr/>
        <w:tc>
          <w:tcPr>
            <w:tcW w:w="1685" w:type="dxa"/>
            <w:tcBorders/>
            <w:shd w:fill="FFFFFF" w:val="clear"/>
            <w:vAlign w:val="center"/>
          </w:tcPr>
          <w:p>
            <w:pPr>
              <w:pStyle w:val="TableContents"/>
              <w:bidi w:val="0"/>
              <w:spacing w:before="0" w:after="283"/>
              <w:jc w:val="both"/>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8" w:space="0" w:color="000000"/>
            </w:tcBorders>
            <w:shd w:fill="FFFFFF" w:val="clear"/>
            <w:tcMar>
              <w:bottom w:w="28" w:type="dxa"/>
            </w:tcMar>
            <w:vAlign w:val="center"/>
          </w:tcPr>
          <w:p>
            <w:pPr>
              <w:pStyle w:val="TableContents"/>
              <w:bidi w:val="0"/>
              <w:spacing w:before="0" w:after="283"/>
              <w:jc w:val="right"/>
              <w:rPr/>
            </w:pPr>
            <w:r>
              <w:rPr/>
              <w:t>85,000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8" w:space="0" w:color="000000"/>
            </w:tcBorders>
            <w:shd w:fill="FFFFFF" w:val="clear"/>
            <w:tcMar>
              <w:bottom w:w="28" w:type="dxa"/>
            </w:tcMar>
            <w:vAlign w:val="center"/>
          </w:tcPr>
          <w:p>
            <w:pPr>
              <w:pStyle w:val="TableContents"/>
              <w:bidi w:val="0"/>
              <w:spacing w:before="0" w:after="283"/>
              <w:jc w:val="right"/>
              <w:rPr/>
            </w:pPr>
            <w:r>
              <w:rPr/>
              <w:t>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147,000</w:t>
            </w:r>
          </w:p>
        </w:tc>
        <w:tc>
          <w:tcPr>
            <w:tcW w:w="75" w:type="dxa"/>
            <w:tcBorders/>
            <w:shd w:fill="FFFFFF" w:val="clear"/>
            <w:vAlign w:val="center"/>
          </w:tcPr>
          <w:p>
            <w:pPr>
              <w:pStyle w:val="TableContents"/>
              <w:bidi w:val="0"/>
              <w:spacing w:before="0" w:after="283"/>
              <w:jc w:val="left"/>
              <w:rPr/>
            </w:pPr>
            <w:r>
              <w:rPr/>
              <w:t> </w:t>
            </w:r>
            <w:bookmarkStart w:id="328" w:name="xdx_40B_eus-gaap--RevenueFromContractWit"/>
            <w:bookmarkEnd w:id="328"/>
          </w:p>
        </w:tc>
      </w:tr>
      <w:tr>
        <w:trPr/>
        <w:tc>
          <w:tcPr>
            <w:tcW w:w="1685" w:type="dxa"/>
            <w:tcBorders/>
            <w:shd w:fill="CCEEFF" w:val="clear"/>
            <w:vAlign w:val="center"/>
          </w:tcPr>
          <w:p>
            <w:pPr>
              <w:pStyle w:val="TableContents"/>
              <w:bidi w:val="0"/>
              <w:spacing w:before="0" w:after="283"/>
              <w:jc w:val="both"/>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63,742,000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48,939,000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111,573,000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83,526,000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29" w:name="xdx_8A3_zND0PZK32Zuj"/>
      <w:bookmarkEnd w:id="3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 at June 30, 2025 and December 31, 2024 were $</w:t>
      </w:r>
      <w:bookmarkStart w:id="330" w:name="xdx_905_eus-gaap--ContractWithCustomerLi"/>
      <w:bookmarkEnd w:id="330"/>
      <w:r>
        <w:rPr>
          <w:rFonts w:ascii="Times New Roman;Times;Serif" w:hAnsi="Times New Roman;Times;Serif"/>
          <w:b w:val="false"/>
          <w:i w:val="false"/>
          <w:caps w:val="false"/>
          <w:smallCaps w:val="false"/>
          <w:sz w:val="20"/>
        </w:rPr>
        <w:t>91,000 and $</w:t>
      </w:r>
      <w:bookmarkStart w:id="331" w:name="xdx_903_eus-gaap--ContractWithCustomerLi"/>
      <w:bookmarkEnd w:id="331"/>
      <w:r>
        <w:rPr>
          <w:rFonts w:ascii="Times New Roman;Times;Serif" w:hAnsi="Times New Roman;Times;Serif"/>
          <w:b w:val="false"/>
          <w:i w:val="false"/>
          <w:caps w:val="false"/>
          <w:smallCaps w:val="false"/>
          <w:sz w:val="20"/>
        </w:rPr>
        <w:t>44,000, respectively. All deferred revenue and customer deposit amounts at December 31, 2024 were recognized as revenue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2" w:name="xdx_806_eus-gaap--InventoryDisclosureTex"/>
      <w:bookmarkEnd w:id="332"/>
      <w:r>
        <w:rPr>
          <w:rFonts w:ascii="Times New Roman;Times;Serif" w:hAnsi="Times New Roman;Times;Serif"/>
          <w:b/>
          <w:i w:val="false"/>
          <w:caps w:val="false"/>
          <w:smallCaps w:val="false"/>
          <w:sz w:val="20"/>
        </w:rPr>
        <w:t xml:space="preserve">NOTE 4. </w:t>
      </w:r>
      <w:bookmarkStart w:id="333" w:name="xdx_822_zRrui3OXX9na"/>
      <w:bookmarkEnd w:id="333"/>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comprised of finished compounded formulations, over-the-counter and prescription retail pharmacy products, branded pharmaceutical products, including those held at the Company’s 3PL partner, related laboratory supplies and active pharmaceutical ingredients. The composition of inventories as of June 30, 2025 and December 31, 2024 was as follows:</w:t>
      </w:r>
    </w:p>
    <w:p>
      <w:pPr>
        <w:pStyle w:val="TextBody"/>
        <w:bidi w:val="0"/>
        <w:spacing w:before="0" w:after="0"/>
        <w:ind w:left="0" w:right="0" w:hanging="0"/>
        <w:jc w:val="both"/>
        <w:rPr>
          <w:caps w:val="false"/>
          <w:smallCaps w:val="false"/>
        </w:rPr>
      </w:pPr>
      <w:bookmarkStart w:id="334" w:name="xdx_89C_eus-gaap--ScheduleOfInventoryCur"/>
      <w:bookmarkEnd w:id="334"/>
      <w:r>
        <w:rPr>
          <w:caps w:val="false"/>
          <w:smallCaps w:val="false"/>
        </w:rPr>
        <w:t> </w:t>
      </w:r>
      <w:bookmarkStart w:id="335" w:name="xdx_8B5_z1IGrc91thd8"/>
      <w:bookmarkEnd w:id="335"/>
      <w:r>
        <w:rPr>
          <w:rFonts w:ascii="Times New Roman;Times;Serif" w:hAnsi="Times New Roman;Times;Serif"/>
          <w:b w:val="false"/>
          <w:i w:val="false"/>
          <w:caps w:val="false"/>
          <w:smallCaps w:val="false"/>
          <w:sz w:val="20"/>
        </w:rPr>
        <w:t>SCHEDULE OF INVENTORIES</w:t>
      </w:r>
    </w:p>
    <w:tbl>
      <w:tblPr>
        <w:tblW w:w="5293" w:type="dxa"/>
        <w:jc w:val="left"/>
        <w:tblInd w:w="0" w:type="dxa"/>
        <w:tblLayout w:type="fixed"/>
        <w:tblCellMar>
          <w:top w:w="0" w:type="dxa"/>
          <w:left w:w="0" w:type="dxa"/>
          <w:bottom w:w="0" w:type="dxa"/>
          <w:right w:w="0" w:type="dxa"/>
        </w:tblCellMar>
      </w:tblPr>
      <w:tblGrid>
        <w:gridCol w:w="1670"/>
        <w:gridCol w:w="60"/>
        <w:gridCol w:w="159"/>
        <w:gridCol w:w="1255"/>
        <w:gridCol w:w="60"/>
        <w:gridCol w:w="60"/>
        <w:gridCol w:w="220"/>
        <w:gridCol w:w="1734"/>
        <w:gridCol w:w="75"/>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6" w:name="xdx_495_20250630_zrx7HlLhgLb1"/>
            <w:bookmarkEnd w:id="336"/>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7" w:name="xdx_49D_20241231_zjjcIllQVGdf"/>
            <w:bookmarkEnd w:id="337"/>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338" w:name="xdx_40F_eus-gaap--InventoryRawMaterials_"/>
            <w:bookmarkEnd w:id="338"/>
          </w:p>
        </w:tc>
      </w:tr>
      <w:tr>
        <w:trPr/>
        <w:tc>
          <w:tcPr>
            <w:tcW w:w="1670" w:type="dxa"/>
            <w:tcBorders/>
            <w:shd w:fill="CCEEFF" w:val="clear"/>
            <w:vAlign w:val="center"/>
          </w:tcPr>
          <w:p>
            <w:pPr>
              <w:pStyle w:val="TableContents"/>
              <w:bidi w:val="0"/>
              <w:spacing w:before="0" w:after="283"/>
              <w:jc w:val="both"/>
              <w:rPr/>
            </w:pPr>
            <w:r>
              <w:rPr/>
              <w:t>Raw materials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5,825,000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5,362,000</w:t>
            </w:r>
          </w:p>
        </w:tc>
        <w:tc>
          <w:tcPr>
            <w:tcW w:w="75" w:type="dxa"/>
            <w:tcBorders/>
            <w:shd w:fill="CCEEFF" w:val="clear"/>
            <w:vAlign w:val="center"/>
          </w:tcPr>
          <w:p>
            <w:pPr>
              <w:pStyle w:val="TableContents"/>
              <w:bidi w:val="0"/>
              <w:spacing w:before="0" w:after="283"/>
              <w:jc w:val="left"/>
              <w:rPr/>
            </w:pPr>
            <w:r>
              <w:rPr/>
              <w:t> </w:t>
            </w:r>
            <w:bookmarkStart w:id="339" w:name="xdx_402_eus-gaap--InventoryWorkInProcess"/>
            <w:bookmarkEnd w:id="339"/>
          </w:p>
        </w:tc>
      </w:tr>
      <w:tr>
        <w:trPr/>
        <w:tc>
          <w:tcPr>
            <w:tcW w:w="1670" w:type="dxa"/>
            <w:tcBorders/>
            <w:shd w:fill="FFFFFF" w:val="clear"/>
            <w:vAlign w:val="center"/>
          </w:tcPr>
          <w:p>
            <w:pPr>
              <w:pStyle w:val="TableContents"/>
              <w:bidi w:val="0"/>
              <w:spacing w:before="0" w:after="283"/>
              <w:jc w:val="both"/>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793,000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858,000</w:t>
            </w:r>
          </w:p>
        </w:tc>
        <w:tc>
          <w:tcPr>
            <w:tcW w:w="75" w:type="dxa"/>
            <w:tcBorders/>
            <w:shd w:fill="FFFFFF" w:val="clear"/>
            <w:vAlign w:val="center"/>
          </w:tcPr>
          <w:p>
            <w:pPr>
              <w:pStyle w:val="TableContents"/>
              <w:bidi w:val="0"/>
              <w:spacing w:before="0" w:after="283"/>
              <w:jc w:val="left"/>
              <w:rPr/>
            </w:pPr>
            <w:r>
              <w:rPr/>
              <w:t> </w:t>
            </w:r>
            <w:bookmarkStart w:id="340" w:name="xdx_409_eus-gaap--InventoryFinishedGoods"/>
            <w:bookmarkEnd w:id="340"/>
          </w:p>
        </w:tc>
      </w:tr>
      <w:tr>
        <w:trPr/>
        <w:tc>
          <w:tcPr>
            <w:tcW w:w="167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4,934,000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8" w:space="0" w:color="000000"/>
            </w:tcBorders>
            <w:shd w:fill="CCEEFF" w:val="clear"/>
            <w:tcMar>
              <w:bottom w:w="28" w:type="dxa"/>
            </w:tcMar>
            <w:vAlign w:val="center"/>
          </w:tcPr>
          <w:p>
            <w:pPr>
              <w:pStyle w:val="TableContents"/>
              <w:bidi w:val="0"/>
              <w:spacing w:before="0" w:after="283"/>
              <w:jc w:val="right"/>
              <w:rPr/>
            </w:pPr>
            <w:r>
              <w:rPr/>
              <w:t>4,482,000</w:t>
            </w:r>
          </w:p>
        </w:tc>
        <w:tc>
          <w:tcPr>
            <w:tcW w:w="75" w:type="dxa"/>
            <w:tcBorders/>
            <w:shd w:fill="CCEEFF" w:val="clear"/>
            <w:vAlign w:val="center"/>
          </w:tcPr>
          <w:p>
            <w:pPr>
              <w:pStyle w:val="TableContents"/>
              <w:bidi w:val="0"/>
              <w:spacing w:before="0" w:after="283"/>
              <w:jc w:val="left"/>
              <w:rPr/>
            </w:pPr>
            <w:r>
              <w:rPr/>
              <w:t> </w:t>
            </w:r>
            <w:bookmarkStart w:id="341" w:name="xdx_402_eus-gaap--InventoryNet_iTI_mtCzf"/>
            <w:bookmarkEnd w:id="341"/>
          </w:p>
        </w:tc>
      </w:tr>
      <w:tr>
        <w:trPr/>
        <w:tc>
          <w:tcPr>
            <w:tcW w:w="1670" w:type="dxa"/>
            <w:tcBorders/>
            <w:shd w:fill="FFFFFF" w:val="clear"/>
            <w:vAlign w:val="center"/>
          </w:tcPr>
          <w:p>
            <w:pPr>
              <w:pStyle w:val="TableContents"/>
              <w:bidi w:val="0"/>
              <w:spacing w:before="0" w:after="283"/>
              <w:jc w:val="both"/>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11,552,000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10,702,000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2" w:name="xdx_8A1_zFYLFgXQ8Wc3"/>
      <w:bookmarkEnd w:id="3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3" w:name="xdx_803_eus-gaap--OtherAssetsDisclosureT"/>
      <w:bookmarkEnd w:id="343"/>
      <w:r>
        <w:rPr>
          <w:rFonts w:ascii="Times New Roman;Times;Serif" w:hAnsi="Times New Roman;Times;Serif"/>
          <w:b/>
          <w:i w:val="false"/>
          <w:caps w:val="false"/>
          <w:smallCaps w:val="false"/>
          <w:sz w:val="20"/>
        </w:rPr>
        <w:t xml:space="preserve">NOTE 5. </w:t>
      </w:r>
      <w:bookmarkStart w:id="344" w:name="xdx_82A_zNPUBLH2LEa4"/>
      <w:bookmarkEnd w:id="344"/>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5" w:name="xdx_892_eus-gaap--DeferredCostsCapitaliz"/>
      <w:bookmarkEnd w:id="345"/>
      <w:r>
        <w:rPr>
          <w:rFonts w:ascii="Times New Roman;Times;Serif" w:hAnsi="Times New Roman;Times;Serif"/>
          <w:b w:val="false"/>
          <w:i w:val="false"/>
          <w:caps w:val="false"/>
          <w:smallCaps w:val="false"/>
          <w:sz w:val="20"/>
        </w:rPr>
        <w:t>Prepaid expenses and other current assets at June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46" w:name="xdx_8BC_zaeEdRrKWFW3"/>
      <w:bookmarkEnd w:id="346"/>
      <w:r>
        <w:rPr>
          <w:rFonts w:ascii="Times New Roman;Times;Serif" w:hAnsi="Times New Roman;Times;Serif"/>
          <w:b w:val="false"/>
          <w:i w:val="false"/>
          <w:caps w:val="false"/>
          <w:smallCaps w:val="false"/>
          <w:sz w:val="20"/>
        </w:rPr>
        <w:t>SCHEDULE OF PREPAID EXPENSES AND OTHER CURRENT ASSETS</w:t>
      </w:r>
    </w:p>
    <w:tbl>
      <w:tblPr>
        <w:tblW w:w="9058" w:type="dxa"/>
        <w:jc w:val="left"/>
        <w:tblInd w:w="0" w:type="dxa"/>
        <w:tblLayout w:type="fixed"/>
        <w:tblCellMar>
          <w:top w:w="0" w:type="dxa"/>
          <w:left w:w="0" w:type="dxa"/>
          <w:bottom w:w="0" w:type="dxa"/>
          <w:right w:w="0" w:type="dxa"/>
        </w:tblCellMar>
      </w:tblPr>
      <w:tblGrid>
        <w:gridCol w:w="5435"/>
        <w:gridCol w:w="60"/>
        <w:gridCol w:w="159"/>
        <w:gridCol w:w="1255"/>
        <w:gridCol w:w="60"/>
        <w:gridCol w:w="60"/>
        <w:gridCol w:w="220"/>
        <w:gridCol w:w="1734"/>
        <w:gridCol w:w="75"/>
      </w:tblGrid>
      <w:tr>
        <w:trPr/>
        <w:tc>
          <w:tcPr>
            <w:tcW w:w="54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47" w:name="xdx_49A_20250630_zJ718HtcN9M5"/>
            <w:bookmarkEnd w:id="34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D_20241231_zkulSdQHHm5l"/>
            <w:bookmarkEnd w:id="348"/>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349" w:name="xdx_40A_eus-gaap--PrepaidInsurance_iI_ma"/>
            <w:bookmarkEnd w:id="349"/>
          </w:p>
        </w:tc>
      </w:tr>
      <w:tr>
        <w:trPr/>
        <w:tc>
          <w:tcPr>
            <w:tcW w:w="5435" w:type="dxa"/>
            <w:tcBorders/>
            <w:shd w:fill="CCEEFF" w:val="clear"/>
            <w:vAlign w:val="center"/>
          </w:tcPr>
          <w:p>
            <w:pPr>
              <w:pStyle w:val="TableContents"/>
              <w:bidi w:val="0"/>
              <w:spacing w:before="0" w:after="283"/>
              <w:jc w:val="both"/>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224,000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1,326,000</w:t>
            </w:r>
          </w:p>
        </w:tc>
        <w:tc>
          <w:tcPr>
            <w:tcW w:w="75" w:type="dxa"/>
            <w:tcBorders/>
            <w:shd w:fill="CCEEFF" w:val="clear"/>
            <w:vAlign w:val="center"/>
          </w:tcPr>
          <w:p>
            <w:pPr>
              <w:pStyle w:val="TableContents"/>
              <w:bidi w:val="0"/>
              <w:spacing w:before="0" w:after="283"/>
              <w:jc w:val="left"/>
              <w:rPr/>
            </w:pPr>
            <w:r>
              <w:rPr/>
              <w:t> </w:t>
            </w:r>
            <w:bookmarkStart w:id="350" w:name="xdx_408_ecustom--PrepaidComputerSoftware"/>
            <w:bookmarkEnd w:id="350"/>
          </w:p>
        </w:tc>
      </w:tr>
      <w:tr>
        <w:trPr/>
        <w:tc>
          <w:tcPr>
            <w:tcW w:w="5435" w:type="dxa"/>
            <w:tcBorders/>
            <w:shd w:fill="FFFFFF" w:val="clear"/>
            <w:vAlign w:val="center"/>
          </w:tcPr>
          <w:p>
            <w:pPr>
              <w:pStyle w:val="TableContents"/>
              <w:bidi w:val="0"/>
              <w:spacing w:before="0" w:after="283"/>
              <w:jc w:val="both"/>
              <w:rPr/>
            </w:pPr>
            <w:r>
              <w:rPr/>
              <w:t>Prepaid computer software licenses and related expenses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709,000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765,000</w:t>
            </w:r>
          </w:p>
        </w:tc>
        <w:tc>
          <w:tcPr>
            <w:tcW w:w="75" w:type="dxa"/>
            <w:tcBorders/>
            <w:shd w:fill="FFFFFF" w:val="clear"/>
            <w:vAlign w:val="center"/>
          </w:tcPr>
          <w:p>
            <w:pPr>
              <w:pStyle w:val="TableContents"/>
              <w:bidi w:val="0"/>
              <w:spacing w:before="0" w:after="283"/>
              <w:jc w:val="left"/>
              <w:rPr/>
            </w:pPr>
            <w:r>
              <w:rPr/>
              <w:t> </w:t>
            </w:r>
            <w:bookmarkStart w:id="351" w:name="xdx_409_ecustom--PrefundedAssistance_iI_"/>
            <w:bookmarkEnd w:id="351"/>
          </w:p>
        </w:tc>
      </w:tr>
      <w:tr>
        <w:trPr/>
        <w:tc>
          <w:tcPr>
            <w:tcW w:w="5435" w:type="dxa"/>
            <w:tcBorders/>
            <w:shd w:fill="CCEEFF" w:val="clear"/>
            <w:vAlign w:val="center"/>
          </w:tcPr>
          <w:p>
            <w:pPr>
              <w:pStyle w:val="TableContents"/>
              <w:bidi w:val="0"/>
              <w:spacing w:before="0" w:after="283"/>
              <w:jc w:val="both"/>
              <w:rPr/>
            </w:pPr>
            <w:r>
              <w:rPr/>
              <w:t>Prefunded co-pay assistance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2,937,000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4,514,000</w:t>
            </w:r>
          </w:p>
        </w:tc>
        <w:tc>
          <w:tcPr>
            <w:tcW w:w="75" w:type="dxa"/>
            <w:tcBorders/>
            <w:shd w:fill="CCEEFF" w:val="clear"/>
            <w:vAlign w:val="center"/>
          </w:tcPr>
          <w:p>
            <w:pPr>
              <w:pStyle w:val="TableContents"/>
              <w:bidi w:val="0"/>
              <w:spacing w:before="0" w:after="283"/>
              <w:jc w:val="left"/>
              <w:rPr/>
            </w:pPr>
            <w:r>
              <w:rPr/>
              <w:t> </w:t>
            </w:r>
            <w:bookmarkStart w:id="352" w:name="xdx_402_eus-gaap--OtherPrepaidExpenseCur"/>
            <w:bookmarkEnd w:id="352"/>
          </w:p>
        </w:tc>
      </w:tr>
      <w:tr>
        <w:trPr/>
        <w:tc>
          <w:tcPr>
            <w:tcW w:w="5435" w:type="dxa"/>
            <w:tcBorders/>
            <w:shd w:fill="FFFFFF" w:val="clear"/>
            <w:vAlign w:val="center"/>
          </w:tcPr>
          <w:p>
            <w:pPr>
              <w:pStyle w:val="TableContents"/>
              <w:bidi w:val="0"/>
              <w:spacing w:before="0" w:after="283"/>
              <w:jc w:val="both"/>
              <w:rPr/>
            </w:pPr>
            <w:r>
              <w:rPr/>
              <w:t>Other prepaid expenses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3,387,000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1,435,000</w:t>
            </w:r>
          </w:p>
        </w:tc>
        <w:tc>
          <w:tcPr>
            <w:tcW w:w="75" w:type="dxa"/>
            <w:tcBorders/>
            <w:shd w:fill="FFFFFF" w:val="clear"/>
            <w:vAlign w:val="center"/>
          </w:tcPr>
          <w:p>
            <w:pPr>
              <w:pStyle w:val="TableContents"/>
              <w:bidi w:val="0"/>
              <w:spacing w:before="0" w:after="283"/>
              <w:jc w:val="left"/>
              <w:rPr/>
            </w:pPr>
            <w:r>
              <w:rPr/>
              <w:t> </w:t>
            </w:r>
            <w:bookmarkStart w:id="353" w:name="xdx_406_ecustom--ReceivableDueFromRelate"/>
            <w:bookmarkEnd w:id="353"/>
          </w:p>
        </w:tc>
      </w:tr>
      <w:tr>
        <w:trPr/>
        <w:tc>
          <w:tcPr>
            <w:tcW w:w="5435" w:type="dxa"/>
            <w:tcBorders/>
            <w:shd w:fill="CCEEFF" w:val="clear"/>
            <w:vAlign w:val="center"/>
          </w:tcPr>
          <w:p>
            <w:pPr>
              <w:pStyle w:val="TableContents"/>
              <w:bidi w:val="0"/>
              <w:spacing w:before="0" w:after="283"/>
              <w:jc w:val="both"/>
              <w:rPr/>
            </w:pPr>
            <w:r>
              <w:rPr/>
              <w:t>Receivable due from Melt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228,000</w:t>
            </w:r>
          </w:p>
        </w:tc>
        <w:tc>
          <w:tcPr>
            <w:tcW w:w="75" w:type="dxa"/>
            <w:tcBorders/>
            <w:shd w:fill="CCEEFF" w:val="clear"/>
            <w:vAlign w:val="center"/>
          </w:tcPr>
          <w:p>
            <w:pPr>
              <w:pStyle w:val="TableContents"/>
              <w:bidi w:val="0"/>
              <w:spacing w:before="0" w:after="283"/>
              <w:jc w:val="left"/>
              <w:rPr/>
            </w:pPr>
            <w:r>
              <w:rPr/>
              <w:t> </w:t>
            </w:r>
            <w:bookmarkStart w:id="354" w:name="xdx_403_ecustom--PrepaidPrescriptionDrug"/>
            <w:bookmarkEnd w:id="354"/>
          </w:p>
        </w:tc>
      </w:tr>
      <w:tr>
        <w:trPr/>
        <w:tc>
          <w:tcPr>
            <w:tcW w:w="5435" w:type="dxa"/>
            <w:tcBorders/>
            <w:shd w:fill="FFFFFF" w:val="clear"/>
            <w:vAlign w:val="center"/>
          </w:tcPr>
          <w:p>
            <w:pPr>
              <w:pStyle w:val="TableContents"/>
              <w:bidi w:val="0"/>
              <w:spacing w:before="0" w:after="283"/>
              <w:jc w:val="both"/>
              <w:rPr/>
            </w:pPr>
            <w:r>
              <w:rPr/>
              <w:t>Annual Prepaid Prescription Drug User (“PDUFA”) fees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1,217,000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3,651,000</w:t>
            </w:r>
          </w:p>
        </w:tc>
        <w:tc>
          <w:tcPr>
            <w:tcW w:w="75" w:type="dxa"/>
            <w:tcBorders/>
            <w:shd w:fill="FFFFFF" w:val="clear"/>
            <w:vAlign w:val="center"/>
          </w:tcPr>
          <w:p>
            <w:pPr>
              <w:pStyle w:val="TableContents"/>
              <w:bidi w:val="0"/>
              <w:spacing w:before="0" w:after="283"/>
              <w:jc w:val="left"/>
              <w:rPr/>
            </w:pPr>
            <w:r>
              <w:rPr/>
              <w:t> </w:t>
            </w:r>
            <w:bookmarkStart w:id="355" w:name="xdx_409_eus-gaap--OtherAssetsCurrent_iI_"/>
            <w:bookmarkEnd w:id="355"/>
          </w:p>
        </w:tc>
      </w:tr>
      <w:tr>
        <w:trPr/>
        <w:tc>
          <w:tcPr>
            <w:tcW w:w="5435" w:type="dxa"/>
            <w:tcBorders/>
            <w:shd w:fill="CCEEFF" w:val="clear"/>
            <w:vAlign w:val="center"/>
          </w:tcPr>
          <w:p>
            <w:pPr>
              <w:pStyle w:val="TableContents"/>
              <w:bidi w:val="0"/>
              <w:spacing w:before="0" w:after="283"/>
              <w:jc w:val="both"/>
              <w:rPr/>
            </w:pPr>
            <w:r>
              <w:rPr/>
              <w:t>Deposits and other current assets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2,851,000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8" w:space="0" w:color="000000"/>
            </w:tcBorders>
            <w:shd w:fill="CCEEFF" w:val="clear"/>
            <w:tcMar>
              <w:bottom w:w="28" w:type="dxa"/>
            </w:tcMar>
            <w:vAlign w:val="center"/>
          </w:tcPr>
          <w:p>
            <w:pPr>
              <w:pStyle w:val="TableContents"/>
              <w:bidi w:val="0"/>
              <w:spacing w:before="0" w:after="283"/>
              <w:jc w:val="right"/>
              <w:rPr/>
            </w:pPr>
            <w:r>
              <w:rPr/>
              <w:t>3,410,000</w:t>
            </w:r>
          </w:p>
        </w:tc>
        <w:tc>
          <w:tcPr>
            <w:tcW w:w="75" w:type="dxa"/>
            <w:tcBorders/>
            <w:shd w:fill="CCEEFF" w:val="clear"/>
            <w:vAlign w:val="center"/>
          </w:tcPr>
          <w:p>
            <w:pPr>
              <w:pStyle w:val="TableContents"/>
              <w:bidi w:val="0"/>
              <w:spacing w:before="0" w:after="283"/>
              <w:jc w:val="left"/>
              <w:rPr/>
            </w:pPr>
            <w:r>
              <w:rPr/>
              <w:t> </w:t>
            </w:r>
            <w:bookmarkStart w:id="356" w:name="xdx_40C_eus-gaap--PrepaidExpenseAndOther"/>
            <w:bookmarkEnd w:id="356"/>
          </w:p>
        </w:tc>
      </w:tr>
      <w:tr>
        <w:trPr/>
        <w:tc>
          <w:tcPr>
            <w:tcW w:w="5435" w:type="dxa"/>
            <w:tcBorders/>
            <w:shd w:fill="FFFFFF" w:val="clear"/>
            <w:vAlign w:val="center"/>
          </w:tcPr>
          <w:p>
            <w:pPr>
              <w:pStyle w:val="TableContents"/>
              <w:bidi w:val="0"/>
              <w:spacing w:before="0" w:after="283"/>
              <w:jc w:val="both"/>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11,553,000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4" w:type="dxa"/>
            <w:tcBorders>
              <w:bottom w:val="double" w:sz="6" w:space="0" w:color="000000"/>
            </w:tcBorders>
            <w:shd w:fill="FFFFFF" w:val="clear"/>
            <w:tcMar>
              <w:bottom w:w="28" w:type="dxa"/>
            </w:tcMar>
            <w:vAlign w:val="center"/>
          </w:tcPr>
          <w:p>
            <w:pPr>
              <w:pStyle w:val="TableContents"/>
              <w:bidi w:val="0"/>
              <w:spacing w:before="0" w:after="283"/>
              <w:jc w:val="right"/>
              <w:rPr/>
            </w:pPr>
            <w:r>
              <w:rPr/>
              <w:t>15,329,000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7" w:name="xdx_8A3_z1IkT2TDOrz9"/>
      <w:bookmarkEnd w:id="357"/>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358" w:name="xdx_800_eus-gaap--PropertyPlantAndEquipm"/>
      <w:bookmarkEnd w:id="358"/>
      <w:r>
        <w:rPr>
          <w:rFonts w:ascii="Times New Roman;Times;Serif" w:hAnsi="Times New Roman;Times;Serif"/>
          <w:b/>
          <w:i w:val="false"/>
          <w:caps w:val="false"/>
          <w:smallCaps w:val="false"/>
          <w:sz w:val="20"/>
        </w:rPr>
        <w:t xml:space="preserve">NOTE 6. </w:t>
      </w:r>
      <w:bookmarkStart w:id="359" w:name="xdx_82D_zoA421O4uRc9"/>
      <w:bookmarkEnd w:id="359"/>
      <w:r>
        <w:rPr>
          <w:rFonts w:ascii="Times New Roman;Times;Serif" w:hAnsi="Times New Roman;Times;Serif"/>
          <w:b/>
          <w:i w:val="false"/>
          <w:caps w:val="false"/>
          <w:smallCaps w:val="false"/>
          <w:sz w:val="20"/>
        </w:rPr>
        <w:t>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0" w:name="xdx_89A_eus-gaap--PropertyPlantAndEquipm"/>
      <w:bookmarkEnd w:id="360"/>
      <w:r>
        <w:rPr>
          <w:rFonts w:ascii="Times New Roman;Times;Serif" w:hAnsi="Times New Roman;Times;Serif"/>
          <w:b w:val="false"/>
          <w:i w:val="false"/>
          <w:caps w:val="false"/>
          <w:smallCaps w:val="false"/>
          <w:sz w:val="20"/>
        </w:rPr>
        <w:t>Property, plant and equipment at June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61" w:name="xdx_8B9_ztRyZtw93dp1"/>
      <w:bookmarkEnd w:id="361"/>
      <w:r>
        <w:rPr>
          <w:rFonts w:ascii="Times New Roman;Times;Serif" w:hAnsi="Times New Roman;Times;Serif"/>
          <w:b w:val="false"/>
          <w:i w:val="false"/>
          <w:caps w:val="false"/>
          <w:smallCaps w:val="false"/>
          <w:sz w:val="20"/>
        </w:rPr>
        <w:t>SCHEDULE OF PROPERTY, PLANT AND EQUIPMENT</w:t>
      </w:r>
    </w:p>
    <w:tbl>
      <w:tblPr>
        <w:tblW w:w="7043" w:type="dxa"/>
        <w:jc w:val="left"/>
        <w:tblInd w:w="0" w:type="dxa"/>
        <w:tblLayout w:type="fixed"/>
        <w:tblCellMar>
          <w:top w:w="0" w:type="dxa"/>
          <w:left w:w="0" w:type="dxa"/>
          <w:bottom w:w="0" w:type="dxa"/>
          <w:right w:w="0" w:type="dxa"/>
        </w:tblCellMar>
      </w:tblPr>
      <w:tblGrid>
        <w:gridCol w:w="3350"/>
        <w:gridCol w:w="60"/>
        <w:gridCol w:w="150"/>
        <w:gridCol w:w="1264"/>
        <w:gridCol w:w="95"/>
        <w:gridCol w:w="60"/>
        <w:gridCol w:w="208"/>
        <w:gridCol w:w="1746"/>
        <w:gridCol w:w="110"/>
      </w:tblGrid>
      <w:tr>
        <w:trPr/>
        <w:tc>
          <w:tcPr>
            <w:tcW w:w="33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62" w:name="xdx_494_20250630_zYsKbqnTq5uj"/>
            <w:bookmarkEnd w:id="36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3" w:name="xdx_495_20241231_zMXrKkJNkH9f"/>
            <w:bookmarkEnd w:id="36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4" w:name="xdx_400_ecustom--ComputerHardwareGross_i"/>
            <w:bookmarkEnd w:id="364"/>
          </w:p>
        </w:tc>
      </w:tr>
      <w:tr>
        <w:trPr/>
        <w:tc>
          <w:tcPr>
            <w:tcW w:w="3350" w:type="dxa"/>
            <w:tcBorders/>
            <w:shd w:fill="FFFFFF" w:val="clear"/>
            <w:vAlign w:val="center"/>
          </w:tcPr>
          <w:p>
            <w:pPr>
              <w:pStyle w:val="TableContents"/>
              <w:bidi w:val="0"/>
              <w:spacing w:before="0" w:after="283"/>
              <w:jc w:val="both"/>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64" w:type="dxa"/>
            <w:tcBorders/>
            <w:shd w:fill="FFFFFF" w:val="clear"/>
            <w:vAlign w:val="center"/>
          </w:tcPr>
          <w:p>
            <w:pPr>
              <w:pStyle w:val="TableContents"/>
              <w:bidi w:val="0"/>
              <w:spacing w:before="0" w:after="283"/>
              <w:jc w:val="right"/>
              <w:rPr/>
            </w:pPr>
            <w:r>
              <w:rPr/>
              <w:t>1,232,000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1,195,000</w:t>
            </w:r>
          </w:p>
        </w:tc>
        <w:tc>
          <w:tcPr>
            <w:tcW w:w="110" w:type="dxa"/>
            <w:tcBorders/>
            <w:shd w:fill="FFFFFF" w:val="clear"/>
            <w:vAlign w:val="center"/>
          </w:tcPr>
          <w:p>
            <w:pPr>
              <w:pStyle w:val="TableContents"/>
              <w:bidi w:val="0"/>
              <w:spacing w:before="0" w:after="283"/>
              <w:jc w:val="left"/>
              <w:rPr/>
            </w:pPr>
            <w:r>
              <w:rPr/>
              <w:t> </w:t>
            </w:r>
            <w:bookmarkStart w:id="365" w:name="xdx_40A_eus-gaap--FurnitureAndFixturesGr"/>
            <w:bookmarkEnd w:id="365"/>
          </w:p>
        </w:tc>
      </w:tr>
      <w:tr>
        <w:trPr/>
        <w:tc>
          <w:tcPr>
            <w:tcW w:w="3350" w:type="dxa"/>
            <w:tcBorders/>
            <w:shd w:fill="CCEEFF" w:val="clear"/>
            <w:vAlign w:val="center"/>
          </w:tcPr>
          <w:p>
            <w:pPr>
              <w:pStyle w:val="TableContents"/>
              <w:bidi w:val="0"/>
              <w:spacing w:before="0" w:after="283"/>
              <w:jc w:val="both"/>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960,000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956,000</w:t>
            </w:r>
          </w:p>
        </w:tc>
        <w:tc>
          <w:tcPr>
            <w:tcW w:w="110" w:type="dxa"/>
            <w:tcBorders/>
            <w:shd w:fill="CCEEFF" w:val="clear"/>
            <w:vAlign w:val="center"/>
          </w:tcPr>
          <w:p>
            <w:pPr>
              <w:pStyle w:val="TableContents"/>
              <w:bidi w:val="0"/>
              <w:spacing w:before="0" w:after="283"/>
              <w:jc w:val="left"/>
              <w:rPr/>
            </w:pPr>
            <w:r>
              <w:rPr/>
              <w:t> </w:t>
            </w:r>
            <w:bookmarkStart w:id="366" w:name="xdx_40C_eus-gaap--MachineryAndEquipmentG"/>
            <w:bookmarkEnd w:id="366"/>
          </w:p>
        </w:tc>
      </w:tr>
      <w:tr>
        <w:trPr/>
        <w:tc>
          <w:tcPr>
            <w:tcW w:w="3350" w:type="dxa"/>
            <w:tcBorders/>
            <w:shd w:fill="FFFFFF" w:val="clear"/>
            <w:vAlign w:val="center"/>
          </w:tcPr>
          <w:p>
            <w:pPr>
              <w:pStyle w:val="TableContents"/>
              <w:bidi w:val="0"/>
              <w:spacing w:before="0" w:after="283"/>
              <w:jc w:val="both"/>
              <w:rPr/>
            </w:pPr>
            <w:r>
              <w:rPr/>
              <w:t>Lab and pharmacy equipment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5,641,000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5,306,000</w:t>
            </w:r>
          </w:p>
        </w:tc>
        <w:tc>
          <w:tcPr>
            <w:tcW w:w="110" w:type="dxa"/>
            <w:tcBorders/>
            <w:shd w:fill="FFFFFF" w:val="clear"/>
            <w:vAlign w:val="center"/>
          </w:tcPr>
          <w:p>
            <w:pPr>
              <w:pStyle w:val="TableContents"/>
              <w:bidi w:val="0"/>
              <w:spacing w:before="0" w:after="283"/>
              <w:jc w:val="left"/>
              <w:rPr/>
            </w:pPr>
            <w:r>
              <w:rPr/>
              <w:t> </w:t>
            </w:r>
            <w:bookmarkStart w:id="367" w:name="xdx_40A_eus-gaap--LeaseholdImprovementsG"/>
            <w:bookmarkEnd w:id="367"/>
          </w:p>
        </w:tc>
      </w:tr>
      <w:tr>
        <w:trPr/>
        <w:tc>
          <w:tcPr>
            <w:tcW w:w="3350"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7,337,000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pPr>
            <w:r>
              <w:rPr/>
              <w:t>7,291,000</w:t>
            </w:r>
          </w:p>
        </w:tc>
        <w:tc>
          <w:tcPr>
            <w:tcW w:w="110" w:type="dxa"/>
            <w:tcBorders/>
            <w:shd w:fill="CCEEFF" w:val="clear"/>
            <w:vAlign w:val="center"/>
          </w:tcPr>
          <w:p>
            <w:pPr>
              <w:pStyle w:val="TableContents"/>
              <w:bidi w:val="0"/>
              <w:spacing w:before="0" w:after="283"/>
              <w:jc w:val="left"/>
              <w:rPr/>
            </w:pPr>
            <w:r>
              <w:rPr/>
              <w:t> </w:t>
            </w:r>
            <w:bookmarkStart w:id="368" w:name="xdx_40D_eus-gaap--PropertyPlantAndEquipm"/>
            <w:bookmarkEnd w:id="368"/>
          </w:p>
        </w:tc>
      </w:tr>
      <w:tr>
        <w:trPr/>
        <w:tc>
          <w:tcPr>
            <w:tcW w:w="33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15,170,000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14,748,000</w:t>
            </w:r>
          </w:p>
        </w:tc>
        <w:tc>
          <w:tcPr>
            <w:tcW w:w="110" w:type="dxa"/>
            <w:tcBorders/>
            <w:shd w:fill="FFFFFF" w:val="clear"/>
            <w:vAlign w:val="center"/>
          </w:tcPr>
          <w:p>
            <w:pPr>
              <w:pStyle w:val="TableContents"/>
              <w:bidi w:val="0"/>
              <w:spacing w:before="0" w:after="283"/>
              <w:jc w:val="left"/>
              <w:rPr/>
            </w:pPr>
            <w:r>
              <w:rPr/>
              <w:t> </w:t>
            </w:r>
            <w:bookmarkStart w:id="369" w:name="xdx_406_eus-gaap--AccumulatedDepreciatio"/>
            <w:bookmarkEnd w:id="369"/>
          </w:p>
        </w:tc>
      </w:tr>
      <w:tr>
        <w:trPr/>
        <w:tc>
          <w:tcPr>
            <w:tcW w:w="3350" w:type="dxa"/>
            <w:tcBorders/>
            <w:shd w:fill="CCEEFF" w:val="clear"/>
            <w:vAlign w:val="center"/>
          </w:tcPr>
          <w:p>
            <w:pPr>
              <w:pStyle w:val="TableContents"/>
              <w:bidi w:val="0"/>
              <w:spacing w:before="0" w:after="283"/>
              <w:jc w:val="both"/>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(11,658,000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pPr>
            <w:r>
              <w:rPr/>
              <w:t>(11,014,000</w:t>
            </w:r>
          </w:p>
        </w:tc>
        <w:tc>
          <w:tcPr>
            <w:tcW w:w="110" w:type="dxa"/>
            <w:tcBorders/>
            <w:shd w:fill="CCEEFF" w:val="clear"/>
            <w:vAlign w:val="center"/>
          </w:tcPr>
          <w:p>
            <w:pPr>
              <w:pStyle w:val="TableContents"/>
              <w:bidi w:val="0"/>
              <w:spacing w:before="0" w:after="283"/>
              <w:jc w:val="left"/>
              <w:rPr/>
            </w:pPr>
            <w:r>
              <w:rPr/>
              <w:t>)</w:t>
            </w:r>
            <w:bookmarkStart w:id="370" w:name="xdx_40B_eus-gaap--PropertyPlantAndEquipm"/>
            <w:bookmarkEnd w:id="370"/>
          </w:p>
        </w:tc>
      </w:tr>
      <w:tr>
        <w:trPr/>
        <w:tc>
          <w:tcPr>
            <w:tcW w:w="33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pPr>
            <w:r>
              <w:rPr/>
              <w:t>3,512,000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pPr>
            <w:r>
              <w:rPr/>
              <w:t>3,734,000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1" w:name="xdx_8A5_zSvyzexCaG59"/>
      <w:bookmarkEnd w:id="37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depreciation related to the property, plant and equipment was $</w:t>
      </w:r>
      <w:bookmarkStart w:id="372" w:name="xdx_901_eus-gaap--DepreciationAmortizati"/>
      <w:bookmarkEnd w:id="372"/>
      <w:r>
        <w:rPr>
          <w:rFonts w:ascii="Times New Roman;Times;Serif" w:hAnsi="Times New Roman;Times;Serif"/>
          <w:b w:val="false"/>
          <w:i w:val="false"/>
          <w:caps w:val="false"/>
          <w:smallCaps w:val="false"/>
          <w:sz w:val="20"/>
        </w:rPr>
        <w:t>347,000 and $</w:t>
      </w:r>
      <w:bookmarkStart w:id="373" w:name="xdx_904_eus-gaap--DepreciationAmortizati"/>
      <w:bookmarkEnd w:id="373"/>
      <w:r>
        <w:rPr>
          <w:rFonts w:ascii="Times New Roman;Times;Serif" w:hAnsi="Times New Roman;Times;Serif"/>
          <w:b w:val="false"/>
          <w:i w:val="false"/>
          <w:caps w:val="false"/>
          <w:smallCaps w:val="false"/>
          <w:sz w:val="20"/>
        </w:rPr>
        <w:t>659,000, respectively, compared to $</w:t>
      </w:r>
      <w:bookmarkStart w:id="374" w:name="xdx_903_eus-gaap--DepreciationAmortizati"/>
      <w:bookmarkEnd w:id="374"/>
      <w:r>
        <w:rPr>
          <w:rFonts w:ascii="Times New Roman;Times;Serif" w:hAnsi="Times New Roman;Times;Serif"/>
          <w:b w:val="false"/>
          <w:i w:val="false"/>
          <w:caps w:val="false"/>
          <w:smallCaps w:val="false"/>
          <w:sz w:val="20"/>
        </w:rPr>
        <w:t>301,000 and $</w:t>
      </w:r>
      <w:bookmarkStart w:id="375" w:name="xdx_902_eus-gaap--DepreciationAmortizati"/>
      <w:bookmarkEnd w:id="375"/>
      <w:r>
        <w:rPr>
          <w:rFonts w:ascii="Times New Roman;Times;Serif" w:hAnsi="Times New Roman;Times;Serif"/>
          <w:b w:val="false"/>
          <w:i w:val="false"/>
          <w:caps w:val="false"/>
          <w:smallCaps w:val="false"/>
          <w:sz w:val="20"/>
        </w:rPr>
        <w:t>597,000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376" w:name="xdx_80E_ecustom--CapitalizedSoftwareCost"/>
      <w:bookmarkEnd w:id="376"/>
      <w:r>
        <w:rPr>
          <w:rFonts w:ascii="Times New Roman;Times;Serif" w:hAnsi="Times New Roman;Times;Serif"/>
          <w:b/>
          <w:i w:val="false"/>
          <w:caps w:val="false"/>
          <w:smallCaps w:val="false"/>
          <w:sz w:val="20"/>
        </w:rPr>
        <w:t xml:space="preserve">NOTE 7. </w:t>
      </w:r>
      <w:bookmarkStart w:id="377" w:name="xdx_821_zWtxDRktZlv7"/>
      <w:bookmarkEnd w:id="377"/>
      <w:r>
        <w:rPr>
          <w:rFonts w:ascii="Times New Roman;Times;Serif" w:hAnsi="Times New Roman;Times;Serif"/>
          <w:b/>
          <w:i w:val="false"/>
          <w:caps w:val="false"/>
          <w:smallCaps w:val="false"/>
          <w:sz w:val="20"/>
        </w:rPr>
        <w:t>CAPITALIZED SOFTWARE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8" w:name="xdx_89B_ecustom--CapitalizedSoftwareDeve"/>
      <w:bookmarkEnd w:id="378"/>
      <w:r>
        <w:rPr>
          <w:rFonts w:ascii="Times New Roman;Times;Serif" w:hAnsi="Times New Roman;Times;Serif"/>
          <w:b w:val="false"/>
          <w:i w:val="false"/>
          <w:caps w:val="false"/>
          <w:smallCaps w:val="false"/>
          <w:sz w:val="20"/>
        </w:rPr>
        <w:t>Capitalized software costs at June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379" w:name="xdx_8BB_zD6DNB8FGS4g"/>
      <w:bookmarkEnd w:id="379"/>
      <w:r>
        <w:rPr>
          <w:rFonts w:ascii="Times New Roman;Times;Serif" w:hAnsi="Times New Roman;Times;Serif"/>
          <w:b w:val="false"/>
          <w:i w:val="false"/>
          <w:caps w:val="false"/>
          <w:smallCaps w:val="false"/>
          <w:sz w:val="20"/>
        </w:rPr>
        <w:t>SCHEDULE OF CAPITALIZED SOFTWARE COSTS</w:t>
      </w:r>
    </w:p>
    <w:tbl>
      <w:tblPr>
        <w:tblW w:w="8723" w:type="dxa"/>
        <w:jc w:val="left"/>
        <w:tblInd w:w="0" w:type="dxa"/>
        <w:tblLayout w:type="fixed"/>
        <w:tblCellMar>
          <w:top w:w="0" w:type="dxa"/>
          <w:left w:w="0" w:type="dxa"/>
          <w:bottom w:w="0" w:type="dxa"/>
          <w:right w:w="0" w:type="dxa"/>
        </w:tblCellMar>
      </w:tblPr>
      <w:tblGrid>
        <w:gridCol w:w="5030"/>
        <w:gridCol w:w="60"/>
        <w:gridCol w:w="165"/>
        <w:gridCol w:w="1249"/>
        <w:gridCol w:w="95"/>
        <w:gridCol w:w="60"/>
        <w:gridCol w:w="229"/>
        <w:gridCol w:w="1725"/>
        <w:gridCol w:w="110"/>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80" w:name="xdx_49B_20250630_zcd7UKT1AVba"/>
            <w:bookmarkEnd w:id="38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1" w:name="xdx_49F_20241231_zbXvs9oJYcY3"/>
            <w:bookmarkEnd w:id="38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Capitalized software costs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2" w:name="xdx_402_eus-gaap--CapitalizedComputerSof"/>
            <w:bookmarkEnd w:id="382"/>
          </w:p>
        </w:tc>
      </w:tr>
      <w:tr>
        <w:trPr/>
        <w:tc>
          <w:tcPr>
            <w:tcW w:w="5030" w:type="dxa"/>
            <w:tcBorders/>
            <w:shd w:fill="FFFFFF" w:val="clear"/>
            <w:vAlign w:val="center"/>
          </w:tcPr>
          <w:p>
            <w:pPr>
              <w:pStyle w:val="TableContents"/>
              <w:bidi w:val="0"/>
              <w:spacing w:before="0" w:after="283"/>
              <w:jc w:val="both"/>
              <w:rPr/>
            </w:pPr>
            <w:r>
              <w:rPr/>
              <w:t>Capitalized 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249" w:type="dxa"/>
            <w:tcBorders/>
            <w:shd w:fill="FFFFFF" w:val="clear"/>
            <w:vAlign w:val="center"/>
          </w:tcPr>
          <w:p>
            <w:pPr>
              <w:pStyle w:val="TableContents"/>
              <w:bidi w:val="0"/>
              <w:spacing w:before="0" w:after="283"/>
              <w:jc w:val="right"/>
              <w:rPr/>
            </w:pPr>
            <w:r>
              <w:rPr/>
              <w:t>3,410,000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25" w:type="dxa"/>
            <w:tcBorders/>
            <w:shd w:fill="FFFFFF" w:val="clear"/>
            <w:vAlign w:val="center"/>
          </w:tcPr>
          <w:p>
            <w:pPr>
              <w:pStyle w:val="TableContents"/>
              <w:bidi w:val="0"/>
              <w:spacing w:before="0" w:after="283"/>
              <w:jc w:val="right"/>
              <w:rPr/>
            </w:pPr>
            <w:r>
              <w:rPr/>
              <w:t>3,395,000</w:t>
            </w:r>
          </w:p>
        </w:tc>
        <w:tc>
          <w:tcPr>
            <w:tcW w:w="110" w:type="dxa"/>
            <w:tcBorders/>
            <w:shd w:fill="FFFFFF" w:val="clear"/>
            <w:vAlign w:val="center"/>
          </w:tcPr>
          <w:p>
            <w:pPr>
              <w:pStyle w:val="TableContents"/>
              <w:bidi w:val="0"/>
              <w:spacing w:before="0" w:after="283"/>
              <w:jc w:val="left"/>
              <w:rPr/>
            </w:pPr>
            <w:r>
              <w:rPr/>
              <w:t> </w:t>
            </w:r>
            <w:bookmarkStart w:id="383" w:name="xdx_40C_eus-gaap--CapitalizedComputerSof"/>
            <w:bookmarkEnd w:id="383"/>
          </w:p>
        </w:tc>
      </w:tr>
      <w:tr>
        <w:trPr/>
        <w:tc>
          <w:tcPr>
            <w:tcW w:w="5030" w:type="dxa"/>
            <w:tcBorders/>
            <w:shd w:fill="CCEEFF" w:val="clear"/>
            <w:vAlign w:val="center"/>
          </w:tcPr>
          <w:p>
            <w:pPr>
              <w:pStyle w:val="TableContents"/>
              <w:bidi w:val="0"/>
              <w:spacing w:before="0" w:after="283"/>
              <w:jc w:val="both"/>
              <w:rPr/>
            </w:pPr>
            <w:r>
              <w:rPr/>
              <w:t>Acquired third-party software license for internal-use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pPr>
            <w:r>
              <w:rPr/>
              <w:t>219,000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205,000</w:t>
            </w:r>
          </w:p>
        </w:tc>
        <w:tc>
          <w:tcPr>
            <w:tcW w:w="110" w:type="dxa"/>
            <w:tcBorders/>
            <w:shd w:fill="CCEEFF" w:val="clear"/>
            <w:vAlign w:val="center"/>
          </w:tcPr>
          <w:p>
            <w:pPr>
              <w:pStyle w:val="TableContents"/>
              <w:bidi w:val="0"/>
              <w:spacing w:before="0" w:after="283"/>
              <w:jc w:val="left"/>
              <w:rPr/>
            </w:pPr>
            <w:r>
              <w:rPr/>
              <w:t> </w:t>
            </w:r>
            <w:bookmarkStart w:id="384" w:name="xdx_402_eus-gaap--CapitalizedComputerSof"/>
            <w:bookmarkEnd w:id="384"/>
          </w:p>
        </w:tc>
      </w:tr>
      <w:tr>
        <w:trPr/>
        <w:tc>
          <w:tcPr>
            <w:tcW w:w="5030" w:type="dxa"/>
            <w:tcBorders/>
            <w:shd w:fill="FFFFFF" w:val="clear"/>
            <w:vAlign w:val="center"/>
          </w:tcPr>
          <w:p>
            <w:pPr>
              <w:pStyle w:val="TableContents"/>
              <w:bidi w:val="0"/>
              <w:spacing w:before="0" w:after="283"/>
              <w:jc w:val="both"/>
              <w:rPr/>
            </w:pPr>
            <w:r>
              <w:rPr/>
              <w:t>Total gross capitalized software for internal-use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3,629,000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3,600,000</w:t>
            </w:r>
          </w:p>
        </w:tc>
        <w:tc>
          <w:tcPr>
            <w:tcW w:w="110" w:type="dxa"/>
            <w:tcBorders/>
            <w:shd w:fill="FFFFFF" w:val="clear"/>
            <w:vAlign w:val="center"/>
          </w:tcPr>
          <w:p>
            <w:pPr>
              <w:pStyle w:val="TableContents"/>
              <w:bidi w:val="0"/>
              <w:spacing w:before="0" w:after="283"/>
              <w:jc w:val="left"/>
              <w:rPr/>
            </w:pPr>
            <w:r>
              <w:rPr/>
              <w:t> </w:t>
            </w:r>
            <w:bookmarkStart w:id="385" w:name="xdx_401_eus-gaap--CapitalizedComputerSof"/>
            <w:bookmarkEnd w:id="385"/>
          </w:p>
        </w:tc>
      </w:tr>
      <w:tr>
        <w:trPr/>
        <w:tc>
          <w:tcPr>
            <w:tcW w:w="5030" w:type="dxa"/>
            <w:tcBorders/>
            <w:shd w:fill="CCEEFF" w:val="clear"/>
            <w:vAlign w:val="center"/>
          </w:tcPr>
          <w:p>
            <w:pPr>
              <w:pStyle w:val="TableContents"/>
              <w:bidi w:val="0"/>
              <w:spacing w:before="0" w:after="283"/>
              <w:jc w:val="both"/>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pPr>
            <w:r>
              <w:rPr/>
              <w:t>(2,151,000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(1,849,000</w:t>
            </w:r>
          </w:p>
        </w:tc>
        <w:tc>
          <w:tcPr>
            <w:tcW w:w="110" w:type="dxa"/>
            <w:tcBorders/>
            <w:shd w:fill="CCEEFF" w:val="clear"/>
            <w:vAlign w:val="center"/>
          </w:tcPr>
          <w:p>
            <w:pPr>
              <w:pStyle w:val="TableContents"/>
              <w:bidi w:val="0"/>
              <w:spacing w:before="0" w:after="283"/>
              <w:jc w:val="left"/>
              <w:rPr/>
            </w:pPr>
            <w:r>
              <w:rPr/>
              <w:t>)</w:t>
            </w:r>
            <w:bookmarkStart w:id="386" w:name="xdx_405_eus-gaap--CapitalizedComputerSof"/>
            <w:bookmarkEnd w:id="386"/>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capitalized software costs net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FFFFFF" w:val="clear"/>
            <w:tcMar>
              <w:bottom w:w="28" w:type="dxa"/>
            </w:tcMar>
            <w:vAlign w:val="center"/>
          </w:tcPr>
          <w:p>
            <w:pPr>
              <w:pStyle w:val="TableContents"/>
              <w:bidi w:val="0"/>
              <w:spacing w:before="0" w:after="283"/>
              <w:jc w:val="right"/>
              <w:rPr/>
            </w:pPr>
            <w:r>
              <w:rPr/>
              <w:t>1,478,000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pPr>
            <w:r>
              <w:rPr/>
              <w:t>1,751,000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7" w:name="xdx_8A0_z2WilULNgdH3"/>
      <w:bookmarkEnd w:id="3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the Company recorded amortization expense related to capitalized software costs of $</w:t>
      </w:r>
      <w:bookmarkStart w:id="388" w:name="xdx_909_eus-gaap--AdjustmentForAmortizat"/>
      <w:bookmarkEnd w:id="388"/>
      <w:r>
        <w:rPr>
          <w:rFonts w:ascii="Times New Roman;Times;Serif" w:hAnsi="Times New Roman;Times;Serif"/>
          <w:b w:val="false"/>
          <w:i w:val="false"/>
          <w:caps w:val="false"/>
          <w:smallCaps w:val="false"/>
          <w:sz w:val="20"/>
        </w:rPr>
        <w:t>149,000 and $</w:t>
      </w:r>
      <w:bookmarkStart w:id="389" w:name="xdx_90E_eus-gaap--AdjustmentForAmortizat"/>
      <w:bookmarkEnd w:id="389"/>
      <w:r>
        <w:rPr>
          <w:rFonts w:ascii="Times New Roman;Times;Serif" w:hAnsi="Times New Roman;Times;Serif"/>
          <w:b w:val="false"/>
          <w:i w:val="false"/>
          <w:caps w:val="false"/>
          <w:smallCaps w:val="false"/>
          <w:sz w:val="20"/>
        </w:rPr>
        <w:t>302,000, respectively, and $</w:t>
      </w:r>
      <w:bookmarkStart w:id="390" w:name="xdx_901_eus-gaap--AdjustmentForAmortizat"/>
      <w:bookmarkEnd w:id="390"/>
      <w:r>
        <w:rPr>
          <w:rFonts w:ascii="Times New Roman;Times;Serif" w:hAnsi="Times New Roman;Times;Serif"/>
          <w:b w:val="false"/>
          <w:i w:val="false"/>
          <w:caps w:val="false"/>
          <w:smallCaps w:val="false"/>
          <w:sz w:val="20"/>
        </w:rPr>
        <w:t>152,000 and $</w:t>
      </w:r>
      <w:bookmarkStart w:id="391" w:name="xdx_903_eus-gaap--AdjustmentForAmortizat"/>
      <w:bookmarkEnd w:id="391"/>
      <w:r>
        <w:rPr>
          <w:rFonts w:ascii="Times New Roman;Times;Serif" w:hAnsi="Times New Roman;Times;Serif"/>
          <w:b w:val="false"/>
          <w:i w:val="false"/>
          <w:caps w:val="false"/>
          <w:smallCaps w:val="false"/>
          <w:sz w:val="20"/>
        </w:rPr>
        <w:t>288,000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2" w:name="xdx_80C_eus-gaap--GoodwillAndIntangibleA"/>
      <w:bookmarkEnd w:id="392"/>
      <w:r>
        <w:rPr>
          <w:rFonts w:ascii="Times New Roman;Times;Serif" w:hAnsi="Times New Roman;Times;Serif"/>
          <w:b/>
          <w:i w:val="false"/>
          <w:caps w:val="false"/>
          <w:smallCaps w:val="false"/>
          <w:sz w:val="20"/>
        </w:rPr>
        <w:t xml:space="preserve">NOTE 8. </w:t>
      </w:r>
      <w:bookmarkStart w:id="393" w:name="xdx_82A_zC0rJm7fYU14"/>
      <w:bookmarkEnd w:id="393"/>
      <w:r>
        <w:rPr>
          <w:rFonts w:ascii="Times New Roman;Times;Serif" w:hAnsi="Times New Roman;Times;Serif"/>
          <w:b/>
          <w:i w:val="false"/>
          <w:caps w:val="false"/>
          <w:smallCaps w:val="false"/>
          <w:sz w:val="20"/>
        </w:rPr>
        <w:t>INTANGIBLE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4" w:name="xdx_894_eus-gaap--ScheduleOfIntangibleAs"/>
      <w:bookmarkEnd w:id="394"/>
      <w:r>
        <w:rPr>
          <w:rFonts w:ascii="Times New Roman;Times;Serif" w:hAnsi="Times New Roman;Times;Serif"/>
          <w:b w:val="false"/>
          <w:i w:val="false"/>
          <w:caps w:val="false"/>
          <w:smallCaps w:val="false"/>
          <w:sz w:val="20"/>
        </w:rPr>
        <w:t>The Company’s intangible assets at June 30, 2025 consisted of the following:</w:t>
      </w:r>
    </w:p>
    <w:p>
      <w:pPr>
        <w:pStyle w:val="TextBody"/>
        <w:bidi w:val="0"/>
        <w:spacing w:before="0" w:after="0"/>
        <w:ind w:left="0" w:right="0" w:hanging="0"/>
        <w:jc w:val="both"/>
        <w:rPr>
          <w:caps w:val="false"/>
          <w:smallCaps w:val="false"/>
        </w:rPr>
      </w:pPr>
      <w:r>
        <w:rPr>
          <w:caps w:val="false"/>
          <w:smallCaps w:val="false"/>
        </w:rPr>
        <w:t> </w:t>
      </w:r>
      <w:bookmarkStart w:id="395" w:name="xdx_8B8_zzy0l7zVdu16"/>
      <w:bookmarkEnd w:id="395"/>
      <w:r>
        <w:rPr>
          <w:rFonts w:ascii="Times New Roman;Times;Serif" w:hAnsi="Times New Roman;Times;Serif"/>
          <w:b w:val="false"/>
          <w:i w:val="false"/>
          <w:caps w:val="false"/>
          <w:smallCaps w:val="false"/>
          <w:sz w:val="20"/>
        </w:rPr>
        <w:t>SCHEDULE OF INTANGIBLE ASSETS</w:t>
      </w:r>
    </w:p>
    <w:tbl>
      <w:tblPr>
        <w:tblW w:w="9414" w:type="dxa"/>
        <w:jc w:val="left"/>
        <w:tblInd w:w="0" w:type="dxa"/>
        <w:tblLayout w:type="fixed"/>
        <w:tblCellMar>
          <w:top w:w="0" w:type="dxa"/>
          <w:left w:w="0" w:type="dxa"/>
          <w:bottom w:w="0" w:type="dxa"/>
          <w:right w:w="0" w:type="dxa"/>
        </w:tblCellMar>
      </w:tblPr>
      <w:tblGrid>
        <w:gridCol w:w="1970"/>
        <w:gridCol w:w="60"/>
        <w:gridCol w:w="2435"/>
        <w:gridCol w:w="60"/>
        <w:gridCol w:w="125"/>
        <w:gridCol w:w="1055"/>
        <w:gridCol w:w="60"/>
        <w:gridCol w:w="60"/>
        <w:gridCol w:w="127"/>
        <w:gridCol w:w="1033"/>
        <w:gridCol w:w="80"/>
        <w:gridCol w:w="60"/>
        <w:gridCol w:w="183"/>
        <w:gridCol w:w="557"/>
        <w:gridCol w:w="60"/>
        <w:gridCol w:w="60"/>
        <w:gridCol w:w="143"/>
        <w:gridCol w:w="1211"/>
        <w:gridCol w:w="75"/>
      </w:tblGrid>
      <w:tr>
        <w:trPr/>
        <w:tc>
          <w:tcPr>
            <w:tcW w:w="19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35"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useful life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96" w:name="xdx_908_eus-gaap--FiniteLivedIntangibleA"/>
            <w:bookmarkEnd w:id="396"/>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97" w:name="xdx_98F_eus-gaap--FiniteLivedIntangibleA"/>
            <w:bookmarkEnd w:id="397"/>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227,000</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98" w:name="xdx_983_eus-gaap--FiniteLivedIntangibleA"/>
            <w:bookmarkEnd w:id="398"/>
          </w:p>
        </w:tc>
        <w:tc>
          <w:tcPr>
            <w:tcW w:w="10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(59,000</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99" w:name="xdx_985_ecustom--FiniteLivedIntangibleAs"/>
            <w:bookmarkEnd w:id="399"/>
          </w:p>
        </w:tc>
        <w:tc>
          <w:tcPr>
            <w:tcW w:w="557"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0" w:name="xdx_98D_eus-gaap--IntangibleAssetsNetExc"/>
            <w:bookmarkEnd w:id="400"/>
          </w:p>
        </w:tc>
        <w:tc>
          <w:tcPr>
            <w:tcW w:w="12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168,000</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01" w:name="xdx_90B_eus-gaap--FiniteLivedIntangibleA"/>
            <w:bookmarkEnd w:id="401"/>
            <w:r>
              <w:rPr>
                <w:rFonts w:ascii="Times New Roman;Times;Serif" w:hAnsi="Times New Roman;Times;Serif"/>
                <w:b w:val="false"/>
                <w:i w:val="false"/>
                <w:caps w:val="false"/>
                <w:smallCaps w:val="false"/>
                <w:sz w:val="20"/>
              </w:rPr>
              <w:t>20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02" w:name="xdx_98D_eus-gaap--FiniteLivedIntangibleA"/>
            <w:bookmarkEnd w:id="402"/>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03" w:name="xdx_98B_eus-gaap--FiniteLivedIntangibleA"/>
            <w:bookmarkEnd w:id="403"/>
          </w:p>
        </w:tc>
        <w:tc>
          <w:tcPr>
            <w:tcW w:w="10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(37,000</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04" w:name="xdx_98B_ecustom--FiniteLivedIntangibleAs"/>
            <w:bookmarkEnd w:id="404"/>
          </w:p>
        </w:tc>
        <w:tc>
          <w:tcPr>
            <w:tcW w:w="5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05" w:name="xdx_983_eus-gaap--IntangibleAssetsNetExc"/>
            <w:bookmarkEnd w:id="405"/>
          </w:p>
        </w:tc>
        <w:tc>
          <w:tcPr>
            <w:tcW w:w="12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06" w:name="xdx_90D_eus-gaap--FiniteLivedIntangibleA"/>
            <w:bookmarkEnd w:id="406"/>
            <w:r>
              <w:rPr>
                <w:rFonts w:ascii="Times New Roman;Times;Serif" w:hAnsi="Times New Roman;Times;Serif"/>
                <w:b w:val="false"/>
                <w:i w:val="false"/>
                <w:caps w:val="false"/>
                <w:smallCaps w:val="false"/>
                <w:sz w:val="20"/>
              </w:rPr>
              <w:t>Indefinite</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07" w:name="xdx_98B_eus-gaap--FiniteLivedIntangibleA"/>
            <w:bookmarkEnd w:id="407"/>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294,000</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08" w:name="xdx_986_eus-gaap--FiniteLivedIntangibleA"/>
            <w:bookmarkEnd w:id="408"/>
          </w:p>
        </w:tc>
        <w:tc>
          <w:tcPr>
            <w:tcW w:w="10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09" w:name="xdx_98F_ecustom--FiniteLivedIntangibleAs"/>
            <w:bookmarkEnd w:id="409"/>
          </w:p>
        </w:tc>
        <w:tc>
          <w:tcPr>
            <w:tcW w:w="5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10" w:name="xdx_98B_eus-gaap--IntangibleAssetsNetExc"/>
            <w:bookmarkEnd w:id="410"/>
          </w:p>
        </w:tc>
        <w:tc>
          <w:tcPr>
            <w:tcW w:w="12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294,000</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NDAs</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1" w:name="xdx_90A_eus-gaap--FiniteLivedIntangibleA"/>
            <w:bookmarkEnd w:id="411"/>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12" w:name="xdx_985_eus-gaap--FiniteLivedIntangibleA"/>
            <w:bookmarkEnd w:id="412"/>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207,473,000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13" w:name="xdx_98D_eus-gaap--FiniteLivedIntangibleA"/>
            <w:bookmarkEnd w:id="413"/>
          </w:p>
        </w:tc>
        <w:tc>
          <w:tcPr>
            <w:tcW w:w="10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(31,400,000</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14" w:name="xdx_98A_ecustom--FiniteLivedIntangibleAs"/>
            <w:bookmarkEnd w:id="414"/>
          </w:p>
        </w:tc>
        <w:tc>
          <w:tcPr>
            <w:tcW w:w="5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15" w:name="xdx_987_eus-gaap--IntangibleAssetsNetExc"/>
            <w:bookmarkEnd w:id="415"/>
          </w:p>
        </w:tc>
        <w:tc>
          <w:tcPr>
            <w:tcW w:w="12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176,073,000</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16" w:name="xdx_900_eus-gaap--FiniteLivedIntangibleA"/>
            <w:bookmarkEnd w:id="416"/>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17" w:name="xdx_980_eus-gaap--FiniteLivedIntangibleA"/>
            <w:bookmarkEnd w:id="417"/>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596,000</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18" w:name="xdx_98D_eus-gaap--FiniteLivedIntangibleA"/>
            <w:bookmarkEnd w:id="418"/>
          </w:p>
        </w:tc>
        <w:tc>
          <w:tcPr>
            <w:tcW w:w="10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(549,000</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19" w:name="xdx_98E_ecustom--FiniteLivedIntangibleAs"/>
            <w:bookmarkEnd w:id="419"/>
          </w:p>
        </w:tc>
        <w:tc>
          <w:tcPr>
            <w:tcW w:w="5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both"/>
              <w:rPr>
                <w:caps w:val="false"/>
                <w:smallCaps w:val="false"/>
              </w:rPr>
            </w:pPr>
            <w:r>
              <w:rPr>
                <w:caps w:val="false"/>
                <w:smallCaps w:val="false"/>
              </w:rPr>
              <w:t> </w:t>
            </w:r>
            <w:bookmarkStart w:id="420" w:name="xdx_98D_eus-gaap--IntangibleAssetsNetExc"/>
            <w:bookmarkEnd w:id="420"/>
          </w:p>
        </w:tc>
        <w:tc>
          <w:tcPr>
            <w:tcW w:w="12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47,000</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21" w:name="xdx_907_eus-gaap--FiniteLivedIntangibleA"/>
            <w:bookmarkEnd w:id="421"/>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22" w:name="xdx_98F_eus-gaap--FiniteLivedIntangibleA"/>
            <w:bookmarkEnd w:id="422"/>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23" w:name="xdx_98D_eus-gaap--FiniteLivedIntangibleA"/>
            <w:bookmarkEnd w:id="423"/>
          </w:p>
        </w:tc>
        <w:tc>
          <w:tcPr>
            <w:tcW w:w="10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24" w:name="xdx_984_ecustom--FiniteLivedIntangibleAs"/>
            <w:bookmarkEnd w:id="424"/>
          </w:p>
        </w:tc>
        <w:tc>
          <w:tcPr>
            <w:tcW w:w="5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bookmarkStart w:id="425" w:name="xdx_98E_eus-gaap--IntangibleAssetsNetExc"/>
            <w:bookmarkEnd w:id="425"/>
          </w:p>
        </w:tc>
        <w:tc>
          <w:tcPr>
            <w:tcW w:w="12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67,000</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pharmacy licenses</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26" w:name="xdx_907_eus-gaap--FiniteLivedIntangibleA"/>
            <w:bookmarkEnd w:id="426"/>
            <w:r>
              <w:rPr>
                <w:rFonts w:ascii="Times New Roman;Times;Serif" w:hAnsi="Times New Roman;Times;Serif"/>
                <w:b w:val="false"/>
                <w:i w:val="false"/>
                <w:caps w:val="false"/>
                <w:smallCaps w:val="false"/>
                <w:sz w:val="20"/>
              </w:rPr>
              <w:t>25</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bookmarkStart w:id="427" w:name="xdx_986_eus-gaap--FiniteLivedIntangibleA"/>
            <w:bookmarkEnd w:id="427"/>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bookmarkStart w:id="428" w:name="xdx_988_eus-gaap--FiniteLivedIntangibleA"/>
            <w:bookmarkEnd w:id="428"/>
          </w:p>
        </w:tc>
        <w:tc>
          <w:tcPr>
            <w:tcW w:w="10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bookmarkStart w:id="429" w:name="xdx_98E_ecustom--FiniteLivedIntangibleAs"/>
            <w:bookmarkEnd w:id="429"/>
          </w:p>
        </w:tc>
        <w:tc>
          <w:tcPr>
            <w:tcW w:w="5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both"/>
              <w:rPr>
                <w:caps w:val="false"/>
                <w:smallCaps w:val="false"/>
              </w:rPr>
            </w:pPr>
            <w:r>
              <w:rPr>
                <w:caps w:val="false"/>
                <w:smallCaps w:val="false"/>
              </w:rPr>
              <w:t> </w:t>
            </w:r>
            <w:bookmarkStart w:id="430" w:name="xdx_987_eus-gaap--IntangibleAssetsNetExc"/>
            <w:bookmarkEnd w:id="430"/>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1" w:name="xdx_985_eus-gaap--FiniteLivedIntangibleA"/>
            <w:bookmarkEnd w:id="43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208,723,000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2" w:name="xdx_98D_eus-gaap--FiniteLivedIntangibleA"/>
            <w:bookmarkEnd w:id="432"/>
          </w:p>
        </w:tc>
        <w:tc>
          <w:tcPr>
            <w:tcW w:w="10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(32,057,000</w:t>
            </w:r>
          </w:p>
        </w:tc>
        <w:tc>
          <w:tcPr>
            <w:tcW w:w="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3" w:name="xdx_98D_ecustom--FiniteLivedIntangibleAs"/>
            <w:bookmarkEnd w:id="433"/>
          </w:p>
        </w:tc>
        <w:tc>
          <w:tcPr>
            <w:tcW w:w="5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4" w:name="xdx_98E_eus-gaap--IntangibleAssetsNetExc"/>
            <w:bookmarkEnd w:id="434"/>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176,666,000</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35" w:name="xdx_8AD_ziyD5YKDXqti"/>
      <w:bookmarkEnd w:id="4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6" w:name="xdx_89D_eus-gaap--FiniteLivedIntangibleA"/>
      <w:bookmarkEnd w:id="436"/>
      <w:r>
        <w:rPr>
          <w:rFonts w:ascii="Times New Roman;Times;Serif" w:hAnsi="Times New Roman;Times;Serif"/>
          <w:b w:val="false"/>
          <w:i w:val="false"/>
          <w:caps w:val="false"/>
          <w:smallCaps w:val="false"/>
          <w:sz w:val="20"/>
        </w:rPr>
        <w:t>Amortization expense for intangible assets for the three and six months ended June 30, 2025 and 2024 was as follows:</w:t>
      </w:r>
    </w:p>
    <w:p>
      <w:pPr>
        <w:pStyle w:val="TextBody"/>
        <w:bidi w:val="0"/>
        <w:spacing w:before="0" w:after="0"/>
        <w:ind w:left="0" w:right="0" w:hanging="0"/>
        <w:jc w:val="both"/>
        <w:rPr>
          <w:caps w:val="false"/>
          <w:smallCaps w:val="false"/>
        </w:rPr>
      </w:pPr>
      <w:r>
        <w:rPr>
          <w:caps w:val="false"/>
          <w:smallCaps w:val="false"/>
        </w:rPr>
        <w:t> </w:t>
      </w:r>
      <w:bookmarkStart w:id="437" w:name="xdx_8B4_zZVcEeBTFHf8"/>
      <w:bookmarkEnd w:id="437"/>
      <w:r>
        <w:rPr>
          <w:rFonts w:ascii="Times New Roman;Times;Serif" w:hAnsi="Times New Roman;Times;Serif"/>
          <w:b w:val="false"/>
          <w:i w:val="false"/>
          <w:caps w:val="false"/>
          <w:smallCaps w:val="false"/>
          <w:sz w:val="20"/>
        </w:rPr>
        <w:t>SCHEDULE OF AMORTIZATION EXPENSES FOR INTANGIBLE ASSETS</w:t>
      </w:r>
    </w:p>
    <w:tbl>
      <w:tblPr>
        <w:tblW w:w="8966" w:type="dxa"/>
        <w:jc w:val="left"/>
        <w:tblInd w:w="0" w:type="dxa"/>
        <w:tblLayout w:type="fixed"/>
        <w:tblCellMar>
          <w:top w:w="0" w:type="dxa"/>
          <w:left w:w="0" w:type="dxa"/>
          <w:bottom w:w="0" w:type="dxa"/>
          <w:right w:w="0" w:type="dxa"/>
        </w:tblCellMar>
      </w:tblPr>
      <w:tblGrid>
        <w:gridCol w:w="3425"/>
        <w:gridCol w:w="60"/>
        <w:gridCol w:w="164"/>
        <w:gridCol w:w="1148"/>
        <w:gridCol w:w="70"/>
        <w:gridCol w:w="70"/>
        <w:gridCol w:w="164"/>
        <w:gridCol w:w="1148"/>
        <w:gridCol w:w="60"/>
        <w:gridCol w:w="60"/>
        <w:gridCol w:w="149"/>
        <w:gridCol w:w="1048"/>
        <w:gridCol w:w="64"/>
        <w:gridCol w:w="64"/>
        <w:gridCol w:w="149"/>
        <w:gridCol w:w="1048"/>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8" w:name="xdx_49B_20250401__20250630_z4XhvxU4IA0k"/>
            <w:bookmarkEnd w:id="438"/>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439" w:name="xdx_494_20240401__20240630_z3oWBK0Ob00g"/>
            <w:bookmarkEnd w:id="439"/>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0" w:name="xdx_49B_20250101__20250630_zQHepkpBzle4"/>
            <w:bookmarkEnd w:id="440"/>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441" w:name="xdx_49B_20240101__20240630_zyQtux4lduEg"/>
            <w:bookmarkEnd w:id="441"/>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vAlign w:val="center"/>
          </w:tcPr>
          <w:p>
            <w:pPr>
              <w:pStyle w:val="TableContents"/>
              <w:bidi w:val="0"/>
              <w:spacing w:before="0" w:after="283"/>
              <w:jc w:val="center"/>
              <w:rPr/>
            </w:pPr>
            <w:r>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vAlign w:val="center"/>
          </w:tcPr>
          <w:p>
            <w:pPr>
              <w:pStyle w:val="TableContents"/>
              <w:bidi w:val="0"/>
              <w:spacing w:before="0" w:after="283"/>
              <w:jc w:val="center"/>
              <w:rPr/>
            </w:pPr>
            <w:r>
              <w:rPr/>
              <w:t>For the Six Months Ended</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442" w:name="xdx_401_eus-gaap--AmortizationOfIntangib"/>
            <w:bookmarkEnd w:id="442"/>
          </w:p>
        </w:tc>
      </w:tr>
      <w:tr>
        <w:trPr/>
        <w:tc>
          <w:tcPr>
            <w:tcW w:w="3425" w:type="dxa"/>
            <w:tcBorders/>
            <w:shd w:fill="CCEEFF" w:val="clear"/>
            <w:vAlign w:val="center"/>
          </w:tcPr>
          <w:p>
            <w:pPr>
              <w:pStyle w:val="TableContents"/>
              <w:bidi w:val="0"/>
              <w:spacing w:before="0" w:after="283"/>
              <w:jc w:val="both"/>
              <w:rPr/>
            </w:pPr>
            <w:r>
              <w:rPr/>
              <w:t>Patents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3,000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6,000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28,000</w:t>
            </w:r>
          </w:p>
        </w:tc>
        <w:tc>
          <w:tcPr>
            <w:tcW w:w="75" w:type="dxa"/>
            <w:tcBorders/>
            <w:shd w:fill="CCEEFF" w:val="clear"/>
            <w:vAlign w:val="center"/>
          </w:tcPr>
          <w:p>
            <w:pPr>
              <w:pStyle w:val="TableContents"/>
              <w:bidi w:val="0"/>
              <w:spacing w:before="0" w:after="283"/>
              <w:jc w:val="left"/>
              <w:rPr/>
            </w:pPr>
            <w:r>
              <w:rPr/>
              <w:t> </w:t>
            </w:r>
            <w:bookmarkStart w:id="443" w:name="xdx_40A_eus-gaap--AmortizationOfIntangib"/>
            <w:bookmarkEnd w:id="443"/>
          </w:p>
        </w:tc>
      </w:tr>
      <w:tr>
        <w:trPr/>
        <w:tc>
          <w:tcPr>
            <w:tcW w:w="3425" w:type="dxa"/>
            <w:tcBorders/>
            <w:shd w:fill="FFFFFF" w:val="clear"/>
            <w:vAlign w:val="center"/>
          </w:tcPr>
          <w:p>
            <w:pPr>
              <w:pStyle w:val="TableContents"/>
              <w:bidi w:val="0"/>
              <w:spacing w:before="0" w:after="283"/>
              <w:jc w:val="both"/>
              <w:rPr/>
            </w:pPr>
            <w:r>
              <w:rPr/>
              <w:t>Acquired NDAs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4,220,000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2,529,000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8,440,000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5,059,000</w:t>
            </w:r>
          </w:p>
        </w:tc>
        <w:tc>
          <w:tcPr>
            <w:tcW w:w="75" w:type="dxa"/>
            <w:tcBorders/>
            <w:shd w:fill="FFFFFF" w:val="clear"/>
            <w:vAlign w:val="center"/>
          </w:tcPr>
          <w:p>
            <w:pPr>
              <w:pStyle w:val="TableContents"/>
              <w:bidi w:val="0"/>
              <w:spacing w:before="0" w:after="283"/>
              <w:jc w:val="left"/>
              <w:rPr/>
            </w:pPr>
            <w:r>
              <w:rPr/>
              <w:t> </w:t>
            </w:r>
            <w:bookmarkStart w:id="444" w:name="xdx_40B_eus-gaap--AmortizationOfIntangib"/>
            <w:bookmarkEnd w:id="444"/>
          </w:p>
        </w:tc>
      </w:tr>
      <w:tr>
        <w:trPr/>
        <w:tc>
          <w:tcPr>
            <w:tcW w:w="3425" w:type="dxa"/>
            <w:tcBorders/>
            <w:shd w:fill="CCEEFF" w:val="clear"/>
            <w:vAlign w:val="center"/>
          </w:tcPr>
          <w:p>
            <w:pPr>
              <w:pStyle w:val="TableContents"/>
              <w:bidi w:val="0"/>
              <w:spacing w:before="0" w:after="283"/>
              <w:jc w:val="both"/>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3,000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16,000</w:t>
            </w:r>
          </w:p>
        </w:tc>
        <w:tc>
          <w:tcPr>
            <w:tcW w:w="75" w:type="dxa"/>
            <w:tcBorders/>
            <w:shd w:fill="CCEEFF" w:val="clear"/>
            <w:vAlign w:val="center"/>
          </w:tcPr>
          <w:p>
            <w:pPr>
              <w:pStyle w:val="TableContents"/>
              <w:bidi w:val="0"/>
              <w:spacing w:before="0" w:after="283"/>
              <w:jc w:val="left"/>
              <w:rPr/>
            </w:pPr>
            <w:r>
              <w:rPr/>
              <w:t> </w:t>
            </w:r>
            <w:bookmarkStart w:id="445" w:name="xdx_40C_eus-gaap--AmortizationOfIntangib"/>
            <w:bookmarkEnd w:id="445"/>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expense of intangible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4,226,000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2,549,000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FFFFFF" w:val="clear"/>
            <w:tcMar>
              <w:bottom w:w="28" w:type="dxa"/>
            </w:tcMar>
            <w:vAlign w:val="center"/>
          </w:tcPr>
          <w:p>
            <w:pPr>
              <w:pStyle w:val="TableContents"/>
              <w:bidi w:val="0"/>
              <w:spacing w:before="0" w:after="283"/>
              <w:jc w:val="right"/>
              <w:rPr/>
            </w:pPr>
            <w:r>
              <w:rPr/>
              <w:t>8,452,000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FFFFFF" w:val="clear"/>
            <w:tcMar>
              <w:bottom w:w="28" w:type="dxa"/>
            </w:tcMar>
            <w:vAlign w:val="center"/>
          </w:tcPr>
          <w:p>
            <w:pPr>
              <w:pStyle w:val="TableContents"/>
              <w:bidi w:val="0"/>
              <w:spacing w:before="0" w:after="283"/>
              <w:jc w:val="right"/>
              <w:rPr/>
            </w:pPr>
            <w:r>
              <w:rPr/>
              <w:t>5,103,000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6" w:name="xdx_8AB_zNT5oxqechOd"/>
      <w:bookmarkEnd w:id="44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7" w:name="xdx_892_eus-gaap--ScheduleofFiniteLivedI"/>
      <w:bookmarkEnd w:id="447"/>
      <w:r>
        <w:rPr>
          <w:rFonts w:ascii="Times New Roman;Times;Serif" w:hAnsi="Times New Roman;Times;Serif"/>
          <w:b w:val="false"/>
          <w:i w:val="false"/>
          <w:caps w:val="false"/>
          <w:smallCaps w:val="false"/>
          <w:sz w:val="20"/>
        </w:rPr>
        <w:t>Estimated future amortization expense for the Company’s intangible assets at June 30, 2025 was as follows:</w:t>
      </w:r>
    </w:p>
    <w:p>
      <w:pPr>
        <w:pStyle w:val="TextBody"/>
        <w:bidi w:val="0"/>
        <w:spacing w:before="0" w:after="0"/>
        <w:ind w:left="0" w:right="0" w:hanging="0"/>
        <w:jc w:val="both"/>
        <w:rPr>
          <w:caps w:val="false"/>
          <w:smallCaps w:val="false"/>
        </w:rPr>
      </w:pPr>
      <w:r>
        <w:rPr>
          <w:caps w:val="false"/>
          <w:smallCaps w:val="false"/>
        </w:rPr>
        <w:t> </w:t>
      </w:r>
      <w:bookmarkStart w:id="448" w:name="xdx_8B1_z1cMmUJEj9Di"/>
      <w:bookmarkEnd w:id="448"/>
      <w:r>
        <w:rPr>
          <w:rFonts w:ascii="Times New Roman;Times;Serif" w:hAnsi="Times New Roman;Times;Serif"/>
          <w:b w:val="false"/>
          <w:i w:val="false"/>
          <w:caps w:val="false"/>
          <w:smallCaps w:val="false"/>
          <w:sz w:val="20"/>
        </w:rPr>
        <w:t>SCHEDULE OF ESTIMATED FUTURE AMORTIZATION EXPENSE</w:t>
      </w:r>
    </w:p>
    <w:tbl>
      <w:tblPr>
        <w:tblW w:w="3360" w:type="dxa"/>
        <w:jc w:val="left"/>
        <w:tblInd w:w="0" w:type="dxa"/>
        <w:tblLayout w:type="fixed"/>
        <w:tblCellMar>
          <w:top w:w="0" w:type="dxa"/>
          <w:left w:w="0" w:type="dxa"/>
          <w:bottom w:w="0" w:type="dxa"/>
          <w:right w:w="0" w:type="dxa"/>
        </w:tblCellMar>
      </w:tblPr>
      <w:tblGrid>
        <w:gridCol w:w="1865"/>
        <w:gridCol w:w="60"/>
        <w:gridCol w:w="140"/>
        <w:gridCol w:w="1220"/>
        <w:gridCol w:w="75"/>
      </w:tblGrid>
      <w:tr>
        <w:trPr/>
        <w:tc>
          <w:tcPr>
            <w:tcW w:w="18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49" w:name="xdx_49D_20250630_zHOB9gsSCv36"/>
            <w:bookmarkEnd w:id="449"/>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50" w:name="xdx_404_eus-gaap--FiniteLivedIntangibleA"/>
            <w:bookmarkEnd w:id="450"/>
          </w:p>
        </w:tc>
      </w:tr>
      <w:tr>
        <w:trPr/>
        <w:tc>
          <w:tcPr>
            <w:tcW w:w="1865" w:type="dxa"/>
            <w:tcBorders/>
            <w:shd w:fill="CCEEFF" w:val="clear"/>
            <w:vAlign w:val="center"/>
          </w:tcPr>
          <w:p>
            <w:pPr>
              <w:pStyle w:val="TableContents"/>
              <w:bidi w:val="0"/>
              <w:spacing w:before="0" w:after="283"/>
              <w:jc w:val="both"/>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8,452,000</w:t>
            </w:r>
          </w:p>
        </w:tc>
        <w:tc>
          <w:tcPr>
            <w:tcW w:w="75" w:type="dxa"/>
            <w:tcBorders/>
            <w:shd w:fill="CCEEFF" w:val="clear"/>
            <w:vAlign w:val="center"/>
          </w:tcPr>
          <w:p>
            <w:pPr>
              <w:pStyle w:val="TableContents"/>
              <w:bidi w:val="0"/>
              <w:spacing w:before="0" w:after="283"/>
              <w:jc w:val="left"/>
              <w:rPr/>
            </w:pPr>
            <w:r>
              <w:rPr/>
              <w:t> </w:t>
            </w:r>
            <w:bookmarkStart w:id="451" w:name="xdx_408_eus-gaap--FiniteLivedIntangibleA"/>
            <w:bookmarkEnd w:id="451"/>
          </w:p>
        </w:tc>
      </w:tr>
      <w:tr>
        <w:trPr/>
        <w:tc>
          <w:tcPr>
            <w:tcW w:w="1865"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16,904,000</w:t>
            </w:r>
          </w:p>
        </w:tc>
        <w:tc>
          <w:tcPr>
            <w:tcW w:w="75" w:type="dxa"/>
            <w:tcBorders/>
            <w:shd w:fill="FFFFFF" w:val="clear"/>
            <w:vAlign w:val="center"/>
          </w:tcPr>
          <w:p>
            <w:pPr>
              <w:pStyle w:val="TableContents"/>
              <w:bidi w:val="0"/>
              <w:spacing w:before="0" w:after="283"/>
              <w:jc w:val="left"/>
              <w:rPr/>
            </w:pPr>
            <w:r>
              <w:rPr/>
              <w:t> </w:t>
            </w:r>
            <w:bookmarkStart w:id="452" w:name="xdx_40B_eus-gaap--FiniteLivedIntangibleA"/>
            <w:bookmarkEnd w:id="452"/>
          </w:p>
        </w:tc>
      </w:tr>
      <w:tr>
        <w:trPr/>
        <w:tc>
          <w:tcPr>
            <w:tcW w:w="1865"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16,613,000</w:t>
            </w:r>
          </w:p>
        </w:tc>
        <w:tc>
          <w:tcPr>
            <w:tcW w:w="75" w:type="dxa"/>
            <w:tcBorders/>
            <w:shd w:fill="CCEEFF" w:val="clear"/>
            <w:vAlign w:val="center"/>
          </w:tcPr>
          <w:p>
            <w:pPr>
              <w:pStyle w:val="TableContents"/>
              <w:bidi w:val="0"/>
              <w:spacing w:before="0" w:after="283"/>
              <w:jc w:val="left"/>
              <w:rPr/>
            </w:pPr>
            <w:r>
              <w:rPr/>
              <w:t> </w:t>
            </w:r>
            <w:bookmarkStart w:id="453" w:name="xdx_40C_eus-gaap--FiniteLivedIntangibleA"/>
            <w:bookmarkEnd w:id="453"/>
          </w:p>
        </w:tc>
      </w:tr>
      <w:tr>
        <w:trPr/>
        <w:tc>
          <w:tcPr>
            <w:tcW w:w="1865"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16,206,000</w:t>
            </w:r>
          </w:p>
        </w:tc>
        <w:tc>
          <w:tcPr>
            <w:tcW w:w="75" w:type="dxa"/>
            <w:tcBorders/>
            <w:shd w:fill="FFFFFF" w:val="clear"/>
            <w:vAlign w:val="center"/>
          </w:tcPr>
          <w:p>
            <w:pPr>
              <w:pStyle w:val="TableContents"/>
              <w:bidi w:val="0"/>
              <w:spacing w:before="0" w:after="283"/>
              <w:jc w:val="left"/>
              <w:rPr/>
            </w:pPr>
            <w:r>
              <w:rPr/>
              <w:t> </w:t>
            </w:r>
            <w:bookmarkStart w:id="454" w:name="xdx_400_eus-gaap--FiniteLivedIntangibleA"/>
            <w:bookmarkEnd w:id="454"/>
          </w:p>
        </w:tc>
      </w:tr>
      <w:tr>
        <w:trPr/>
        <w:tc>
          <w:tcPr>
            <w:tcW w:w="1865" w:type="dxa"/>
            <w:tcBorders/>
            <w:shd w:fill="CCEEFF" w:val="clear"/>
            <w:vAlign w:val="center"/>
          </w:tcPr>
          <w:p>
            <w:pPr>
              <w:pStyle w:val="TableContents"/>
              <w:bidi w:val="0"/>
              <w:spacing w:before="0" w:after="283"/>
              <w:jc w:val="both"/>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16,096,000</w:t>
            </w:r>
          </w:p>
        </w:tc>
        <w:tc>
          <w:tcPr>
            <w:tcW w:w="75" w:type="dxa"/>
            <w:tcBorders/>
            <w:shd w:fill="CCEEFF" w:val="clear"/>
            <w:vAlign w:val="center"/>
          </w:tcPr>
          <w:p>
            <w:pPr>
              <w:pStyle w:val="TableContents"/>
              <w:bidi w:val="0"/>
              <w:spacing w:before="0" w:after="283"/>
              <w:jc w:val="left"/>
              <w:rPr/>
            </w:pPr>
            <w:r>
              <w:rPr/>
              <w:t> </w:t>
            </w:r>
            <w:bookmarkStart w:id="455" w:name="xdx_401_ecustom--FiniteLivedIntangibleAs"/>
            <w:bookmarkEnd w:id="455"/>
          </w:p>
        </w:tc>
      </w:tr>
      <w:tr>
        <w:trPr/>
        <w:tc>
          <w:tcPr>
            <w:tcW w:w="1865" w:type="dxa"/>
            <w:tcBorders/>
            <w:shd w:fill="FFFFFF" w:val="clear"/>
            <w:vAlign w:val="center"/>
          </w:tcPr>
          <w:p>
            <w:pPr>
              <w:pStyle w:val="TableContents"/>
              <w:bidi w:val="0"/>
              <w:spacing w:before="0" w:after="283"/>
              <w:jc w:val="both"/>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102,101,000</w:t>
            </w:r>
          </w:p>
        </w:tc>
        <w:tc>
          <w:tcPr>
            <w:tcW w:w="75" w:type="dxa"/>
            <w:tcBorders/>
            <w:shd w:fill="FFFFFF" w:val="clear"/>
            <w:vAlign w:val="center"/>
          </w:tcPr>
          <w:p>
            <w:pPr>
              <w:pStyle w:val="TableContents"/>
              <w:bidi w:val="0"/>
              <w:spacing w:before="0" w:after="283"/>
              <w:jc w:val="left"/>
              <w:rPr/>
            </w:pPr>
            <w:r>
              <w:rPr/>
              <w:t> </w:t>
            </w:r>
            <w:bookmarkStart w:id="456" w:name="xdx_408_eus-gaap--FiniteLivedIntangibleA"/>
            <w:bookmarkEnd w:id="456"/>
          </w:p>
        </w:tc>
      </w:tr>
      <w:tr>
        <w:trPr/>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176,372,000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7" w:name="xdx_8A9_zOkHZOMt2Bed"/>
      <w:bookmarkEnd w:id="4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458" w:name="xdx_901_eus-gaap--GoodwillPeriodIncrease"/>
      <w:bookmarkStart w:id="459" w:name="xdx_90B_eus-gaap--GoodwillPeriodIncrease"/>
      <w:bookmarkStart w:id="460" w:name="xdx_905_eus-gaap--GoodwillPeriodIncrease"/>
      <w:bookmarkStart w:id="461" w:name="xdx_907_eus-gaap--GoodwillPeriodIncrease"/>
      <w:bookmarkEnd w:id="458"/>
      <w:bookmarkEnd w:id="459"/>
      <w:bookmarkEnd w:id="460"/>
      <w:bookmarkEnd w:id="461"/>
      <w:r>
        <w:rPr>
          <w:rFonts w:ascii="Times New Roman;Times;Serif" w:hAnsi="Times New Roman;Times;Serif"/>
          <w:b w:val="false"/>
          <w:i w:val="false"/>
          <w:caps w:val="false"/>
          <w:smallCaps w:val="false"/>
          <w:sz w:val="20"/>
        </w:rPr>
        <w:t>no changes to the carrying value of the Company’s goodwill during the three and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2" w:name="xdx_80A_eus-gaap--AccountsPayableAndAccr"/>
      <w:bookmarkEnd w:id="462"/>
      <w:r>
        <w:rPr>
          <w:rFonts w:ascii="Times New Roman;Times;Serif" w:hAnsi="Times New Roman;Times;Serif"/>
          <w:b/>
          <w:i w:val="false"/>
          <w:caps w:val="false"/>
          <w:smallCaps w:val="false"/>
          <w:sz w:val="20"/>
        </w:rPr>
        <w:t xml:space="preserve">NOTE 9. </w:t>
      </w:r>
      <w:bookmarkStart w:id="463" w:name="xdx_821_zcFTkWuecMq2"/>
      <w:bookmarkEnd w:id="463"/>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4" w:name="xdx_898_eus-gaap--ScheduleOfAccountsPaya"/>
      <w:bookmarkEnd w:id="464"/>
      <w:r>
        <w:rPr>
          <w:rFonts w:ascii="Times New Roman;Times;Serif" w:hAnsi="Times New Roman;Times;Serif"/>
          <w:b w:val="false"/>
          <w:i w:val="false"/>
          <w:caps w:val="false"/>
          <w:smallCaps w:val="false"/>
          <w:sz w:val="20"/>
        </w:rPr>
        <w:t>Accounts payable and accrued expenses at June 30, 2025 and December 31,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465" w:name="xdx_8BE_zas3APsGzwt4"/>
      <w:bookmarkEnd w:id="465"/>
      <w:r>
        <w:rPr>
          <w:rFonts w:ascii="Times New Roman;Times;Serif" w:hAnsi="Times New Roman;Times;Serif"/>
          <w:b w:val="false"/>
          <w:i w:val="false"/>
          <w:caps w:val="false"/>
          <w:smallCaps w:val="false"/>
          <w:sz w:val="20"/>
        </w:rPr>
        <w:t>SCHEDULE OF ACCOUNTS PAYABLE AND ACCRUED EXPENSES</w:t>
      </w:r>
    </w:p>
    <w:tbl>
      <w:tblPr>
        <w:tblW w:w="7234" w:type="dxa"/>
        <w:jc w:val="left"/>
        <w:tblInd w:w="0" w:type="dxa"/>
        <w:tblLayout w:type="fixed"/>
        <w:tblCellMar>
          <w:top w:w="0" w:type="dxa"/>
          <w:left w:w="0" w:type="dxa"/>
          <w:bottom w:w="0" w:type="dxa"/>
          <w:right w:w="0" w:type="dxa"/>
        </w:tblCellMar>
      </w:tblPr>
      <w:tblGrid>
        <w:gridCol w:w="4325"/>
        <w:gridCol w:w="60"/>
        <w:gridCol w:w="140"/>
        <w:gridCol w:w="1100"/>
        <w:gridCol w:w="60"/>
        <w:gridCol w:w="60"/>
        <w:gridCol w:w="159"/>
        <w:gridCol w:w="1255"/>
        <w:gridCol w:w="75"/>
      </w:tblGrid>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66" w:name="xdx_49E_20250630_zYChHjwEanMl"/>
            <w:bookmarkEnd w:id="466"/>
          </w:p>
        </w:tc>
        <w:tc>
          <w:tcPr>
            <w:tcW w:w="12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7" w:name="xdx_49E_20241231_zHb2BPvMEWri"/>
            <w:bookmarkEnd w:id="46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68" w:name="xdx_401_eus-gaap--AccountsPayableCurrent"/>
            <w:bookmarkEnd w:id="468"/>
          </w:p>
        </w:tc>
      </w:tr>
      <w:tr>
        <w:trPr/>
        <w:tc>
          <w:tcPr>
            <w:tcW w:w="4325"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23,415,000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38,762,000</w:t>
            </w:r>
          </w:p>
        </w:tc>
        <w:tc>
          <w:tcPr>
            <w:tcW w:w="75" w:type="dxa"/>
            <w:tcBorders/>
            <w:shd w:fill="CCEEFF" w:val="clear"/>
            <w:vAlign w:val="center"/>
          </w:tcPr>
          <w:p>
            <w:pPr>
              <w:pStyle w:val="TableContents"/>
              <w:bidi w:val="0"/>
              <w:spacing w:before="0" w:after="283"/>
              <w:jc w:val="left"/>
              <w:rPr/>
            </w:pPr>
            <w:r>
              <w:rPr/>
              <w:t> </w:t>
            </w:r>
            <w:bookmarkStart w:id="469" w:name="xdx_407_eus-gaap--InterestPayableCurrent"/>
            <w:bookmarkEnd w:id="469"/>
          </w:p>
        </w:tc>
      </w:tr>
      <w:tr>
        <w:trPr/>
        <w:tc>
          <w:tcPr>
            <w:tcW w:w="4325" w:type="dxa"/>
            <w:tcBorders/>
            <w:shd w:fill="FFFFFF" w:val="clear"/>
            <w:vAlign w:val="center"/>
          </w:tcPr>
          <w:p>
            <w:pPr>
              <w:pStyle w:val="TableContents"/>
              <w:bidi w:val="0"/>
              <w:spacing w:before="0" w:after="283"/>
              <w:jc w:val="both"/>
              <w:rPr/>
            </w:pPr>
            <w:r>
              <w:rPr/>
              <w:t>Accrued interest (see Note 10)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1,893,000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2,538,000</w:t>
            </w:r>
          </w:p>
        </w:tc>
        <w:tc>
          <w:tcPr>
            <w:tcW w:w="75" w:type="dxa"/>
            <w:tcBorders/>
            <w:shd w:fill="FFFFFF" w:val="clear"/>
            <w:vAlign w:val="center"/>
          </w:tcPr>
          <w:p>
            <w:pPr>
              <w:pStyle w:val="TableContents"/>
              <w:bidi w:val="0"/>
              <w:spacing w:before="0" w:after="283"/>
              <w:jc w:val="left"/>
              <w:rPr/>
            </w:pPr>
            <w:r>
              <w:rPr/>
              <w:t> </w:t>
            </w:r>
            <w:bookmarkStart w:id="470" w:name="xdx_40A_eus-gaap--OtherAccruedLiabilitie"/>
            <w:bookmarkEnd w:id="470"/>
          </w:p>
        </w:tc>
      </w:tr>
      <w:tr>
        <w:trPr/>
        <w:tc>
          <w:tcPr>
            <w:tcW w:w="4325" w:type="dxa"/>
            <w:tcBorders/>
            <w:shd w:fill="CCEEFF" w:val="clear"/>
            <w:vAlign w:val="center"/>
          </w:tcPr>
          <w:p>
            <w:pPr>
              <w:pStyle w:val="TableContents"/>
              <w:bidi w:val="0"/>
              <w:spacing w:before="0" w:after="283"/>
              <w:jc w:val="both"/>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106,000</w:t>
            </w:r>
          </w:p>
        </w:tc>
        <w:tc>
          <w:tcPr>
            <w:tcW w:w="75" w:type="dxa"/>
            <w:tcBorders/>
            <w:shd w:fill="CCEEFF" w:val="clear"/>
            <w:vAlign w:val="center"/>
          </w:tcPr>
          <w:p>
            <w:pPr>
              <w:pStyle w:val="TableContents"/>
              <w:bidi w:val="0"/>
              <w:spacing w:before="0" w:after="283"/>
              <w:jc w:val="left"/>
              <w:rPr/>
            </w:pPr>
            <w:r>
              <w:rPr/>
              <w:t> </w:t>
            </w:r>
            <w:bookmarkStart w:id="471" w:name="xdx_40B_eus-gaap--AccountsPayableAndAccr"/>
            <w:bookmarkEnd w:id="471"/>
          </w:p>
        </w:tc>
      </w:tr>
      <w:tr>
        <w:trPr/>
        <w:tc>
          <w:tcPr>
            <w:tcW w:w="4325" w:type="dxa"/>
            <w:tcBorders/>
            <w:shd w:fill="FFFFFF" w:val="clear"/>
            <w:vAlign w:val="center"/>
          </w:tcPr>
          <w:p>
            <w:pPr>
              <w:pStyle w:val="TableContents"/>
              <w:bidi w:val="0"/>
              <w:spacing w:before="0" w:after="283"/>
              <w:jc w:val="both"/>
              <w:rPr/>
            </w:pPr>
            <w:r>
              <w:rPr/>
              <w:t>Total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25,414,000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41,406,000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472" w:name="xdx_8A7_zNgYXNVg6WIi"/>
      <w:bookmarkEnd w:id="472"/>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3" w:name="xdx_800_eus-gaap--DebtDisclosureTextBloc"/>
      <w:bookmarkEnd w:id="473"/>
      <w:r>
        <w:rPr>
          <w:rFonts w:ascii="Times New Roman;Times;Serif" w:hAnsi="Times New Roman;Times;Serif"/>
          <w:b/>
          <w:i w:val="false"/>
          <w:caps w:val="false"/>
          <w:smallCaps w:val="false"/>
          <w:sz w:val="20"/>
        </w:rPr>
        <w:t xml:space="preserve">NOTE 10. </w:t>
      </w:r>
      <w:bookmarkStart w:id="474" w:name="xdx_822_zMmHFZj9Ubr2"/>
      <w:bookmarkEnd w:id="474"/>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Oaktree Loan Due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Credit Agreement and Guaranty (the “Oaktree Loan”) with Oaktree, providing for a senior secured term loan facility to the Company with a principal amount of up to $</w:t>
      </w:r>
      <w:bookmarkStart w:id="475" w:name="xdx_90E_eus-gaap--LineOfCreditFacilityMa"/>
      <w:bookmarkEnd w:id="475"/>
      <w:r>
        <w:rPr>
          <w:rFonts w:ascii="Times New Roman;Times;Serif" w:hAnsi="Times New Roman;Times;Serif"/>
          <w:b w:val="false"/>
          <w:i w:val="false"/>
          <w:caps w:val="false"/>
          <w:smallCaps w:val="false"/>
          <w:sz w:val="20"/>
        </w:rPr>
        <w:t>100,000,000. Upon entering into the Oaktree Loan, the Company drew a principal amount of $</w:t>
      </w:r>
      <w:bookmarkStart w:id="476" w:name="xdx_908_eus-gaap--ProceedsFromLinesOfCre"/>
      <w:bookmarkEnd w:id="476"/>
      <w:r>
        <w:rPr>
          <w:rFonts w:ascii="Times New Roman;Times;Serif" w:hAnsi="Times New Roman;Times;Serif"/>
          <w:b w:val="false"/>
          <w:i w:val="false"/>
          <w:caps w:val="false"/>
          <w:smallCaps w:val="false"/>
          <w:sz w:val="20"/>
        </w:rPr>
        <w:t>65,000,000 (“Tranche A”) from the Oaktree Loan and used the net proceeds to repay all amounts owed by the Company pursuant to the Loan and Security Agreement the Company previously entered into with B. Riley Commercial Capital, LLC on December 14, 2022. The additional principal loan amount of up to $</w:t>
      </w:r>
      <w:bookmarkStart w:id="477" w:name="xdx_900_eus-gaap--LineOfCreditFacilityMa"/>
      <w:bookmarkEnd w:id="477"/>
      <w:r>
        <w:rPr>
          <w:rFonts w:ascii="Times New Roman;Times;Serif" w:hAnsi="Times New Roman;Times;Serif"/>
          <w:b w:val="false"/>
          <w:i w:val="false"/>
          <w:caps w:val="false"/>
          <w:smallCaps w:val="false"/>
          <w:sz w:val="20"/>
        </w:rPr>
        <w:t>35,000,000 available under the Oaktree Loan (“Tranche B”) was available to the Company upon the commercialization of TRIESENCE. Since Tranche B was not drawn by the Company on or before March 27, 2024, the amount available under Tranche B was reduced to $</w:t>
      </w:r>
      <w:bookmarkStart w:id="478" w:name="xdx_90F_eus-gaap--LineOfCreditFacilityMa"/>
      <w:bookmarkEnd w:id="478"/>
      <w:r>
        <w:rPr>
          <w:rFonts w:ascii="Times New Roman;Times;Serif" w:hAnsi="Times New Roman;Times;Serif"/>
          <w:b w:val="false"/>
          <w:i w:val="false"/>
          <w:caps w:val="false"/>
          <w:smallCaps w:val="false"/>
          <w:sz w:val="20"/>
        </w:rPr>
        <w:t xml:space="preserve">30,000,000. While undrawn, the Company was required to pay a commitment fee related to Tranche B amount equal to </w:t>
      </w:r>
      <w:bookmarkStart w:id="479" w:name="xdx_90E_eus-gaap--LineOfCreditFacilityUn"/>
      <w:bookmarkEnd w:id="479"/>
      <w:r>
        <w:rPr>
          <w:rFonts w:ascii="Times New Roman;Times;Serif" w:hAnsi="Times New Roman;Times;Serif"/>
          <w:b w:val="false"/>
          <w:i w:val="false"/>
          <w:caps w:val="false"/>
          <w:smallCaps w:val="false"/>
          <w:sz w:val="20"/>
        </w:rPr>
        <w:t>2% per annum, payable quarterly. This fee was recorded within prepaid expenses and other current assets and was being amortized on a straight-line basis over the access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entered into the First Amendment to the Oaktree Loan (the “Oaktree Amendment”). Under the Oaktree Amendment, the overall credit facility size was increased from $</w:t>
      </w:r>
      <w:bookmarkStart w:id="480" w:name="xdx_901_eus-gaap--LineOfCreditFacilityMa"/>
      <w:bookmarkEnd w:id="480"/>
      <w:r>
        <w:rPr>
          <w:rFonts w:ascii="Times New Roman;Times;Serif" w:hAnsi="Times New Roman;Times;Serif"/>
          <w:b w:val="false"/>
          <w:i w:val="false"/>
          <w:caps w:val="false"/>
          <w:smallCaps w:val="false"/>
          <w:sz w:val="20"/>
        </w:rPr>
        <w:t>100,000,000 to $</w:t>
      </w:r>
      <w:bookmarkStart w:id="481" w:name="xdx_904_eus-gaap--LineOfCreditFacilityMa"/>
      <w:bookmarkEnd w:id="481"/>
      <w:r>
        <w:rPr>
          <w:rFonts w:ascii="Times New Roman;Times;Serif" w:hAnsi="Times New Roman;Times;Serif"/>
          <w:b w:val="false"/>
          <w:i w:val="false"/>
          <w:caps w:val="false"/>
          <w:smallCaps w:val="false"/>
          <w:sz w:val="20"/>
        </w:rPr>
        <w:t>112,500,000. The Company drew down a principal amount of $</w:t>
      </w:r>
      <w:bookmarkStart w:id="482" w:name="xdx_90C_eus-gaap--ProceedsFromLinesOfCre"/>
      <w:bookmarkEnd w:id="482"/>
      <w:r>
        <w:rPr>
          <w:rFonts w:ascii="Times New Roman;Times;Serif" w:hAnsi="Times New Roman;Times;Serif"/>
          <w:b w:val="false"/>
          <w:i w:val="false"/>
          <w:caps w:val="false"/>
          <w:smallCaps w:val="false"/>
          <w:sz w:val="20"/>
        </w:rPr>
        <w:t>12,500,000 (the “Loan Increase”) to fund the initial one-time payment associated with product acquisitions and for other working capital and general corporate purposes. No other material changes to the Oaktree Loan were made pursuant to the Oaktree Amendment. Following entry into the Oaktree Amendment and the funding of the Loan Increase upon closing of certain product acquisitions, the Company had drawn down a total principal loan amount of $</w:t>
      </w:r>
      <w:bookmarkStart w:id="483" w:name="xdx_90D_eus-gaap--ProceedsFromLinesOfCre"/>
      <w:bookmarkEnd w:id="483"/>
      <w:r>
        <w:rPr>
          <w:rFonts w:ascii="Times New Roman;Times;Serif" w:hAnsi="Times New Roman;Times;Serif"/>
          <w:b w:val="false"/>
          <w:i w:val="false"/>
          <w:caps w:val="false"/>
          <w:smallCaps w:val="false"/>
          <w:sz w:val="20"/>
        </w:rPr>
        <w:t>77,500,000 under the Oaktree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entered into the Second Amendment to Credit Agreement and Guaranty with Oaktree (“Second Amendment”). Upon satisfaction of certain conditions to funding, the Company drew down the principal amount of the Tranche B commitment of $</w:t>
      </w:r>
      <w:bookmarkStart w:id="484" w:name="xdx_909_eus-gaap--ProceedsFromLinesOfCre"/>
      <w:bookmarkEnd w:id="484"/>
      <w:r>
        <w:rPr>
          <w:rFonts w:ascii="Times New Roman;Times;Serif" w:hAnsi="Times New Roman;Times;Serif"/>
          <w:b w:val="false"/>
          <w:i w:val="false"/>
          <w:caps w:val="false"/>
          <w:smallCaps w:val="false"/>
          <w:sz w:val="20"/>
        </w:rPr>
        <w:t>30,000,000 (the “$</w:t>
      </w:r>
      <w:bookmarkStart w:id="485" w:name="xdx_900_eus-gaap--ProceedsFromLinesOfCre"/>
      <w:bookmarkEnd w:id="485"/>
      <w:r>
        <w:rPr>
          <w:rFonts w:ascii="Times New Roman;Times;Serif" w:hAnsi="Times New Roman;Times;Serif"/>
          <w:b w:val="false"/>
          <w:i w:val="false"/>
          <w:caps w:val="false"/>
          <w:smallCaps w:val="false"/>
          <w:sz w:val="20"/>
        </w:rPr>
        <w:t>30,000,000 Draw”) to partially fund a one-time milestone payment to Novartis. Under its asset purchase agreement with Novartis, the Company made a one-time milestone payment to Novartis equal to $</w:t>
      </w:r>
      <w:bookmarkStart w:id="486" w:name="xdx_90C_eus-gaap--PaymentOfFinancingAndS"/>
      <w:bookmarkEnd w:id="486"/>
      <w:r>
        <w:rPr>
          <w:rFonts w:ascii="Times New Roman;Times;Serif" w:hAnsi="Times New Roman;Times;Serif"/>
          <w:b w:val="false"/>
          <w:i w:val="false"/>
          <w:caps w:val="false"/>
          <w:smallCaps w:val="false"/>
          <w:sz w:val="20"/>
        </w:rPr>
        <w:t>37,000,000 upon the commercial availability of TRIESENCE, which the Company paid in October 2024. In connection with the Second Amendment and following the $</w:t>
      </w:r>
      <w:bookmarkStart w:id="487" w:name="xdx_906_eus-gaap--ProceedsFromLinesOfCre"/>
      <w:bookmarkEnd w:id="487"/>
      <w:r>
        <w:rPr>
          <w:rFonts w:ascii="Times New Roman;Times;Serif" w:hAnsi="Times New Roman;Times;Serif"/>
          <w:b w:val="false"/>
          <w:i w:val="false"/>
          <w:caps w:val="false"/>
          <w:smallCaps w:val="false"/>
          <w:sz w:val="20"/>
        </w:rPr>
        <w:t>30,000,000 Draw, the Company has drawn down a total principal loan amount of $</w:t>
      </w:r>
      <w:bookmarkStart w:id="488" w:name="xdx_902_eus-gaap--ProceedsFromLinesOfCre"/>
      <w:bookmarkEnd w:id="488"/>
      <w:r>
        <w:rPr>
          <w:rFonts w:ascii="Times New Roman;Times;Serif" w:hAnsi="Times New Roman;Times;Serif"/>
          <w:b w:val="false"/>
          <w:i w:val="false"/>
          <w:caps w:val="false"/>
          <w:smallCaps w:val="false"/>
          <w:sz w:val="20"/>
        </w:rPr>
        <w:t>107,500,000 under the Oaktree Loan and no additional principal loan amount remains available to the Company under the Oaktree Loan.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Oaktree Loan is secured by nearly all of the assets, including intellectual property, of the Company and its material subsidiaries. The Oaktree Loan has a maturity date of January 19, 2026 and carries an interest rate equal to the Secured Overnight Financing Rate plus </w:t>
      </w:r>
      <w:bookmarkStart w:id="489" w:name="xdx_904_eus-gaap--LineOfCreditFacilityUn"/>
      <w:bookmarkEnd w:id="489"/>
      <w:r>
        <w:rPr>
          <w:rFonts w:ascii="Times New Roman;Times;Serif" w:hAnsi="Times New Roman;Times;Serif"/>
          <w:b w:val="false"/>
          <w:i w:val="false"/>
          <w:caps w:val="false"/>
          <w:smallCaps w:val="false"/>
          <w:sz w:val="20"/>
        </w:rPr>
        <w:t xml:space="preserve">6.5% per annum (totaling </w:t>
      </w:r>
      <w:bookmarkStart w:id="490" w:name="xdx_900_eus-gaap--LineOfCreditFacilityUn"/>
      <w:bookmarkEnd w:id="490"/>
      <w:r>
        <w:rPr>
          <w:rFonts w:ascii="Times New Roman;Times;Serif" w:hAnsi="Times New Roman;Times;Serif"/>
          <w:b w:val="false"/>
          <w:i w:val="false"/>
          <w:caps w:val="false"/>
          <w:smallCaps w:val="false"/>
          <w:sz w:val="20"/>
        </w:rPr>
        <w:t xml:space="preserve">10.84 % at June 30, 2025). The Oaktree Loan also carries an exit fee equal to </w:t>
      </w:r>
      <w:bookmarkStart w:id="491" w:name="xdx_900_eus-gaap--LineOfCreditFacilityUn"/>
      <w:bookmarkEnd w:id="491"/>
      <w:r>
        <w:rPr>
          <w:rFonts w:ascii="Times New Roman;Times;Serif" w:hAnsi="Times New Roman;Times;Serif"/>
          <w:b w:val="false"/>
          <w:i w:val="false"/>
          <w:caps w:val="false"/>
          <w:smallCaps w:val="false"/>
          <w:sz w:val="20"/>
        </w:rPr>
        <w:t>3.5% of the aggregate principal amount owed, payable at maturity. The total exit fee of $</w:t>
      </w:r>
      <w:bookmarkStart w:id="492" w:name="xdx_901_eus-gaap--DebtInstrumentUnamorti"/>
      <w:bookmarkEnd w:id="492"/>
      <w:r>
        <w:rPr>
          <w:rFonts w:ascii="Times New Roman;Times;Serif" w:hAnsi="Times New Roman;Times;Serif"/>
          <w:b w:val="false"/>
          <w:i w:val="false"/>
          <w:caps w:val="false"/>
          <w:smallCaps w:val="false"/>
          <w:sz w:val="20"/>
        </w:rPr>
        <w:t>3,763,000 has been recorded as a debt discount. The original issue discount, fees and expenses (including the exit fee) are being amortized over the term of the Oaktree Loan using the effective interest rate method. The Oaktree Loan requires quarterly interest-only payments with all of the unpaid principal, interest and fees due on the maturity date, January 19,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Oaktree Loan contains customary guarantees and covenants, including financial covenants related to minimum liquidity and minimum net revenues. As of June 30, 2025, the Company was in compliance with the financial covenants.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Oaktree Loan totaled $</w:t>
      </w:r>
      <w:bookmarkStart w:id="493" w:name="xdx_902_eus-gaap--InterestExpenseOtherLo"/>
      <w:bookmarkEnd w:id="493"/>
      <w:r>
        <w:rPr>
          <w:rFonts w:ascii="Times New Roman;Times;Serif" w:hAnsi="Times New Roman;Times;Serif"/>
          <w:b w:val="false"/>
          <w:i w:val="false"/>
          <w:caps w:val="false"/>
          <w:smallCaps w:val="false"/>
          <w:sz w:val="20"/>
        </w:rPr>
        <w:t>3,827,000 and $</w:t>
      </w:r>
      <w:bookmarkStart w:id="494" w:name="xdx_90F_eus-gaap--InterestExpenseOtherLo"/>
      <w:bookmarkEnd w:id="494"/>
      <w:r>
        <w:rPr>
          <w:rFonts w:ascii="Times New Roman;Times;Serif" w:hAnsi="Times New Roman;Times;Serif"/>
          <w:b w:val="false"/>
          <w:i w:val="false"/>
          <w:caps w:val="false"/>
          <w:smallCaps w:val="false"/>
          <w:sz w:val="20"/>
        </w:rPr>
        <w:t>7,686,000 for the three and six months ended June 30, 2025, respectively, and included the amortization of debt issuance costs and discount of $</w:t>
      </w:r>
      <w:bookmarkStart w:id="495" w:name="xdx_901_eus-gaap--AmortizationOfFinancin"/>
      <w:bookmarkEnd w:id="495"/>
      <w:r>
        <w:rPr>
          <w:rFonts w:ascii="Times New Roman;Times;Serif" w:hAnsi="Times New Roman;Times;Serif"/>
          <w:b w:val="false"/>
          <w:i w:val="false"/>
          <w:caps w:val="false"/>
          <w:smallCaps w:val="false"/>
          <w:sz w:val="20"/>
        </w:rPr>
        <w:t>916,000 and $</w:t>
      </w:r>
      <w:bookmarkStart w:id="496" w:name="xdx_902_eus-gaap--AmortizationOfFinancin"/>
      <w:bookmarkEnd w:id="496"/>
      <w:r>
        <w:rPr>
          <w:rFonts w:ascii="Times New Roman;Times;Serif" w:hAnsi="Times New Roman;Times;Serif"/>
          <w:b w:val="false"/>
          <w:i w:val="false"/>
          <w:caps w:val="false"/>
          <w:smallCaps w:val="false"/>
          <w:sz w:val="20"/>
        </w:rPr>
        <w:t>1,822,000, respectively. Interest expense related to the Oaktree Loan totaled $</w:t>
      </w:r>
      <w:bookmarkStart w:id="497" w:name="xdx_901_eus-gaap--InterestExpenseOtherLo"/>
      <w:bookmarkEnd w:id="497"/>
      <w:r>
        <w:rPr>
          <w:rFonts w:ascii="Times New Roman;Times;Serif" w:hAnsi="Times New Roman;Times;Serif"/>
          <w:b w:val="false"/>
          <w:i w:val="false"/>
          <w:caps w:val="false"/>
          <w:smallCaps w:val="false"/>
          <w:sz w:val="20"/>
        </w:rPr>
        <w:t>2,944,000 and $</w:t>
      </w:r>
      <w:bookmarkStart w:id="498" w:name="xdx_90C_eus-gaap--InterestExpenseOtherLo"/>
      <w:bookmarkEnd w:id="498"/>
      <w:r>
        <w:rPr>
          <w:rFonts w:ascii="Times New Roman;Times;Serif" w:hAnsi="Times New Roman;Times;Serif"/>
          <w:b w:val="false"/>
          <w:i w:val="false"/>
          <w:caps w:val="false"/>
          <w:smallCaps w:val="false"/>
          <w:sz w:val="20"/>
        </w:rPr>
        <w:t>5,897,000 for the three and six months ended June 30, 2024, respectively, and included the amortization of debt issuance costs and discount of $</w:t>
      </w:r>
      <w:bookmarkStart w:id="499" w:name="xdx_903_eus-gaap--AmortizationOfFinancin"/>
      <w:bookmarkEnd w:id="499"/>
      <w:r>
        <w:rPr>
          <w:rFonts w:ascii="Times New Roman;Times;Serif" w:hAnsi="Times New Roman;Times;Serif"/>
          <w:b w:val="false"/>
          <w:i w:val="false"/>
          <w:caps w:val="false"/>
          <w:smallCaps w:val="false"/>
          <w:sz w:val="20"/>
        </w:rPr>
        <w:t>602,000 and $</w:t>
      </w:r>
      <w:bookmarkStart w:id="500" w:name="xdx_90D_eus-gaap--AmortizationOfFinancin"/>
      <w:bookmarkEnd w:id="500"/>
      <w:r>
        <w:rPr>
          <w:rFonts w:ascii="Times New Roman;Times;Serif" w:hAnsi="Times New Roman;Times;Serif"/>
          <w:b w:val="false"/>
          <w:i w:val="false"/>
          <w:caps w:val="false"/>
          <w:smallCaps w:val="false"/>
          <w:sz w:val="20"/>
        </w:rPr>
        <w:t>1,205,000,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HROWL – 8.625% Senior Notes Due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closed an offering of $</w:t>
      </w:r>
      <w:bookmarkStart w:id="501" w:name="xdx_90B_eus-gaap--DebtInstrumentFaceAmou"/>
      <w:bookmarkEnd w:id="501"/>
      <w:r>
        <w:rPr>
          <w:rFonts w:ascii="Times New Roman;Times;Serif" w:hAnsi="Times New Roman;Times;Serif"/>
          <w:b w:val="false"/>
          <w:i w:val="false"/>
          <w:caps w:val="false"/>
          <w:smallCaps w:val="false"/>
          <w:sz w:val="20"/>
        </w:rPr>
        <w:t xml:space="preserve">50,000,000 aggregate principal amount of </w:t>
      </w:r>
      <w:bookmarkStart w:id="502" w:name="xdx_90E_eus-gaap--DebtInstrumentInterest"/>
      <w:bookmarkEnd w:id="502"/>
      <w:r>
        <w:rPr>
          <w:rFonts w:ascii="Times New Roman;Times;Serif" w:hAnsi="Times New Roman;Times;Serif"/>
          <w:b w:val="false"/>
          <w:i w:val="false"/>
          <w:caps w:val="false"/>
          <w:smallCaps w:val="false"/>
          <w:sz w:val="20"/>
        </w:rPr>
        <w:t>8.625% senior notes due April 2026, and in May 2021 issued an additional $</w:t>
      </w:r>
      <w:bookmarkStart w:id="503" w:name="xdx_90A_eus-gaap--DebtInstrumentIncrease"/>
      <w:bookmarkEnd w:id="503"/>
      <w:r>
        <w:rPr>
          <w:rFonts w:ascii="Times New Roman;Times;Serif" w:hAnsi="Times New Roman;Times;Serif"/>
          <w:b w:val="false"/>
          <w:i w:val="false"/>
          <w:caps w:val="false"/>
          <w:smallCaps w:val="false"/>
          <w:sz w:val="20"/>
        </w:rPr>
        <w:t>5,000,000 of such notes pursuant to the full exercise of the underwriters’ option to purchase additional notes (collectively, the “April Notes”). The April Notes were sold to investors at a par value of $</w:t>
      </w:r>
      <w:bookmarkStart w:id="504" w:name="xdx_90D_eus-gaap--SharesIssuedPricePerSh"/>
      <w:bookmarkEnd w:id="504"/>
      <w:r>
        <w:rPr>
          <w:rFonts w:ascii="Times New Roman;Times;Serif" w:hAnsi="Times New Roman;Times;Serif"/>
          <w:b w:val="false"/>
          <w:i w:val="false"/>
          <w:caps w:val="false"/>
          <w:smallCaps w:val="false"/>
          <w:sz w:val="20"/>
        </w:rPr>
        <w:t>25.00 per note and the offering resulted in net proceeds to the Company of approximately $</w:t>
      </w:r>
      <w:bookmarkStart w:id="505" w:name="xdx_900_eus-gaap--ProceedsFromIssuanceOf"/>
      <w:bookmarkEnd w:id="505"/>
      <w:r>
        <w:rPr>
          <w:rFonts w:ascii="Times New Roman;Times;Serif" w:hAnsi="Times New Roman;Times;Serif"/>
          <w:b w:val="false"/>
          <w:i w:val="false"/>
          <w:caps w:val="false"/>
          <w:smallCaps w:val="false"/>
          <w:sz w:val="20"/>
        </w:rPr>
        <w:t>51,909,000 after deducting underwriting discounts and commissions and other offering expenses of $</w:t>
      </w:r>
      <w:bookmarkStart w:id="506" w:name="xdx_903_eus-gaap--DebtInstrumentUnamorti"/>
      <w:bookmarkEnd w:id="506"/>
      <w:r>
        <w:rPr>
          <w:rFonts w:ascii="Times New Roman;Times;Serif" w:hAnsi="Times New Roman;Times;Serif"/>
          <w:b w:val="false"/>
          <w:i w:val="false"/>
          <w:caps w:val="false"/>
          <w:smallCaps w:val="false"/>
          <w:sz w:val="20"/>
        </w:rPr>
        <w:t>3,091,000. In September 2021, in a further issuance of the April Notes, the Company sold an additional $</w:t>
      </w:r>
      <w:bookmarkStart w:id="507" w:name="xdx_90A_eus-gaap--DebtInstrumentIncrease"/>
      <w:bookmarkEnd w:id="507"/>
      <w:r>
        <w:rPr>
          <w:rFonts w:ascii="Times New Roman;Times;Serif" w:hAnsi="Times New Roman;Times;Serif"/>
          <w:b w:val="false"/>
          <w:i w:val="false"/>
          <w:caps w:val="false"/>
          <w:smallCaps w:val="false"/>
          <w:sz w:val="20"/>
        </w:rPr>
        <w:t>20,000,000 aggregate principal amount of such notes (the “September Notes,” and together with the April Notes, the “2026 Notes”), at a price of $</w:t>
      </w:r>
      <w:bookmarkStart w:id="508" w:name="xdx_905_eus-gaap--SharesIssuedPricePerSh"/>
      <w:bookmarkEnd w:id="508"/>
      <w:r>
        <w:rPr>
          <w:rFonts w:ascii="Times New Roman;Times;Serif" w:hAnsi="Times New Roman;Times;Serif"/>
          <w:b w:val="false"/>
          <w:i w:val="false"/>
          <w:caps w:val="false"/>
          <w:smallCaps w:val="false"/>
          <w:sz w:val="20"/>
        </w:rPr>
        <w:t>25.75 per September Note, with interest of $</w:t>
      </w:r>
      <w:bookmarkStart w:id="509" w:name="xdx_905_eus-gaap--InterestExpenseDebt_c2"/>
      <w:bookmarkEnd w:id="509"/>
      <w:r>
        <w:rPr>
          <w:rFonts w:ascii="Times New Roman;Times;Serif" w:hAnsi="Times New Roman;Times;Serif"/>
          <w:b w:val="false"/>
          <w:i w:val="false"/>
          <w:caps w:val="false"/>
          <w:smallCaps w:val="false"/>
          <w:sz w:val="20"/>
        </w:rPr>
        <w:t>278,000 on the September Notes being accrued from April 20, 2021, the date of issuance of the April Notes. The September offering resulted in net proceeds to the Company of approximately $</w:t>
      </w:r>
      <w:bookmarkStart w:id="510" w:name="xdx_90A_eus-gaap--ProceedsFromIssuanceOf"/>
      <w:bookmarkEnd w:id="510"/>
      <w:r>
        <w:rPr>
          <w:rFonts w:ascii="Times New Roman;Times;Serif" w:hAnsi="Times New Roman;Times;Serif"/>
          <w:b w:val="false"/>
          <w:i w:val="false"/>
          <w:caps w:val="false"/>
          <w:smallCaps w:val="false"/>
          <w:sz w:val="20"/>
        </w:rPr>
        <w:t>19,164,000 after deducting underwriting discounts and commissions and other offering expenses of $</w:t>
      </w:r>
      <w:bookmarkStart w:id="511" w:name="xdx_90F_eus-gaap--DebtInstrumentUnamorti"/>
      <w:bookmarkEnd w:id="511"/>
      <w:r>
        <w:rPr>
          <w:rFonts w:ascii="Times New Roman;Times;Serif" w:hAnsi="Times New Roman;Times;Serif"/>
          <w:b w:val="false"/>
          <w:i w:val="false"/>
          <w:caps w:val="false"/>
          <w:smallCaps w:val="false"/>
          <w:sz w:val="20"/>
        </w:rPr>
        <w:t>1,158,000 and a premium on note issuance of $</w:t>
      </w:r>
      <w:bookmarkStart w:id="512" w:name="xdx_90E_eus-gaap--DebtInstrumentUnamorti"/>
      <w:bookmarkEnd w:id="512"/>
      <w:r>
        <w:rPr>
          <w:rFonts w:ascii="Times New Roman;Times;Serif" w:hAnsi="Times New Roman;Times;Serif"/>
          <w:b w:val="false"/>
          <w:i w:val="false"/>
          <w:caps w:val="false"/>
          <w:smallCaps w:val="false"/>
          <w:sz w:val="20"/>
        </w:rPr>
        <w:t xml:space="preserve">322,000. The September Notes are treated as a single series with the April Notes under the indenture governing the April Notes, dated as of April 20, 2021, and have the same terms as the April Notes (other than the initial offering price and issue date). The 2026 Notes are senior unsecured obligations of the Company and rank equally in right of payment with all of the Company’s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w:t>
      </w:r>
      <w:bookmarkStart w:id="513" w:name="xdx_90A_eus-gaap--DebtInstrumentInterest"/>
      <w:bookmarkEnd w:id="513"/>
      <w:r>
        <w:rPr>
          <w:rFonts w:ascii="Times New Roman;Times;Serif" w:hAnsi="Times New Roman;Times;Serif"/>
          <w:b w:val="false"/>
          <w:i w:val="false"/>
          <w:caps w:val="false"/>
          <w:smallCaps w:val="false"/>
          <w:sz w:val="20"/>
        </w:rPr>
        <w:t xml:space="preserve">8.625% per annum. Interest on the 2026 Notes is payable quarterly in arrears on January 31, April 30, July 31 and October 31 of each year. The 2026 Notes will mature on </w:t>
      </w:r>
      <w:bookmarkStart w:id="514" w:name="xdx_90C_eus-gaap--DebtInstrumentMaturity"/>
      <w:bookmarkEnd w:id="514"/>
      <w:r>
        <w:rPr>
          <w:rFonts w:ascii="Times New Roman;Times;Serif" w:hAnsi="Times New Roman;Times;Serif"/>
          <w:b w:val="false"/>
          <w:i w:val="false"/>
          <w:caps w:val="false"/>
          <w:smallCaps w:val="false"/>
          <w:sz w:val="20"/>
        </w:rPr>
        <w:t>April 30, 2026. The issuance costs were recorded as a debt discount and are being amortized as interest expense, net of the amortization of the premium on note issuance, over the term of the 2026 Notes using the effective interest rate method.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February 1, 2026, the Company may, at its option, redeem the 2026 Notes, in whole at any time or in part from time to time, at a </w:t>
      </w:r>
      <w:bookmarkStart w:id="515" w:name="xdx_909_eus-gaap--DebtInstrumentRedempti"/>
      <w:bookmarkEnd w:id="515"/>
      <w:r>
        <w:rPr>
          <w:rFonts w:ascii="Times New Roman;Times;Serif" w:hAnsi="Times New Roman;Times;Serif"/>
          <w:b w:val="false"/>
          <w:i w:val="false"/>
          <w:caps w:val="false"/>
          <w:smallCaps w:val="false"/>
          <w:sz w:val="20"/>
        </w:rPr>
        <w:t>redemption price equal to 100% of the principal amount of the 2026 Notes to be redeemed, plus a make-whole amount, if any, plus accrued and unpaid interest to, but excluding, the date of redemption. The Company may redeem the 2026 Notes for cash in whole or in part at any time at its option on or after February 1, 2026 and prior to maturity, at a price equal to 100% of their principal amount, plus accrued and unpaid interest to, but excluding, the date of redemption. On and after any redemption date, interest will cease to accrue on the redeemed Notes. The 2026 Notes trade on the Nasdaq Stock Market LLC under the symbol “HROWL”.</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2026 Notes totaled $</w:t>
      </w:r>
      <w:bookmarkStart w:id="516" w:name="xdx_90C_eus-gaap--InterestExpenseOtherLo"/>
      <w:bookmarkEnd w:id="516"/>
      <w:r>
        <w:rPr>
          <w:rFonts w:ascii="Times New Roman;Times;Serif" w:hAnsi="Times New Roman;Times;Serif"/>
          <w:b w:val="false"/>
          <w:i w:val="false"/>
          <w:caps w:val="false"/>
          <w:smallCaps w:val="false"/>
          <w:sz w:val="20"/>
        </w:rPr>
        <w:t>1,812,000 and $</w:t>
      </w:r>
      <w:bookmarkStart w:id="517" w:name="xdx_903_eus-gaap--InterestExpenseOtherLo"/>
      <w:bookmarkEnd w:id="517"/>
      <w:r>
        <w:rPr>
          <w:rFonts w:ascii="Times New Roman;Times;Serif" w:hAnsi="Times New Roman;Times;Serif"/>
          <w:b w:val="false"/>
          <w:i w:val="false"/>
          <w:caps w:val="false"/>
          <w:smallCaps w:val="false"/>
          <w:sz w:val="20"/>
        </w:rPr>
        <w:t>3,622,000 for the three and six months ended June 30, 2025, respectively, and included amortization of debt issuance costs and discount of $</w:t>
      </w:r>
      <w:bookmarkStart w:id="518" w:name="xdx_906_eus-gaap--AmortizationOfFinancin"/>
      <w:bookmarkEnd w:id="518"/>
      <w:r>
        <w:rPr>
          <w:rFonts w:ascii="Times New Roman;Times;Serif" w:hAnsi="Times New Roman;Times;Serif"/>
          <w:b w:val="false"/>
          <w:i w:val="false"/>
          <w:caps w:val="false"/>
          <w:smallCaps w:val="false"/>
          <w:sz w:val="20"/>
        </w:rPr>
        <w:t>195,000 and $</w:t>
      </w:r>
      <w:bookmarkStart w:id="519" w:name="xdx_90D_eus-gaap--AmortizationOfFinancin"/>
      <w:bookmarkEnd w:id="519"/>
      <w:r>
        <w:rPr>
          <w:rFonts w:ascii="Times New Roman;Times;Serif" w:hAnsi="Times New Roman;Times;Serif"/>
          <w:b w:val="false"/>
          <w:i w:val="false"/>
          <w:caps w:val="false"/>
          <w:smallCaps w:val="false"/>
          <w:sz w:val="20"/>
        </w:rPr>
        <w:t>388,000, respectively. Interest expense related to the 2026 Notes totaled $</w:t>
      </w:r>
      <w:bookmarkStart w:id="520" w:name="xdx_90E_eus-gaap--InterestExpenseOtherLo"/>
      <w:bookmarkEnd w:id="520"/>
      <w:r>
        <w:rPr>
          <w:rFonts w:ascii="Times New Roman;Times;Serif" w:hAnsi="Times New Roman;Times;Serif"/>
          <w:b w:val="false"/>
          <w:i w:val="false"/>
          <w:caps w:val="false"/>
          <w:smallCaps w:val="false"/>
          <w:sz w:val="20"/>
        </w:rPr>
        <w:t>1,812,000 and $</w:t>
      </w:r>
      <w:bookmarkStart w:id="521" w:name="xdx_907_eus-gaap--InterestExpenseOtherLo"/>
      <w:bookmarkEnd w:id="521"/>
      <w:r>
        <w:rPr>
          <w:rFonts w:ascii="Times New Roman;Times;Serif" w:hAnsi="Times New Roman;Times;Serif"/>
          <w:b w:val="false"/>
          <w:i w:val="false"/>
          <w:caps w:val="false"/>
          <w:smallCaps w:val="false"/>
          <w:sz w:val="20"/>
        </w:rPr>
        <w:t>3,624,000 for the three and six months ended June 30, 2024, respectively, and included amortization of debt issuance costs and discount of $</w:t>
      </w:r>
      <w:bookmarkStart w:id="522" w:name="xdx_90B_eus-gaap--AmortizationOfFinancin"/>
      <w:bookmarkEnd w:id="522"/>
      <w:r>
        <w:rPr>
          <w:rFonts w:ascii="Times New Roman;Times;Serif" w:hAnsi="Times New Roman;Times;Serif"/>
          <w:b w:val="false"/>
          <w:i w:val="false"/>
          <w:caps w:val="false"/>
          <w:smallCaps w:val="false"/>
          <w:sz w:val="20"/>
        </w:rPr>
        <w:t>195,000 and $</w:t>
      </w:r>
      <w:bookmarkStart w:id="523" w:name="xdx_901_eus-gaap--AmortizationOfFinancin"/>
      <w:bookmarkEnd w:id="523"/>
      <w:r>
        <w:rPr>
          <w:rFonts w:ascii="Times New Roman;Times;Serif" w:hAnsi="Times New Roman;Times;Serif"/>
          <w:b w:val="false"/>
          <w:i w:val="false"/>
          <w:caps w:val="false"/>
          <w:smallCaps w:val="false"/>
          <w:sz w:val="20"/>
        </w:rPr>
        <w:t>390,000, respectively</w:t>
      </w:r>
    </w:p>
    <w:p>
      <w:pPr>
        <w:pStyle w:val="TextBody"/>
        <w:bidi w:val="0"/>
        <w:spacing w:before="0" w:after="0"/>
        <w:ind w:left="1080" w:right="0" w:hanging="10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HROWM - 11.875% Senior Notes Due 2027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and in January 2023, the Company closed an offering of $</w:t>
      </w:r>
      <w:bookmarkStart w:id="524" w:name="xdx_905_eus-gaap--DebtInstrumentFaceAmou"/>
      <w:bookmarkEnd w:id="524"/>
      <w:r>
        <w:rPr>
          <w:rFonts w:ascii="Times New Roman;Times;Serif" w:hAnsi="Times New Roman;Times;Serif"/>
          <w:b w:val="false"/>
          <w:i w:val="false"/>
          <w:caps w:val="false"/>
          <w:smallCaps w:val="false"/>
          <w:sz w:val="20"/>
        </w:rPr>
        <w:t>35,000,000 and $</w:t>
      </w:r>
      <w:bookmarkStart w:id="525" w:name="xdx_906_eus-gaap--DebtInstrumentFaceAmou"/>
      <w:bookmarkEnd w:id="525"/>
      <w:r>
        <w:rPr>
          <w:rFonts w:ascii="Times New Roman;Times;Serif" w:hAnsi="Times New Roman;Times;Serif"/>
          <w:b w:val="false"/>
          <w:i w:val="false"/>
          <w:caps w:val="false"/>
          <w:smallCaps w:val="false"/>
          <w:sz w:val="20"/>
        </w:rPr>
        <w:t xml:space="preserve">5,250,000, respectively, aggregate principal amount of </w:t>
      </w:r>
      <w:bookmarkStart w:id="526" w:name="xdx_908_eus-gaap--DebtInstrumentInterest"/>
      <w:bookmarkStart w:id="527" w:name="xdx_906_eus-gaap--DebtInstrumentInterest"/>
      <w:bookmarkEnd w:id="526"/>
      <w:bookmarkEnd w:id="527"/>
      <w:r>
        <w:rPr>
          <w:rFonts w:ascii="Times New Roman;Times;Serif" w:hAnsi="Times New Roman;Times;Serif"/>
          <w:b w:val="false"/>
          <w:i w:val="false"/>
          <w:caps w:val="false"/>
          <w:smallCaps w:val="false"/>
          <w:sz w:val="20"/>
        </w:rPr>
        <w:t>11.875% senior notes due in December 2027 (the “2027 Notes”). The 2027 Notes were sold to investors at a par value of $</w:t>
      </w:r>
      <w:bookmarkStart w:id="528" w:name="xdx_900_eus-gaap--SharesIssuedPricePerSh"/>
      <w:bookmarkStart w:id="529" w:name="xdx_901_eus-gaap--SharesIssuedPricePerSh"/>
      <w:bookmarkEnd w:id="528"/>
      <w:bookmarkEnd w:id="529"/>
      <w:r>
        <w:rPr>
          <w:rFonts w:ascii="Times New Roman;Times;Serif" w:hAnsi="Times New Roman;Times;Serif"/>
          <w:b w:val="false"/>
          <w:i w:val="false"/>
          <w:caps w:val="false"/>
          <w:smallCaps w:val="false"/>
          <w:sz w:val="20"/>
        </w:rPr>
        <w:t>25.00 per 2027 Note, and the offering resulted in net proceeds to the Company of approximately $</w:t>
      </w:r>
      <w:bookmarkStart w:id="530" w:name="xdx_90A_eus-gaap--ProceedsFromIssuanceOf"/>
      <w:bookmarkStart w:id="531" w:name="xdx_904_eus-gaap--ProceedsFromIssuanceOf"/>
      <w:bookmarkEnd w:id="530"/>
      <w:bookmarkEnd w:id="531"/>
      <w:r>
        <w:rPr>
          <w:rFonts w:ascii="Times New Roman;Times;Serif" w:hAnsi="Times New Roman;Times;Serif"/>
          <w:b w:val="false"/>
          <w:i w:val="false"/>
          <w:caps w:val="false"/>
          <w:smallCaps w:val="false"/>
          <w:sz w:val="20"/>
        </w:rPr>
        <w:t>36,699,000 after deducting underwriting discounts and commissions and other offering expenses of $</w:t>
      </w:r>
      <w:bookmarkStart w:id="532" w:name="xdx_90A_eus-gaap--DebtInstrumentUnamorti"/>
      <w:bookmarkStart w:id="533" w:name="xdx_904_eus-gaap--DebtInstrumentUnamorti"/>
      <w:bookmarkEnd w:id="532"/>
      <w:bookmarkEnd w:id="533"/>
      <w:r>
        <w:rPr>
          <w:rFonts w:ascii="Times New Roman;Times;Serif" w:hAnsi="Times New Roman;Times;Serif"/>
          <w:b w:val="false"/>
          <w:i w:val="false"/>
          <w:caps w:val="false"/>
          <w:smallCaps w:val="false"/>
          <w:sz w:val="20"/>
        </w:rPr>
        <w:t>3,551,000.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w:t>
      </w:r>
      <w:bookmarkStart w:id="534" w:name="xdx_900_eus-gaap--DebtInstrumentInterest"/>
      <w:bookmarkEnd w:id="534"/>
      <w:r>
        <w:rPr>
          <w:rFonts w:ascii="Times New Roman;Times;Serif" w:hAnsi="Times New Roman;Times;Serif"/>
          <w:b w:val="false"/>
          <w:i w:val="false"/>
          <w:caps w:val="false"/>
          <w:smallCaps w:val="false"/>
          <w:sz w:val="20"/>
        </w:rPr>
        <w:t xml:space="preserve">11.875% per annum. Interest on the 2027 Notes is payable quarterly in arrears on January 31, April 30, July 31 and October 31 of each year. The 2027 Notes will mature on </w:t>
      </w:r>
      <w:bookmarkStart w:id="535" w:name="xdx_90E_eus-gaap--DebtInstrumentMaturity"/>
      <w:bookmarkEnd w:id="535"/>
      <w:r>
        <w:rPr>
          <w:rFonts w:ascii="Times New Roman;Times;Serif" w:hAnsi="Times New Roman;Times;Serif"/>
          <w:b w:val="false"/>
          <w:i w:val="false"/>
          <w:caps w:val="false"/>
          <w:smallCaps w:val="false"/>
          <w:sz w:val="20"/>
        </w:rPr>
        <w:t>December 31, 2027. The issuance costs were recorded as a debt discount and are being amortized as interest expense over the term of the 2027 Notes using the effective interest rate method.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redeem the 2027 Notes for cash in whole or in part at any time at its option </w:t>
      </w:r>
      <w:bookmarkStart w:id="536" w:name="xdx_909_eus-gaap--DebtInstrumentRedempti"/>
      <w:bookmarkEnd w:id="536"/>
      <w:r>
        <w:rPr>
          <w:rFonts w:ascii="Times New Roman;Times;Serif" w:hAnsi="Times New Roman;Times;Serif"/>
          <w:b w:val="false"/>
          <w:i w:val="false"/>
          <w:caps w:val="false"/>
          <w:smallCaps w:val="false"/>
          <w:sz w:val="20"/>
        </w:rPr>
        <w:t>(i)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the occurrence of a Material Change, as defined in the Second Supplemental Indenture. The 2027 Notes trade on the Nasdaq Stock Market LLC under the symbol “HROWM.”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2027 Notes totaled $</w:t>
      </w:r>
      <w:bookmarkStart w:id="537" w:name="xdx_90D_eus-gaap--InterestExpenseOtherLo"/>
      <w:bookmarkEnd w:id="537"/>
      <w:r>
        <w:rPr>
          <w:rFonts w:ascii="Times New Roman;Times;Serif" w:hAnsi="Times New Roman;Times;Serif"/>
          <w:b w:val="false"/>
          <w:i w:val="false"/>
          <w:caps w:val="false"/>
          <w:smallCaps w:val="false"/>
          <w:sz w:val="20"/>
        </w:rPr>
        <w:t>1,373,000 and $</w:t>
      </w:r>
      <w:bookmarkStart w:id="538" w:name="xdx_902_eus-gaap--InterestExpenseOtherLo"/>
      <w:bookmarkEnd w:id="538"/>
      <w:r>
        <w:rPr>
          <w:rFonts w:ascii="Times New Roman;Times;Serif" w:hAnsi="Times New Roman;Times;Serif"/>
          <w:b w:val="false"/>
          <w:i w:val="false"/>
          <w:caps w:val="false"/>
          <w:smallCaps w:val="false"/>
          <w:sz w:val="20"/>
        </w:rPr>
        <w:t>2,744,000 for the three and six months ended June 30, 2025, respectively, and included the amortization of debt issuance costs and discount of $</w:t>
      </w:r>
      <w:bookmarkStart w:id="539" w:name="xdx_901_eus-gaap--AmortizationOfFinancin"/>
      <w:bookmarkEnd w:id="539"/>
      <w:r>
        <w:rPr>
          <w:rFonts w:ascii="Times New Roman;Times;Serif" w:hAnsi="Times New Roman;Times;Serif"/>
          <w:b w:val="false"/>
          <w:i w:val="false"/>
          <w:caps w:val="false"/>
          <w:smallCaps w:val="false"/>
          <w:sz w:val="20"/>
        </w:rPr>
        <w:t>178,000 and $</w:t>
      </w:r>
      <w:bookmarkStart w:id="540" w:name="xdx_90B_eus-gaap--AmortizationOfFinancin"/>
      <w:bookmarkEnd w:id="540"/>
      <w:r>
        <w:rPr>
          <w:rFonts w:ascii="Times New Roman;Times;Serif" w:hAnsi="Times New Roman;Times;Serif"/>
          <w:b w:val="false"/>
          <w:i w:val="false"/>
          <w:caps w:val="false"/>
          <w:smallCaps w:val="false"/>
          <w:sz w:val="20"/>
        </w:rPr>
        <w:t>354,000, respectively. Interest expense related to the 2027 Notes totaled $</w:t>
      </w:r>
      <w:bookmarkStart w:id="541" w:name="xdx_90F_eus-gaap--InterestExpenseOtherLo"/>
      <w:bookmarkEnd w:id="541"/>
      <w:r>
        <w:rPr>
          <w:rFonts w:ascii="Times New Roman;Times;Serif" w:hAnsi="Times New Roman;Times;Serif"/>
          <w:b w:val="false"/>
          <w:i w:val="false"/>
          <w:caps w:val="false"/>
          <w:smallCaps w:val="false"/>
          <w:sz w:val="20"/>
        </w:rPr>
        <w:t>1,373,000 and $</w:t>
      </w:r>
      <w:bookmarkStart w:id="542" w:name="xdx_907_eus-gaap--InterestExpenseOtherLo"/>
      <w:bookmarkEnd w:id="542"/>
      <w:r>
        <w:rPr>
          <w:rFonts w:ascii="Times New Roman;Times;Serif" w:hAnsi="Times New Roman;Times;Serif"/>
          <w:b w:val="false"/>
          <w:i w:val="false"/>
          <w:caps w:val="false"/>
          <w:smallCaps w:val="false"/>
          <w:sz w:val="20"/>
        </w:rPr>
        <w:t>2,746,000 for the three and six months ended June 30, 2024, respectively, and included the amortization of debt issuance costs and discount of $</w:t>
      </w:r>
      <w:bookmarkStart w:id="543" w:name="xdx_90F_eus-gaap--AmortizationOfFinancin"/>
      <w:bookmarkEnd w:id="543"/>
      <w:r>
        <w:rPr>
          <w:rFonts w:ascii="Times New Roman;Times;Serif" w:hAnsi="Times New Roman;Times;Serif"/>
          <w:b w:val="false"/>
          <w:i w:val="false"/>
          <w:caps w:val="false"/>
          <w:smallCaps w:val="false"/>
          <w:sz w:val="20"/>
        </w:rPr>
        <w:t>178,000 and $</w:t>
      </w:r>
      <w:bookmarkStart w:id="544" w:name="xdx_900_eus-gaap--AmortizationOfFinancin"/>
      <w:bookmarkEnd w:id="544"/>
      <w:r>
        <w:rPr>
          <w:rFonts w:ascii="Times New Roman;Times;Serif" w:hAnsi="Times New Roman;Times;Serif"/>
          <w:b w:val="false"/>
          <w:i w:val="false"/>
          <w:caps w:val="false"/>
          <w:smallCaps w:val="false"/>
          <w:sz w:val="20"/>
        </w:rPr>
        <w:t>356,000,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45" w:name="xdx_894_eus-gaap--ScheduleOfDebtInstrume"/>
      <w:bookmarkEnd w:id="545"/>
      <w:r>
        <w:rPr>
          <w:rFonts w:ascii="Times New Roman;Times;Serif" w:hAnsi="Times New Roman;Times;Serif"/>
          <w:b w:val="false"/>
          <w:i w:val="false"/>
          <w:caps w:val="false"/>
          <w:smallCaps w:val="false"/>
          <w:sz w:val="20"/>
        </w:rPr>
        <w:t>A summary of the Company’s current portion of debt at June 30, 2025 and December 31, 2024 is described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46" w:name="xdx_8B1_zhiwOEdbSB7a"/>
      <w:bookmarkEnd w:id="546"/>
      <w:r>
        <w:rPr>
          <w:rFonts w:ascii="Times New Roman;Times;Serif" w:hAnsi="Times New Roman;Times;Serif"/>
          <w:b w:val="false"/>
          <w:i w:val="false"/>
          <w:caps w:val="false"/>
          <w:smallCaps w:val="false"/>
          <w:sz w:val="20"/>
        </w:rPr>
        <w:t>SCHEDULE OF LONG TERM DEBT</w:t>
      </w:r>
    </w:p>
    <w:tbl>
      <w:tblPr>
        <w:tblW w:w="6729" w:type="dxa"/>
        <w:jc w:val="left"/>
        <w:tblInd w:w="0" w:type="dxa"/>
        <w:tblLayout w:type="fixed"/>
        <w:tblCellMar>
          <w:top w:w="0" w:type="dxa"/>
          <w:left w:w="0" w:type="dxa"/>
          <w:bottom w:w="0" w:type="dxa"/>
          <w:right w:w="0" w:type="dxa"/>
        </w:tblCellMar>
      </w:tblPr>
      <w:tblGrid>
        <w:gridCol w:w="3665"/>
        <w:gridCol w:w="60"/>
        <w:gridCol w:w="140"/>
        <w:gridCol w:w="1220"/>
        <w:gridCol w:w="95"/>
        <w:gridCol w:w="60"/>
        <w:gridCol w:w="276"/>
        <w:gridCol w:w="1138"/>
        <w:gridCol w:w="75"/>
      </w:tblGrid>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47" w:name="xdx_49F_20250630_znF6STgVH3Nj"/>
            <w:bookmarkEnd w:id="547"/>
          </w:p>
        </w:tc>
        <w:tc>
          <w:tcPr>
            <w:tcW w:w="136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8" w:name="xdx_49E_20241231_zlce6Bxs114g"/>
            <w:bookmarkEnd w:id="548"/>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49" w:name="xdx_401_ecustom--NotesPayableCurrentGros"/>
            <w:bookmarkEnd w:id="549"/>
          </w:p>
        </w:tc>
      </w:tr>
      <w:tr>
        <w:trPr/>
        <w:tc>
          <w:tcPr>
            <w:tcW w:w="3665" w:type="dxa"/>
            <w:tcBorders/>
            <w:shd w:fill="CCEEFF" w:val="clear"/>
            <w:vAlign w:val="center"/>
          </w:tcPr>
          <w:p>
            <w:pPr>
              <w:pStyle w:val="TableContents"/>
              <w:bidi w:val="0"/>
              <w:spacing w:before="0" w:after="283"/>
              <w:jc w:val="both"/>
              <w:rPr/>
            </w:pPr>
            <w:r>
              <w:rPr/>
              <w:t xml:space="preserve">Oaktree Loan due </w:t>
            </w:r>
            <w:bookmarkStart w:id="550" w:name="xdx_90D_eus-gaap--DebtInstrumentMaturity"/>
            <w:bookmarkEnd w:id="550"/>
            <w:r>
              <w:rPr/>
              <w:t>January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111,263,000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bookmarkStart w:id="551" w:name="xdx_404_ecustom--LongTermNotesPayableGro"/>
            <w:bookmarkEnd w:id="551"/>
          </w:p>
        </w:tc>
      </w:tr>
      <w:tr>
        <w:trPr/>
        <w:tc>
          <w:tcPr>
            <w:tcW w:w="3665" w:type="dxa"/>
            <w:tcBorders/>
            <w:shd w:fill="FFFFFF" w:val="clear"/>
            <w:vAlign w:val="center"/>
          </w:tcPr>
          <w:p>
            <w:pPr>
              <w:pStyle w:val="TableContents"/>
              <w:bidi w:val="0"/>
              <w:spacing w:before="0" w:after="283"/>
              <w:jc w:val="both"/>
              <w:rPr/>
            </w:pPr>
            <w:r>
              <w:rPr/>
              <w:t>8.625% Senior Notes due April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52" w:name="xdx_40C_ecustom--NotesPayableCurrentGros"/>
            <w:bookmarkEnd w:id="552"/>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current, gross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186,263,000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53" w:name="xdx_405_eus-gaap--DebtInstrumentUnamorti"/>
            <w:bookmarkEnd w:id="553"/>
          </w:p>
        </w:tc>
      </w:tr>
      <w:tr>
        <w:trPr/>
        <w:tc>
          <w:tcPr>
            <w:tcW w:w="3665" w:type="dxa"/>
            <w:tcBorders/>
            <w:shd w:fill="FFFFFF" w:val="clear"/>
            <w:vAlign w:val="center"/>
          </w:tcPr>
          <w:p>
            <w:pPr>
              <w:pStyle w:val="TableContents"/>
              <w:bidi w:val="0"/>
              <w:spacing w:before="0" w:after="283"/>
              <w:jc w:val="both"/>
              <w:rPr/>
            </w:pPr>
            <w:r>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(2,644,000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54" w:name="xdx_404_eus-gaap--NotesPayableCurrent_iI"/>
            <w:bookmarkEnd w:id="554"/>
          </w:p>
        </w:tc>
      </w:tr>
      <w:tr>
        <w:trPr/>
        <w:tc>
          <w:tcPr>
            <w:tcW w:w="36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Notes payable current,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183,619,000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non-current portion of debt at June 30, 2025 and December 31, 2024 is described as follows: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139" w:type="dxa"/>
        <w:jc w:val="left"/>
        <w:tblInd w:w="0" w:type="dxa"/>
        <w:tblLayout w:type="fixed"/>
        <w:tblCellMar>
          <w:top w:w="0" w:type="dxa"/>
          <w:left w:w="0" w:type="dxa"/>
          <w:bottom w:w="0" w:type="dxa"/>
          <w:right w:w="0" w:type="dxa"/>
        </w:tblCellMar>
      </w:tblPr>
      <w:tblGrid>
        <w:gridCol w:w="4160"/>
        <w:gridCol w:w="60"/>
        <w:gridCol w:w="140"/>
        <w:gridCol w:w="1100"/>
        <w:gridCol w:w="95"/>
        <w:gridCol w:w="60"/>
        <w:gridCol w:w="145"/>
        <w:gridCol w:w="1269"/>
        <w:gridCol w:w="110"/>
      </w:tblGrid>
      <w:tr>
        <w:trPr/>
        <w:tc>
          <w:tcPr>
            <w:tcW w:w="4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55" w:name="xdx_49B_20250630_zhXEXwMrIVf8"/>
            <w:bookmarkEnd w:id="555"/>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6" w:name="xdx_49E_20241231_z4efTSOXyksk"/>
            <w:bookmarkEnd w:id="556"/>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57" w:name="xdx_409_ecustom--LongTermNotesPayableGro"/>
            <w:bookmarkEnd w:id="557"/>
          </w:p>
        </w:tc>
      </w:tr>
      <w:tr>
        <w:trPr/>
        <w:tc>
          <w:tcPr>
            <w:tcW w:w="4160" w:type="dxa"/>
            <w:tcBorders/>
            <w:shd w:fill="CCEEFF" w:val="clear"/>
            <w:vAlign w:val="center"/>
          </w:tcPr>
          <w:p>
            <w:pPr>
              <w:pStyle w:val="TableContents"/>
              <w:bidi w:val="0"/>
              <w:spacing w:before="0" w:after="283"/>
              <w:jc w:val="both"/>
              <w:rPr/>
            </w:pPr>
            <w:r>
              <w:rPr/>
              <w:t xml:space="preserve">8.625% Senior Notes due </w:t>
            </w:r>
            <w:bookmarkStart w:id="558" w:name="xdx_909_eus-gaap--DebtInstrumentMaturity"/>
            <w:bookmarkEnd w:id="558"/>
            <w:r>
              <w:rPr/>
              <w:t>April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75,000,000</w:t>
            </w:r>
          </w:p>
        </w:tc>
        <w:tc>
          <w:tcPr>
            <w:tcW w:w="110" w:type="dxa"/>
            <w:tcBorders/>
            <w:shd w:fill="CCEEFF" w:val="clear"/>
            <w:vAlign w:val="center"/>
          </w:tcPr>
          <w:p>
            <w:pPr>
              <w:pStyle w:val="TableContents"/>
              <w:bidi w:val="0"/>
              <w:spacing w:before="0" w:after="283"/>
              <w:jc w:val="left"/>
              <w:rPr/>
            </w:pPr>
            <w:r>
              <w:rPr/>
              <w:t> </w:t>
            </w:r>
            <w:bookmarkStart w:id="559" w:name="xdx_401_ecustom--LongTermNotesPayableGro"/>
            <w:bookmarkEnd w:id="559"/>
          </w:p>
        </w:tc>
      </w:tr>
      <w:tr>
        <w:trPr/>
        <w:tc>
          <w:tcPr>
            <w:tcW w:w="4160" w:type="dxa"/>
            <w:tcBorders/>
            <w:shd w:fill="FFFFFF" w:val="clear"/>
            <w:vAlign w:val="center"/>
          </w:tcPr>
          <w:p>
            <w:pPr>
              <w:pStyle w:val="TableContents"/>
              <w:bidi w:val="0"/>
              <w:spacing w:before="0" w:after="283"/>
              <w:jc w:val="both"/>
              <w:rPr/>
            </w:pPr>
            <w:r>
              <w:rPr/>
              <w:t xml:space="preserve">11.875% Senior Notes due </w:t>
            </w:r>
            <w:bookmarkStart w:id="560" w:name="xdx_90C_eus-gaap--DebtInstrumentMaturity"/>
            <w:bookmarkEnd w:id="560"/>
            <w:r>
              <w:rPr/>
              <w:t>December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40,250,000</w:t>
            </w:r>
          </w:p>
        </w:tc>
        <w:tc>
          <w:tcPr>
            <w:tcW w:w="110" w:type="dxa"/>
            <w:tcBorders/>
            <w:shd w:fill="FFFFFF" w:val="clear"/>
            <w:vAlign w:val="center"/>
          </w:tcPr>
          <w:p>
            <w:pPr>
              <w:pStyle w:val="TableContents"/>
              <w:bidi w:val="0"/>
              <w:spacing w:before="0" w:after="283"/>
              <w:jc w:val="left"/>
              <w:rPr/>
            </w:pPr>
            <w:r>
              <w:rPr/>
              <w:t> </w:t>
            </w:r>
            <w:bookmarkStart w:id="561" w:name="xdx_40A_ecustom--LongTermNotesPayableGro"/>
            <w:bookmarkEnd w:id="561"/>
          </w:p>
        </w:tc>
      </w:tr>
      <w:tr>
        <w:trPr/>
        <w:tc>
          <w:tcPr>
            <w:tcW w:w="4160" w:type="dxa"/>
            <w:tcBorders/>
            <w:shd w:fill="CCEEFF" w:val="clear"/>
            <w:vAlign w:val="center"/>
          </w:tcPr>
          <w:p>
            <w:pPr>
              <w:pStyle w:val="TableContents"/>
              <w:bidi w:val="0"/>
              <w:spacing w:before="0" w:after="283"/>
              <w:jc w:val="both"/>
              <w:rPr/>
            </w:pPr>
            <w:r>
              <w:rPr/>
              <w:t xml:space="preserve">Oaktree Loan due </w:t>
            </w:r>
            <w:bookmarkStart w:id="562" w:name="xdx_908_eus-gaap--DebtInstrumentMaturity"/>
            <w:bookmarkEnd w:id="562"/>
            <w:r>
              <w:rPr/>
              <w:t>January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111,263,000</w:t>
            </w:r>
          </w:p>
        </w:tc>
        <w:tc>
          <w:tcPr>
            <w:tcW w:w="110" w:type="dxa"/>
            <w:tcBorders/>
            <w:shd w:fill="CCEEFF" w:val="clear"/>
            <w:vAlign w:val="center"/>
          </w:tcPr>
          <w:p>
            <w:pPr>
              <w:pStyle w:val="TableContents"/>
              <w:bidi w:val="0"/>
              <w:spacing w:before="0" w:after="283"/>
              <w:jc w:val="left"/>
              <w:rPr/>
            </w:pPr>
            <w:r>
              <w:rPr/>
              <w:t> </w:t>
            </w:r>
            <w:bookmarkStart w:id="563" w:name="xdx_400_ecustom--LongTermNotesPayableGro"/>
            <w:bookmarkEnd w:id="563"/>
          </w:p>
        </w:tc>
      </w:tr>
      <w:tr>
        <w:trPr/>
        <w:tc>
          <w:tcPr>
            <w:tcW w:w="41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Notes payable non-current,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226,513,000</w:t>
            </w:r>
          </w:p>
        </w:tc>
        <w:tc>
          <w:tcPr>
            <w:tcW w:w="110" w:type="dxa"/>
            <w:tcBorders/>
            <w:shd w:fill="FFFFFF" w:val="clear"/>
            <w:vAlign w:val="center"/>
          </w:tcPr>
          <w:p>
            <w:pPr>
              <w:pStyle w:val="TableContents"/>
              <w:bidi w:val="0"/>
              <w:spacing w:before="0" w:after="283"/>
              <w:jc w:val="left"/>
              <w:rPr/>
            </w:pPr>
            <w:r>
              <w:rPr/>
              <w:t> </w:t>
            </w:r>
            <w:bookmarkStart w:id="564" w:name="xdx_408_eus-gaap--DebtInstrumentUnamorti"/>
            <w:bookmarkEnd w:id="564"/>
          </w:p>
        </w:tc>
      </w:tr>
      <w:tr>
        <w:trPr/>
        <w:tc>
          <w:tcPr>
            <w:tcW w:w="4160" w:type="dxa"/>
            <w:tcBorders/>
            <w:shd w:fill="CCEEFF" w:val="clear"/>
            <w:vAlign w:val="center"/>
          </w:tcPr>
          <w:p>
            <w:pPr>
              <w:pStyle w:val="TableContents"/>
              <w:bidi w:val="0"/>
              <w:spacing w:before="0" w:after="283"/>
              <w:jc w:val="both"/>
              <w:rPr/>
            </w:pPr>
            <w:r>
              <w:rPr/>
              <w:t>Less: Unamortized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(1,766,000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(6,974,000</w:t>
            </w:r>
          </w:p>
        </w:tc>
        <w:tc>
          <w:tcPr>
            <w:tcW w:w="110" w:type="dxa"/>
            <w:tcBorders/>
            <w:shd w:fill="CCEEFF" w:val="clear"/>
            <w:vAlign w:val="center"/>
          </w:tcPr>
          <w:p>
            <w:pPr>
              <w:pStyle w:val="TableContents"/>
              <w:bidi w:val="0"/>
              <w:spacing w:before="0" w:after="283"/>
              <w:jc w:val="left"/>
              <w:rPr/>
            </w:pPr>
            <w:r>
              <w:rPr/>
              <w:t>)</w:t>
            </w:r>
            <w:bookmarkStart w:id="565" w:name="xdx_402_eus-gaap--LongTermNotesPayable_i"/>
            <w:bookmarkEnd w:id="565"/>
          </w:p>
        </w:tc>
      </w:tr>
      <w:tr>
        <w:trPr/>
        <w:tc>
          <w:tcPr>
            <w:tcW w:w="41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Notes payable non-current,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38,484,000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pPr>
            <w:r>
              <w:rPr/>
              <w:t>219,539,000</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566" w:name="xdx_8A5_z1sOBikdT8S3"/>
      <w:bookmarkEnd w:id="56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2025, the total effective interest rate of the Company’s debt was </w:t>
      </w:r>
      <w:bookmarkStart w:id="567" w:name="xdx_906_eus-gaap--DebtInstrumentInterest"/>
      <w:bookmarkEnd w:id="567"/>
      <w:r>
        <w:rPr>
          <w:rFonts w:ascii="Times New Roman;Times;Serif" w:hAnsi="Times New Roman;Times;Serif"/>
          <w:b w:val="false"/>
          <w:i w:val="false"/>
          <w:caps w:val="false"/>
          <w:smallCaps w:val="false"/>
          <w:sz w:val="20"/>
        </w:rPr>
        <w:t xml:space="preserve">10.65% and </w:t>
      </w:r>
      <w:bookmarkStart w:id="568" w:name="xdx_90D_eus-gaap--DebtInstrumentInterest"/>
      <w:bookmarkEnd w:id="568"/>
      <w:r>
        <w:rPr>
          <w:rFonts w:ascii="Times New Roman;Times;Serif" w:hAnsi="Times New Roman;Times;Serif"/>
          <w:b w:val="false"/>
          <w:i w:val="false"/>
          <w:caps w:val="false"/>
          <w:smallCaps w:val="false"/>
          <w:sz w:val="20"/>
        </w:rPr>
        <w:t xml:space="preserve">10.74%, respectively, and </w:t>
      </w:r>
      <w:bookmarkStart w:id="569" w:name="xdx_90B_eus-gaap--DebtInstrumentInterest"/>
      <w:bookmarkEnd w:id="569"/>
      <w:r>
        <w:rPr>
          <w:rFonts w:ascii="Times New Roman;Times;Serif" w:hAnsi="Times New Roman;Times;Serif"/>
          <w:b w:val="false"/>
          <w:i w:val="false"/>
          <w:caps w:val="false"/>
          <w:smallCaps w:val="false"/>
          <w:sz w:val="20"/>
        </w:rPr>
        <w:t xml:space="preserve">10.78% and </w:t>
      </w:r>
      <w:bookmarkStart w:id="570" w:name="xdx_908_eus-gaap--DebtInstrumentInterest"/>
      <w:bookmarkEnd w:id="570"/>
      <w:r>
        <w:rPr>
          <w:rFonts w:ascii="Times New Roman;Times;Serif" w:hAnsi="Times New Roman;Times;Serif"/>
          <w:b w:val="false"/>
          <w:i w:val="false"/>
          <w:caps w:val="false"/>
          <w:smallCaps w:val="false"/>
          <w:sz w:val="20"/>
        </w:rPr>
        <w:t>10.88% for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1" w:name="xdx_89A_eus-gaap--ScheduleOfMaturitiesOf"/>
      <w:bookmarkEnd w:id="571"/>
      <w:r>
        <w:rPr>
          <w:rFonts w:ascii="Times New Roman;Times;Serif" w:hAnsi="Times New Roman;Times;Serif"/>
          <w:b w:val="false"/>
          <w:i w:val="false"/>
          <w:caps w:val="false"/>
          <w:smallCaps w:val="false"/>
          <w:sz w:val="20"/>
        </w:rPr>
        <w:t>At June 30, 2025, future minimum payments under the Company’s debt were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72" w:name="xdx_8B7_zgjgu7NeJwyf"/>
      <w:bookmarkEnd w:id="572"/>
      <w:r>
        <w:rPr>
          <w:rFonts w:ascii="Times New Roman;Times;Serif" w:hAnsi="Times New Roman;Times;Serif"/>
          <w:b w:val="false"/>
          <w:i w:val="false"/>
          <w:caps w:val="false"/>
          <w:smallCaps w:val="false"/>
          <w:sz w:val="20"/>
        </w:rPr>
        <w:t>SCHEDULE OF FUTURE MINIMUM PAYMENT UNDER NOTES PAYABLES</w:t>
      </w:r>
    </w:p>
    <w:tbl>
      <w:tblPr>
        <w:tblW w:w="7850" w:type="dxa"/>
        <w:jc w:val="left"/>
        <w:tblInd w:w="0" w:type="dxa"/>
        <w:tblLayout w:type="fixed"/>
        <w:tblCellMar>
          <w:top w:w="0" w:type="dxa"/>
          <w:left w:w="0" w:type="dxa"/>
          <w:bottom w:w="0" w:type="dxa"/>
          <w:right w:w="0" w:type="dxa"/>
        </w:tblCellMar>
      </w:tblPr>
      <w:tblGrid>
        <w:gridCol w:w="6245"/>
        <w:gridCol w:w="60"/>
        <w:gridCol w:w="140"/>
        <w:gridCol w:w="1295"/>
        <w:gridCol w:w="110"/>
      </w:tblGrid>
      <w:tr>
        <w:trPr/>
        <w:tc>
          <w:tcPr>
            <w:tcW w:w="62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73" w:name="xdx_49F_20250630_zaW3tlEJ7aG4"/>
            <w:bookmarkEnd w:id="573"/>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574" w:name="xdx_406_eus-gaap--LongTermDebtMaturities"/>
            <w:bookmarkEnd w:id="574"/>
          </w:p>
        </w:tc>
      </w:tr>
      <w:tr>
        <w:trPr/>
        <w:tc>
          <w:tcPr>
            <w:tcW w:w="6245" w:type="dxa"/>
            <w:tcBorders/>
            <w:shd w:fill="CCEEFF" w:val="clear"/>
            <w:vAlign w:val="center"/>
          </w:tcPr>
          <w:p>
            <w:pPr>
              <w:pStyle w:val="TableContents"/>
              <w:bidi w:val="0"/>
              <w:spacing w:before="0" w:after="283"/>
              <w:jc w:val="both"/>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11,770,000</w:t>
            </w:r>
          </w:p>
        </w:tc>
        <w:tc>
          <w:tcPr>
            <w:tcW w:w="110" w:type="dxa"/>
            <w:tcBorders/>
            <w:shd w:fill="CCEEFF" w:val="clear"/>
            <w:vAlign w:val="center"/>
          </w:tcPr>
          <w:p>
            <w:pPr>
              <w:pStyle w:val="TableContents"/>
              <w:bidi w:val="0"/>
              <w:spacing w:before="0" w:after="283"/>
              <w:jc w:val="left"/>
              <w:rPr/>
            </w:pPr>
            <w:r>
              <w:rPr/>
              <w:t> </w:t>
            </w:r>
            <w:bookmarkStart w:id="575" w:name="xdx_40C_eus-gaap--LongTermDebtMaturities"/>
            <w:bookmarkEnd w:id="575"/>
          </w:p>
        </w:tc>
      </w:tr>
      <w:tr>
        <w:trPr/>
        <w:tc>
          <w:tcPr>
            <w:tcW w:w="6245"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193,820,000</w:t>
            </w:r>
          </w:p>
        </w:tc>
        <w:tc>
          <w:tcPr>
            <w:tcW w:w="110" w:type="dxa"/>
            <w:tcBorders/>
            <w:shd w:fill="FFFFFF" w:val="clear"/>
            <w:vAlign w:val="center"/>
          </w:tcPr>
          <w:p>
            <w:pPr>
              <w:pStyle w:val="TableContents"/>
              <w:bidi w:val="0"/>
              <w:spacing w:before="0" w:after="283"/>
              <w:jc w:val="left"/>
              <w:rPr/>
            </w:pPr>
            <w:r>
              <w:rPr/>
              <w:t> </w:t>
            </w:r>
            <w:bookmarkStart w:id="576" w:name="xdx_409_eus-gaap--LongTermDebtMaturities"/>
            <w:bookmarkEnd w:id="576"/>
          </w:p>
        </w:tc>
      </w:tr>
      <w:tr>
        <w:trPr/>
        <w:tc>
          <w:tcPr>
            <w:tcW w:w="6245"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45,030,000</w:t>
            </w:r>
          </w:p>
        </w:tc>
        <w:tc>
          <w:tcPr>
            <w:tcW w:w="110" w:type="dxa"/>
            <w:tcBorders/>
            <w:shd w:fill="CCEEFF" w:val="clear"/>
            <w:vAlign w:val="center"/>
          </w:tcPr>
          <w:p>
            <w:pPr>
              <w:pStyle w:val="TableContents"/>
              <w:bidi w:val="0"/>
              <w:spacing w:before="0" w:after="283"/>
              <w:jc w:val="left"/>
              <w:rPr/>
            </w:pPr>
            <w:r>
              <w:rPr/>
              <w:t> </w:t>
            </w:r>
            <w:bookmarkStart w:id="577" w:name="xdx_403_eus-gaap--LongTermDebt_iTI_mtCzg"/>
            <w:bookmarkEnd w:id="577"/>
          </w:p>
        </w:tc>
      </w:tr>
      <w:tr>
        <w:trPr/>
        <w:tc>
          <w:tcPr>
            <w:tcW w:w="6245" w:type="dxa"/>
            <w:tcBorders/>
            <w:shd w:fill="FFFFFF" w:val="clear"/>
            <w:vAlign w:val="center"/>
          </w:tcPr>
          <w:p>
            <w:pPr>
              <w:pStyle w:val="TableContents"/>
              <w:bidi w:val="0"/>
              <w:spacing w:before="0" w:after="283"/>
              <w:jc w:val="both"/>
              <w:rPr/>
            </w:pPr>
            <w:r>
              <w:rPr/>
              <w:t>Total minimum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250,620,000</w:t>
            </w:r>
          </w:p>
        </w:tc>
        <w:tc>
          <w:tcPr>
            <w:tcW w:w="110" w:type="dxa"/>
            <w:tcBorders/>
            <w:shd w:fill="FFFFFF" w:val="clear"/>
            <w:vAlign w:val="center"/>
          </w:tcPr>
          <w:p>
            <w:pPr>
              <w:pStyle w:val="TableContents"/>
              <w:bidi w:val="0"/>
              <w:spacing w:before="0" w:after="283"/>
              <w:jc w:val="left"/>
              <w:rPr/>
            </w:pPr>
            <w:r>
              <w:rPr/>
              <w:t> </w:t>
            </w:r>
            <w:bookmarkStart w:id="578" w:name="xdx_40C_eus-gaap--PrepaidInterest_iNI_di"/>
            <w:bookmarkEnd w:id="578"/>
          </w:p>
        </w:tc>
      </w:tr>
      <w:tr>
        <w:trPr/>
        <w:tc>
          <w:tcPr>
            <w:tcW w:w="6245" w:type="dxa"/>
            <w:tcBorders/>
            <w:shd w:fill="CCEEFF" w:val="clear"/>
            <w:vAlign w:val="center"/>
          </w:tcPr>
          <w:p>
            <w:pPr>
              <w:pStyle w:val="TableContents"/>
              <w:bidi w:val="0"/>
              <w:spacing w:before="0" w:after="283"/>
              <w:jc w:val="both"/>
              <w:rPr/>
            </w:pPr>
            <w:r>
              <w:rPr/>
              <w:t>Less: amount representing interest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(24,107,000</w:t>
            </w:r>
          </w:p>
        </w:tc>
        <w:tc>
          <w:tcPr>
            <w:tcW w:w="110" w:type="dxa"/>
            <w:tcBorders/>
            <w:shd w:fill="CCEEFF" w:val="clear"/>
            <w:vAlign w:val="center"/>
          </w:tcPr>
          <w:p>
            <w:pPr>
              <w:pStyle w:val="TableContents"/>
              <w:bidi w:val="0"/>
              <w:spacing w:before="0" w:after="283"/>
              <w:jc w:val="left"/>
              <w:rPr/>
            </w:pPr>
            <w:r>
              <w:rPr/>
              <w:t>)</w:t>
            </w:r>
            <w:bookmarkStart w:id="579" w:name="xdx_401_eus-gaap--DebtInstrumentCarrying"/>
            <w:bookmarkEnd w:id="579"/>
          </w:p>
        </w:tc>
      </w:tr>
      <w:tr>
        <w:trPr/>
        <w:tc>
          <w:tcPr>
            <w:tcW w:w="6245" w:type="dxa"/>
            <w:tcBorders/>
            <w:shd w:fill="FFFFFF" w:val="clear"/>
            <w:vAlign w:val="center"/>
          </w:tcPr>
          <w:p>
            <w:pPr>
              <w:pStyle w:val="TableContents"/>
              <w:bidi w:val="0"/>
              <w:spacing w:before="0" w:after="283"/>
              <w:jc w:val="both"/>
              <w:rPr/>
            </w:pPr>
            <w:r>
              <w:rPr/>
              <w:t>Notes payable, gross principal amount due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226,513,000</w:t>
            </w:r>
          </w:p>
        </w:tc>
        <w:tc>
          <w:tcPr>
            <w:tcW w:w="110" w:type="dxa"/>
            <w:tcBorders/>
            <w:shd w:fill="FFFFFF" w:val="clear"/>
            <w:vAlign w:val="center"/>
          </w:tcPr>
          <w:p>
            <w:pPr>
              <w:pStyle w:val="TableContents"/>
              <w:bidi w:val="0"/>
              <w:spacing w:before="0" w:after="283"/>
              <w:jc w:val="left"/>
              <w:rPr/>
            </w:pPr>
            <w:r>
              <w:rPr/>
              <w:t> </w:t>
            </w:r>
            <w:bookmarkStart w:id="580" w:name="xdx_400_eus-gaap--NotesPayableCurrent_iN"/>
            <w:bookmarkEnd w:id="580"/>
          </w:p>
        </w:tc>
      </w:tr>
      <w:tr>
        <w:trPr/>
        <w:tc>
          <w:tcPr>
            <w:tcW w:w="6245" w:type="dxa"/>
            <w:tcBorders/>
            <w:shd w:fill="CCEEFF" w:val="clear"/>
            <w:vAlign w:val="center"/>
          </w:tcPr>
          <w:p>
            <w:pPr>
              <w:pStyle w:val="TableContents"/>
              <w:bidi w:val="0"/>
              <w:spacing w:before="0" w:after="283"/>
              <w:jc w:val="both"/>
              <w:rPr/>
            </w:pPr>
            <w:r>
              <w:rPr/>
              <w:t>Less: current portion, net of unamortized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(183,619,000</w:t>
            </w:r>
          </w:p>
        </w:tc>
        <w:tc>
          <w:tcPr>
            <w:tcW w:w="110" w:type="dxa"/>
            <w:tcBorders/>
            <w:shd w:fill="CCEEFF" w:val="clear"/>
            <w:vAlign w:val="center"/>
          </w:tcPr>
          <w:p>
            <w:pPr>
              <w:pStyle w:val="TableContents"/>
              <w:bidi w:val="0"/>
              <w:spacing w:before="0" w:after="283"/>
              <w:jc w:val="left"/>
              <w:rPr/>
            </w:pPr>
            <w:r>
              <w:rPr/>
              <w:t>)</w:t>
            </w:r>
            <w:bookmarkStart w:id="581" w:name="xdx_40F_eus-gaap--DebtInstrumentUnamorti"/>
            <w:bookmarkEnd w:id="581"/>
          </w:p>
        </w:tc>
      </w:tr>
      <w:tr>
        <w:trPr/>
        <w:tc>
          <w:tcPr>
            <w:tcW w:w="6245" w:type="dxa"/>
            <w:tcBorders/>
            <w:shd w:fill="FFFFFF" w:val="clear"/>
            <w:vAlign w:val="center"/>
          </w:tcPr>
          <w:p>
            <w:pPr>
              <w:pStyle w:val="TableContents"/>
              <w:bidi w:val="0"/>
              <w:spacing w:before="0" w:after="283"/>
              <w:jc w:val="both"/>
              <w:rPr/>
            </w:pPr>
            <w:r>
              <w:rPr/>
              <w:t>Less: unamortized debt issuance costs, net of premium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(4,410,000</w:t>
            </w:r>
          </w:p>
        </w:tc>
        <w:tc>
          <w:tcPr>
            <w:tcW w:w="110" w:type="dxa"/>
            <w:tcBorders/>
            <w:shd w:fill="FFFFFF" w:val="clear"/>
            <w:vAlign w:val="center"/>
          </w:tcPr>
          <w:p>
            <w:pPr>
              <w:pStyle w:val="TableContents"/>
              <w:bidi w:val="0"/>
              <w:spacing w:before="0" w:after="283"/>
              <w:jc w:val="left"/>
              <w:rPr/>
            </w:pPr>
            <w:r>
              <w:rPr/>
              <w:t>)</w:t>
            </w:r>
            <w:bookmarkStart w:id="582" w:name="xdx_40F_eus-gaap--LongTermNotesPayable_i"/>
            <w:bookmarkEnd w:id="582"/>
          </w:p>
        </w:tc>
      </w:tr>
      <w:tr>
        <w:trPr/>
        <w:tc>
          <w:tcPr>
            <w:tcW w:w="6245" w:type="dxa"/>
            <w:tcBorders/>
            <w:shd w:fill="CCEEFF" w:val="clear"/>
            <w:vAlign w:val="center"/>
          </w:tcPr>
          <w:p>
            <w:pPr>
              <w:pStyle w:val="TableContents"/>
              <w:bidi w:val="0"/>
              <w:spacing w:before="0" w:after="283"/>
              <w:jc w:val="both"/>
              <w:rPr/>
            </w:pPr>
            <w:r>
              <w:rPr/>
              <w:t>Notes payable, net of unamortized discount,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38,484,000</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583" w:name="xdx_8A5_zwo6mT3jopEi"/>
      <w:bookmarkEnd w:id="58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4" w:name="xdx_80B_eus-gaap--LesseeOperatingLeasesT"/>
      <w:bookmarkEnd w:id="584"/>
      <w:r>
        <w:rPr>
          <w:rFonts w:ascii="Times New Roman;Times;Serif" w:hAnsi="Times New Roman;Times;Serif"/>
          <w:b/>
          <w:i w:val="false"/>
          <w:caps w:val="false"/>
          <w:smallCaps w:val="false"/>
          <w:sz w:val="20"/>
        </w:rPr>
        <w:t xml:space="preserve">NOTE 11. </w:t>
      </w:r>
      <w:bookmarkStart w:id="585" w:name="xdx_824_zaOZg2VzgIS7"/>
      <w:bookmarkEnd w:id="585"/>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and laboratory space under the non-cancelable operating leases listed below. Except as indicated, these lease agreements have remaining terms between two</w:t>
      </w:r>
      <w:bookmarkStart w:id="586" w:name="xdx_904_eus-gaap--LesseeOperatingLeaseRe"/>
      <w:bookmarkEnd w:id="586"/>
      <w:r>
        <w:rPr>
          <w:rFonts w:ascii="Times New Roman;Times;Serif" w:hAnsi="Times New Roman;Times;Serif"/>
          <w:b w:val="false"/>
          <w:i w:val="false"/>
          <w:caps w:val="false"/>
          <w:smallCaps w:val="false"/>
          <w:sz w:val="20"/>
        </w:rPr>
        <w:t xml:space="preserve">2 to </w:t>
      </w:r>
      <w:bookmarkStart w:id="587" w:name="xdx_901_eus-gaap--LesseeOperatingLeaseRe"/>
      <w:bookmarkEnd w:id="587"/>
      <w:r>
        <w:rPr>
          <w:rFonts w:ascii="Times New Roman;Times;Serif" w:hAnsi="Times New Roman;Times;Serif"/>
          <w:b w:val="false"/>
          <w:i w:val="false"/>
          <w:caps w:val="false"/>
          <w:smallCaps w:val="false"/>
          <w:sz w:val="20"/>
        </w:rPr>
        <w:t>seven years and contain various clauses for renewal at the Company’s option.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88" w:name="xdx_904_eus-gaap--AreaOfLand_iI_uSquareF"/>
            <w:bookmarkEnd w:id="588"/>
            <w:r>
              <w:rPr>
                <w:rFonts w:ascii="Times New Roman;Times;Serif" w:hAnsi="Times New Roman;Times;Serif"/>
                <w:b w:val="false"/>
                <w:i w:val="false"/>
                <w:caps w:val="false"/>
                <w:smallCaps w:val="false"/>
                <w:sz w:val="20"/>
              </w:rPr>
              <w:t xml:space="preserve">38,200 square feet of lab, warehouse and office space in Ledgewood, New Jersey that expires in </w:t>
            </w:r>
            <w:bookmarkStart w:id="589" w:name="xdx_90F_ecustom--LeaseExpirationDateDesc"/>
            <w:bookmarkEnd w:id="589"/>
            <w:r>
              <w:rPr>
                <w:rFonts w:ascii="Times New Roman;Times;Serif" w:hAnsi="Times New Roman;Times;Serif"/>
                <w:b w:val="false"/>
                <w:i w:val="false"/>
                <w:caps w:val="false"/>
                <w:smallCaps w:val="false"/>
                <w:sz w:val="20"/>
              </w:rPr>
              <w:t>July 2027, with an option to extend the term for two additional five-year periods.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90" w:name="xdx_90D_eus-gaap--AreaOfLand_iI_uSquareF"/>
            <w:bookmarkEnd w:id="590"/>
            <w:r>
              <w:rPr>
                <w:rFonts w:ascii="Times New Roman;Times;Serif" w:hAnsi="Times New Roman;Times;Serif"/>
                <w:b w:val="false"/>
                <w:i w:val="false"/>
                <w:caps w:val="false"/>
                <w:smallCaps w:val="false"/>
                <w:sz w:val="20"/>
              </w:rPr>
              <w:t xml:space="preserve">17,700 square feet of office space in Nashville, Tennessee that expires in </w:t>
            </w:r>
            <w:bookmarkStart w:id="591" w:name="xdx_902_ecustom--LeaseExpirationDateDesc"/>
            <w:bookmarkEnd w:id="591"/>
            <w:r>
              <w:rPr>
                <w:rFonts w:ascii="Times New Roman;Times;Serif" w:hAnsi="Times New Roman;Times;Serif"/>
                <w:b w:val="false"/>
                <w:i w:val="false"/>
                <w:caps w:val="false"/>
                <w:smallCaps w:val="false"/>
                <w:sz w:val="20"/>
              </w:rPr>
              <w:t>June 2032, and includes options to extend the lease term to June 2042.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592" w:name="xdx_901_eus-gaap--AreaOfLand_iI_uSquareF"/>
            <w:bookmarkEnd w:id="592"/>
            <w:r>
              <w:rPr>
                <w:rFonts w:ascii="Times New Roman;Times;Serif" w:hAnsi="Times New Roman;Times;Serif"/>
                <w:b w:val="false"/>
                <w:i w:val="false"/>
                <w:caps w:val="false"/>
                <w:smallCaps w:val="false"/>
                <w:sz w:val="20"/>
              </w:rPr>
              <w:t xml:space="preserve">11,600 square feet of lab and office space in Nashville, Tennessee which commenced in September 2022 and expires in </w:t>
            </w:r>
            <w:bookmarkStart w:id="593" w:name="xdx_908_ecustom--LeaseExpirationDateDesc"/>
            <w:bookmarkEnd w:id="593"/>
            <w:r>
              <w:rPr>
                <w:rFonts w:ascii="Times New Roman;Times;Serif" w:hAnsi="Times New Roman;Times;Serif"/>
                <w:b w:val="false"/>
                <w:i w:val="false"/>
                <w:caps w:val="false"/>
                <w:smallCaps w:val="false"/>
                <w:sz w:val="20"/>
              </w:rPr>
              <w:t>September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2025, the weighted average incremental borrowing rate and the weighted average remaining lease term for the operating leases held by the Company were </w:t>
      </w:r>
      <w:bookmarkStart w:id="594" w:name="xdx_901_eus-gaap--OperatingLeaseWeighted"/>
      <w:bookmarkEnd w:id="594"/>
      <w:r>
        <w:rPr>
          <w:rFonts w:ascii="Times New Roman;Times;Serif" w:hAnsi="Times New Roman;Times;Serif"/>
          <w:b w:val="false"/>
          <w:i w:val="false"/>
          <w:caps w:val="false"/>
          <w:smallCaps w:val="false"/>
          <w:sz w:val="20"/>
        </w:rPr>
        <w:t xml:space="preserve">8.09% and </w:t>
      </w:r>
      <w:bookmarkStart w:id="595" w:name="xdx_905_eus-gaap--OperatingLeaseWeighted"/>
      <w:bookmarkEnd w:id="595"/>
      <w:r>
        <w:rPr>
          <w:rFonts w:ascii="Times New Roman;Times;Serif" w:hAnsi="Times New Roman;Times;Serif"/>
          <w:b w:val="false"/>
          <w:i w:val="false"/>
          <w:caps w:val="false"/>
          <w:smallCaps w:val="false"/>
          <w:sz w:val="20"/>
        </w:rPr>
        <w:t>9.7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cash paid for amounts included for the operating lease liabilities was $</w:t>
      </w:r>
      <w:bookmarkStart w:id="596" w:name="xdx_907_eus-gaap--OperatingLeasePayments"/>
      <w:bookmarkEnd w:id="596"/>
      <w:r>
        <w:rPr>
          <w:rFonts w:ascii="Times New Roman;Times;Serif" w:hAnsi="Times New Roman;Times;Serif"/>
          <w:b w:val="false"/>
          <w:i w:val="false"/>
          <w:caps w:val="false"/>
          <w:smallCaps w:val="false"/>
          <w:sz w:val="20"/>
        </w:rPr>
        <w:t>227,000 and $</w:t>
      </w:r>
      <w:bookmarkStart w:id="597" w:name="xdx_907_eus-gaap--OperatingLeasePayments"/>
      <w:bookmarkEnd w:id="597"/>
      <w:r>
        <w:rPr>
          <w:rFonts w:ascii="Times New Roman;Times;Serif" w:hAnsi="Times New Roman;Times;Serif"/>
          <w:b w:val="false"/>
          <w:i w:val="false"/>
          <w:caps w:val="false"/>
          <w:smallCaps w:val="false"/>
          <w:sz w:val="20"/>
        </w:rPr>
        <w:t>508,000, respectively, and $</w:t>
      </w:r>
      <w:bookmarkStart w:id="598" w:name="xdx_90A_eus-gaap--OperatingLeasePayments"/>
      <w:bookmarkEnd w:id="598"/>
      <w:r>
        <w:rPr>
          <w:rFonts w:ascii="Times New Roman;Times;Serif" w:hAnsi="Times New Roman;Times;Serif"/>
          <w:b w:val="false"/>
          <w:i w:val="false"/>
          <w:caps w:val="false"/>
          <w:smallCaps w:val="false"/>
          <w:sz w:val="20"/>
        </w:rPr>
        <w:t>327,000 and $</w:t>
      </w:r>
      <w:bookmarkStart w:id="599" w:name="xdx_905_eus-gaap--OperatingLeasePayments"/>
      <w:bookmarkEnd w:id="599"/>
      <w:r>
        <w:rPr>
          <w:rFonts w:ascii="Times New Roman;Times;Serif" w:hAnsi="Times New Roman;Times;Serif"/>
          <w:b w:val="false"/>
          <w:i w:val="false"/>
          <w:caps w:val="false"/>
          <w:smallCaps w:val="false"/>
          <w:sz w:val="20"/>
        </w:rPr>
        <w:t>650,000, for the same periods in 2024, respectively. During the three and six months ended June 30, 2025, the Company recorded operating lease expense of $</w:t>
      </w:r>
      <w:bookmarkStart w:id="600" w:name="xdx_904_eus-gaap--OperatingLeaseExpense_"/>
      <w:bookmarkEnd w:id="600"/>
      <w:r>
        <w:rPr>
          <w:rFonts w:ascii="Times New Roman;Times;Serif" w:hAnsi="Times New Roman;Times;Serif"/>
          <w:b w:val="false"/>
          <w:i w:val="false"/>
          <w:caps w:val="false"/>
          <w:smallCaps w:val="false"/>
          <w:sz w:val="20"/>
        </w:rPr>
        <w:t>365,000 and $</w:t>
      </w:r>
      <w:bookmarkStart w:id="601" w:name="xdx_90E_eus-gaap--OperatingLeaseExpense_"/>
      <w:bookmarkEnd w:id="601"/>
      <w:r>
        <w:rPr>
          <w:rFonts w:ascii="Times New Roman;Times;Serif" w:hAnsi="Times New Roman;Times;Serif"/>
          <w:b w:val="false"/>
          <w:i w:val="false"/>
          <w:caps w:val="false"/>
          <w:smallCaps w:val="false"/>
          <w:sz w:val="20"/>
        </w:rPr>
        <w:t>750,000, respectively, and $</w:t>
      </w:r>
      <w:bookmarkStart w:id="602" w:name="xdx_90C_eus-gaap--OperatingLeaseExpense_"/>
      <w:bookmarkEnd w:id="602"/>
      <w:r>
        <w:rPr>
          <w:rFonts w:ascii="Times New Roman;Times;Serif" w:hAnsi="Times New Roman;Times;Serif"/>
          <w:b w:val="false"/>
          <w:i w:val="false"/>
          <w:caps w:val="false"/>
          <w:smallCaps w:val="false"/>
          <w:sz w:val="20"/>
        </w:rPr>
        <w:t>319,000 and $</w:t>
      </w:r>
      <w:bookmarkStart w:id="603" w:name="xdx_906_eus-gaap--OperatingLeaseExpense_"/>
      <w:bookmarkEnd w:id="603"/>
      <w:r>
        <w:rPr>
          <w:rFonts w:ascii="Times New Roman;Times;Serif" w:hAnsi="Times New Roman;Times;Serif"/>
          <w:b w:val="false"/>
          <w:i w:val="false"/>
          <w:caps w:val="false"/>
          <w:smallCaps w:val="false"/>
          <w:sz w:val="20"/>
        </w:rPr>
        <w:t>638,000 for the same periods in 2024, respectively. Operating lease expense is included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4" w:name="xdx_89E_eus-gaap--LesseeOperatingLeaseLi"/>
      <w:bookmarkEnd w:id="604"/>
      <w:r>
        <w:rPr>
          <w:rFonts w:ascii="Times New Roman;Times;Serif" w:hAnsi="Times New Roman;Times;Serif"/>
          <w:b w:val="false"/>
          <w:i w:val="false"/>
          <w:caps w:val="false"/>
          <w:smallCaps w:val="false"/>
          <w:sz w:val="20"/>
        </w:rPr>
        <w:t>Future lease payments under operating leases as of June 30, 2025 were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05" w:name="xdx_8B5_zLkxFaQ1Yfqi"/>
      <w:bookmarkEnd w:id="605"/>
      <w:r>
        <w:rPr>
          <w:rFonts w:ascii="Times New Roman;Times;Serif" w:hAnsi="Times New Roman;Times;Serif"/>
          <w:b w:val="false"/>
          <w:i w:val="false"/>
          <w:caps w:val="false"/>
          <w:smallCaps w:val="false"/>
          <w:sz w:val="20"/>
        </w:rPr>
        <w:t>SCHEDULE OF FUTURE LEASE PAYMENTS UNDER OPERATING LEASES</w:t>
      </w:r>
    </w:p>
    <w:tbl>
      <w:tblPr>
        <w:tblW w:w="6125" w:type="dxa"/>
        <w:jc w:val="left"/>
        <w:tblInd w:w="0" w:type="dxa"/>
        <w:tblLayout w:type="fixed"/>
        <w:tblCellMar>
          <w:top w:w="0" w:type="dxa"/>
          <w:left w:w="0" w:type="dxa"/>
          <w:bottom w:w="0" w:type="dxa"/>
          <w:right w:w="0" w:type="dxa"/>
        </w:tblCellMar>
      </w:tblPr>
      <w:tblGrid>
        <w:gridCol w:w="4715"/>
        <w:gridCol w:w="60"/>
        <w:gridCol w:w="140"/>
        <w:gridCol w:w="1100"/>
        <w:gridCol w:w="110"/>
      </w:tblGrid>
      <w:tr>
        <w:trPr/>
        <w:tc>
          <w:tcPr>
            <w:tcW w:w="47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06" w:name="xdx_494_20250630_zSOvBpGHiXq4"/>
            <w:bookmarkEnd w:id="606"/>
          </w:p>
        </w:tc>
        <w:tc>
          <w:tcPr>
            <w:tcW w:w="1240" w:type="dxa"/>
            <w:gridSpan w:val="2"/>
            <w:tcBorders>
              <w:bottom w:val="single" w:sz="8" w:space="0" w:color="000000"/>
            </w:tcBorders>
            <w:tcMar>
              <w:bottom w:w="28" w:type="dxa"/>
            </w:tcMar>
            <w:vAlign w:val="center"/>
          </w:tcPr>
          <w:p>
            <w:pPr>
              <w:pStyle w:val="TableContents"/>
              <w:bidi w:val="0"/>
              <w:jc w:val="center"/>
              <w:rPr>
                <w:b/>
              </w:rPr>
            </w:pPr>
            <w:r>
              <w:rPr>
                <w:b/>
              </w:rPr>
              <w:t>Operating</w:t>
            </w:r>
          </w:p>
          <w:p>
            <w:pPr>
              <w:pStyle w:val="TableContents"/>
              <w:bidi w:val="0"/>
              <w:spacing w:before="0" w:after="283"/>
              <w:jc w:val="center"/>
              <w:rPr>
                <w:b/>
              </w:rPr>
            </w:pPr>
            <w:r>
              <w:rPr>
                <w:b/>
              </w:rPr>
              <w:t>Leases</w:t>
            </w:r>
          </w:p>
        </w:tc>
        <w:tc>
          <w:tcPr>
            <w:tcW w:w="110" w:type="dxa"/>
            <w:tcBorders/>
            <w:vAlign w:val="center"/>
          </w:tcPr>
          <w:p>
            <w:pPr>
              <w:pStyle w:val="TableContents"/>
              <w:bidi w:val="0"/>
              <w:spacing w:before="0" w:after="283"/>
              <w:jc w:val="left"/>
              <w:rPr/>
            </w:pPr>
            <w:r>
              <w:rPr/>
              <w:t> </w:t>
            </w:r>
            <w:bookmarkStart w:id="607" w:name="xdx_40E_eus-gaap--LesseeOperatingLeaseLi"/>
            <w:bookmarkEnd w:id="607"/>
          </w:p>
        </w:tc>
      </w:tr>
      <w:tr>
        <w:trPr/>
        <w:tc>
          <w:tcPr>
            <w:tcW w:w="4715" w:type="dxa"/>
            <w:tcBorders/>
            <w:shd w:fill="CCEEFF" w:val="clear"/>
            <w:vAlign w:val="center"/>
          </w:tcPr>
          <w:p>
            <w:pPr>
              <w:pStyle w:val="TableContents"/>
              <w:bidi w:val="0"/>
              <w:spacing w:before="0" w:after="283"/>
              <w:jc w:val="both"/>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716,000</w:t>
            </w:r>
          </w:p>
        </w:tc>
        <w:tc>
          <w:tcPr>
            <w:tcW w:w="110" w:type="dxa"/>
            <w:tcBorders/>
            <w:shd w:fill="CCEEFF" w:val="clear"/>
            <w:vAlign w:val="center"/>
          </w:tcPr>
          <w:p>
            <w:pPr>
              <w:pStyle w:val="TableContents"/>
              <w:bidi w:val="0"/>
              <w:spacing w:before="0" w:after="283"/>
              <w:jc w:val="left"/>
              <w:rPr/>
            </w:pPr>
            <w:r>
              <w:rPr/>
              <w:t> </w:t>
            </w:r>
            <w:bookmarkStart w:id="608" w:name="xdx_408_eus-gaap--LesseeOperatingLeaseLi"/>
            <w:bookmarkEnd w:id="608"/>
          </w:p>
        </w:tc>
      </w:tr>
      <w:tr>
        <w:trPr/>
        <w:tc>
          <w:tcPr>
            <w:tcW w:w="4715"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1,551,000</w:t>
            </w:r>
          </w:p>
        </w:tc>
        <w:tc>
          <w:tcPr>
            <w:tcW w:w="110" w:type="dxa"/>
            <w:tcBorders/>
            <w:shd w:fill="FFFFFF" w:val="clear"/>
            <w:vAlign w:val="center"/>
          </w:tcPr>
          <w:p>
            <w:pPr>
              <w:pStyle w:val="TableContents"/>
              <w:bidi w:val="0"/>
              <w:spacing w:before="0" w:after="283"/>
              <w:jc w:val="left"/>
              <w:rPr/>
            </w:pPr>
            <w:r>
              <w:rPr/>
              <w:t> </w:t>
            </w:r>
            <w:bookmarkStart w:id="609" w:name="xdx_40E_eus-gaap--LesseeOperatingLeaseLi"/>
            <w:bookmarkEnd w:id="609"/>
          </w:p>
        </w:tc>
      </w:tr>
      <w:tr>
        <w:trPr/>
        <w:tc>
          <w:tcPr>
            <w:tcW w:w="4715"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1,425,000</w:t>
            </w:r>
          </w:p>
        </w:tc>
        <w:tc>
          <w:tcPr>
            <w:tcW w:w="110" w:type="dxa"/>
            <w:tcBorders/>
            <w:shd w:fill="CCEEFF" w:val="clear"/>
            <w:vAlign w:val="center"/>
          </w:tcPr>
          <w:p>
            <w:pPr>
              <w:pStyle w:val="TableContents"/>
              <w:bidi w:val="0"/>
              <w:spacing w:before="0" w:after="283"/>
              <w:jc w:val="left"/>
              <w:rPr/>
            </w:pPr>
            <w:r>
              <w:rPr/>
              <w:t> </w:t>
            </w:r>
            <w:bookmarkStart w:id="610" w:name="xdx_400_eus-gaap--LesseeOperatingLeaseLi"/>
            <w:bookmarkEnd w:id="610"/>
          </w:p>
        </w:tc>
      </w:tr>
      <w:tr>
        <w:trPr/>
        <w:tc>
          <w:tcPr>
            <w:tcW w:w="4715"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1,288,000</w:t>
            </w:r>
          </w:p>
        </w:tc>
        <w:tc>
          <w:tcPr>
            <w:tcW w:w="110" w:type="dxa"/>
            <w:tcBorders/>
            <w:shd w:fill="FFFFFF" w:val="clear"/>
            <w:vAlign w:val="center"/>
          </w:tcPr>
          <w:p>
            <w:pPr>
              <w:pStyle w:val="TableContents"/>
              <w:bidi w:val="0"/>
              <w:spacing w:before="0" w:after="283"/>
              <w:jc w:val="left"/>
              <w:rPr/>
            </w:pPr>
            <w:r>
              <w:rPr/>
              <w:t> </w:t>
            </w:r>
            <w:bookmarkStart w:id="611" w:name="xdx_40A_eus-gaap--LesseeOperatingLeaseLi"/>
            <w:bookmarkEnd w:id="611"/>
          </w:p>
        </w:tc>
      </w:tr>
      <w:tr>
        <w:trPr/>
        <w:tc>
          <w:tcPr>
            <w:tcW w:w="4715" w:type="dxa"/>
            <w:tcBorders/>
            <w:shd w:fill="CCEEFF" w:val="clear"/>
            <w:vAlign w:val="center"/>
          </w:tcPr>
          <w:p>
            <w:pPr>
              <w:pStyle w:val="TableContents"/>
              <w:bidi w:val="0"/>
              <w:spacing w:before="0" w:after="283"/>
              <w:jc w:val="both"/>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1,304,000</w:t>
            </w:r>
          </w:p>
        </w:tc>
        <w:tc>
          <w:tcPr>
            <w:tcW w:w="110" w:type="dxa"/>
            <w:tcBorders/>
            <w:shd w:fill="CCEEFF" w:val="clear"/>
            <w:vAlign w:val="center"/>
          </w:tcPr>
          <w:p>
            <w:pPr>
              <w:pStyle w:val="TableContents"/>
              <w:bidi w:val="0"/>
              <w:spacing w:before="0" w:after="283"/>
              <w:jc w:val="left"/>
              <w:rPr/>
            </w:pPr>
            <w:r>
              <w:rPr/>
              <w:t> </w:t>
            </w:r>
            <w:bookmarkStart w:id="612" w:name="xdx_401_ecustom--LesseeOperatingLeaseLia"/>
            <w:bookmarkEnd w:id="612"/>
          </w:p>
        </w:tc>
      </w:tr>
      <w:tr>
        <w:trPr/>
        <w:tc>
          <w:tcPr>
            <w:tcW w:w="4715" w:type="dxa"/>
            <w:tcBorders/>
            <w:shd w:fill="FFFFFF" w:val="clear"/>
            <w:vAlign w:val="center"/>
          </w:tcPr>
          <w:p>
            <w:pPr>
              <w:pStyle w:val="TableContents"/>
              <w:bidi w:val="0"/>
              <w:spacing w:before="0" w:after="283"/>
              <w:jc w:val="both"/>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6,667,000</w:t>
            </w:r>
          </w:p>
        </w:tc>
        <w:tc>
          <w:tcPr>
            <w:tcW w:w="110" w:type="dxa"/>
            <w:tcBorders/>
            <w:shd w:fill="FFFFFF" w:val="clear"/>
            <w:vAlign w:val="center"/>
          </w:tcPr>
          <w:p>
            <w:pPr>
              <w:pStyle w:val="TableContents"/>
              <w:bidi w:val="0"/>
              <w:spacing w:before="0" w:after="283"/>
              <w:jc w:val="left"/>
              <w:rPr/>
            </w:pPr>
            <w:r>
              <w:rPr/>
              <w:t> </w:t>
            </w:r>
            <w:bookmarkStart w:id="613" w:name="xdx_401_eus-gaap--LesseeOperatingLeaseLi"/>
            <w:bookmarkEnd w:id="613"/>
          </w:p>
        </w:tc>
      </w:tr>
      <w:tr>
        <w:trPr/>
        <w:tc>
          <w:tcPr>
            <w:tcW w:w="4715" w:type="dxa"/>
            <w:tcBorders/>
            <w:shd w:fill="CCEEFF" w:val="clear"/>
            <w:vAlign w:val="center"/>
          </w:tcPr>
          <w:p>
            <w:pPr>
              <w:pStyle w:val="TableContents"/>
              <w:bidi w:val="0"/>
              <w:spacing w:before="0" w:after="283"/>
              <w:jc w:val="both"/>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12,951,000</w:t>
            </w:r>
          </w:p>
        </w:tc>
        <w:tc>
          <w:tcPr>
            <w:tcW w:w="110" w:type="dxa"/>
            <w:tcBorders/>
            <w:shd w:fill="CCEEFF" w:val="clear"/>
            <w:vAlign w:val="center"/>
          </w:tcPr>
          <w:p>
            <w:pPr>
              <w:pStyle w:val="TableContents"/>
              <w:bidi w:val="0"/>
              <w:spacing w:before="0" w:after="283"/>
              <w:jc w:val="left"/>
              <w:rPr/>
            </w:pPr>
            <w:r>
              <w:rPr/>
              <w:t> </w:t>
            </w:r>
            <w:bookmarkStart w:id="614" w:name="xdx_400_eus-gaap--LesseeOperatingLeaseLi"/>
            <w:bookmarkEnd w:id="614"/>
          </w:p>
        </w:tc>
      </w:tr>
      <w:tr>
        <w:trPr/>
        <w:tc>
          <w:tcPr>
            <w:tcW w:w="4715" w:type="dxa"/>
            <w:tcBorders/>
            <w:shd w:fill="FFFFFF" w:val="clear"/>
            <w:vAlign w:val="center"/>
          </w:tcPr>
          <w:p>
            <w:pPr>
              <w:pStyle w:val="TableContents"/>
              <w:bidi w:val="0"/>
              <w:spacing w:before="0" w:after="283"/>
              <w:jc w:val="both"/>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(3,803,000</w:t>
            </w:r>
          </w:p>
        </w:tc>
        <w:tc>
          <w:tcPr>
            <w:tcW w:w="110" w:type="dxa"/>
            <w:tcBorders/>
            <w:shd w:fill="FFFFFF" w:val="clear"/>
            <w:vAlign w:val="center"/>
          </w:tcPr>
          <w:p>
            <w:pPr>
              <w:pStyle w:val="TableContents"/>
              <w:bidi w:val="0"/>
              <w:spacing w:before="0" w:after="283"/>
              <w:jc w:val="left"/>
              <w:rPr/>
            </w:pPr>
            <w:r>
              <w:rPr/>
              <w:t>)</w:t>
            </w:r>
            <w:bookmarkStart w:id="615" w:name="xdx_406_eus-gaap--OperatingLeaseLiabilit"/>
            <w:bookmarkEnd w:id="615"/>
          </w:p>
        </w:tc>
      </w:tr>
      <w:tr>
        <w:trPr/>
        <w:tc>
          <w:tcPr>
            <w:tcW w:w="4715" w:type="dxa"/>
            <w:tcBorders/>
            <w:shd w:fill="CCEEFF" w:val="clear"/>
            <w:vAlign w:val="center"/>
          </w:tcPr>
          <w:p>
            <w:pPr>
              <w:pStyle w:val="TableContents"/>
              <w:bidi w:val="0"/>
              <w:spacing w:before="0" w:after="283"/>
              <w:jc w:val="both"/>
              <w:rPr/>
            </w:pPr>
            <w:r>
              <w:rPr/>
              <w:t>Total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9,148,000</w:t>
            </w:r>
          </w:p>
        </w:tc>
        <w:tc>
          <w:tcPr>
            <w:tcW w:w="110" w:type="dxa"/>
            <w:tcBorders/>
            <w:shd w:fill="CCEEFF" w:val="clear"/>
            <w:vAlign w:val="center"/>
          </w:tcPr>
          <w:p>
            <w:pPr>
              <w:pStyle w:val="TableContents"/>
              <w:bidi w:val="0"/>
              <w:spacing w:before="0" w:after="283"/>
              <w:jc w:val="left"/>
              <w:rPr/>
            </w:pPr>
            <w:r>
              <w:rPr/>
              <w:t> </w:t>
            </w:r>
            <w:bookmarkStart w:id="616" w:name="xdx_40E_eus-gaap--OperatingLeaseLiabilit"/>
            <w:bookmarkEnd w:id="616"/>
          </w:p>
        </w:tc>
      </w:tr>
      <w:tr>
        <w:trPr/>
        <w:tc>
          <w:tcPr>
            <w:tcW w:w="4715" w:type="dxa"/>
            <w:tcBorders/>
            <w:shd w:fill="FFFFFF" w:val="clear"/>
            <w:vAlign w:val="center"/>
          </w:tcPr>
          <w:p>
            <w:pPr>
              <w:pStyle w:val="TableContents"/>
              <w:bidi w:val="0"/>
              <w:spacing w:before="0" w:after="283"/>
              <w:jc w:val="both"/>
              <w:rPr/>
            </w:pPr>
            <w:r>
              <w:rPr/>
              <w:t>Less: current portion, operating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(782,000</w:t>
            </w:r>
          </w:p>
        </w:tc>
        <w:tc>
          <w:tcPr>
            <w:tcW w:w="110" w:type="dxa"/>
            <w:tcBorders/>
            <w:shd w:fill="FFFFFF" w:val="clear"/>
            <w:vAlign w:val="center"/>
          </w:tcPr>
          <w:p>
            <w:pPr>
              <w:pStyle w:val="TableContents"/>
              <w:bidi w:val="0"/>
              <w:spacing w:before="0" w:after="283"/>
              <w:jc w:val="left"/>
              <w:rPr/>
            </w:pPr>
            <w:r>
              <w:rPr/>
              <w:t>)</w:t>
            </w:r>
            <w:bookmarkStart w:id="617" w:name="xdx_40C_eus-gaap--OperatingLeaseLiabilit"/>
            <w:bookmarkEnd w:id="617"/>
          </w:p>
        </w:tc>
      </w:tr>
      <w:tr>
        <w:trPr/>
        <w:tc>
          <w:tcPr>
            <w:tcW w:w="4715" w:type="dxa"/>
            <w:tcBorders/>
            <w:shd w:fill="CCEEFF" w:val="clear"/>
            <w:vAlign w:val="center"/>
          </w:tcPr>
          <w:p>
            <w:pPr>
              <w:pStyle w:val="TableContents"/>
              <w:bidi w:val="0"/>
              <w:spacing w:before="0" w:after="283"/>
              <w:jc w:val="both"/>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8,366,000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8" w:name="xdx_8A3_ztrY1rSkstSb"/>
      <w:bookmarkEnd w:id="61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9" w:name="xdx_801_eus-gaap--ShareholdersEquityAndS"/>
      <w:bookmarkEnd w:id="619"/>
      <w:r>
        <w:rPr>
          <w:rFonts w:ascii="Times New Roman;Times;Serif" w:hAnsi="Times New Roman;Times;Serif"/>
          <w:b/>
          <w:i w:val="false"/>
          <w:caps w:val="false"/>
          <w:smallCaps w:val="false"/>
          <w:sz w:val="20"/>
        </w:rPr>
        <w:t xml:space="preserve">NOTE 12. </w:t>
      </w:r>
      <w:bookmarkStart w:id="620" w:name="xdx_825_z3ssGs7adzB2"/>
      <w:bookmarkEnd w:id="620"/>
      <w:r>
        <w:rPr>
          <w:rFonts w:ascii="Times New Roman;Times;Serif" w:hAnsi="Times New Roman;Times;Serif"/>
          <w:b/>
          <w:i w:val="false"/>
          <w:caps w:val="false"/>
          <w:smallCaps w:val="false"/>
          <w:sz w:val="20"/>
        </w:rPr>
        <w:t>STOCKHOLDERS’ EQUITY AND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upon vesting of </w:t>
      </w:r>
      <w:bookmarkStart w:id="621" w:name="xdx_907_eus-gaap--ShareBasedCompensation"/>
      <w:bookmarkEnd w:id="621"/>
      <w:r>
        <w:rPr>
          <w:rFonts w:ascii="Times New Roman;Times;Serif" w:hAnsi="Times New Roman;Times;Serif"/>
          <w:b w:val="false"/>
          <w:i w:val="false"/>
          <w:caps w:val="false"/>
          <w:smallCaps w:val="false"/>
          <w:sz w:val="20"/>
        </w:rPr>
        <w:t xml:space="preserve">346,500 PSUs granted in April 2023 to Andrew R. Boll, the Company’s Chief Financial Officer, the Company issued </w:t>
      </w:r>
      <w:bookmarkStart w:id="622" w:name="xdx_90B_eus-gaap--StockIssuedDuringPerio"/>
      <w:bookmarkEnd w:id="622"/>
      <w:r>
        <w:rPr>
          <w:rFonts w:ascii="Times New Roman;Times;Serif" w:hAnsi="Times New Roman;Times;Serif"/>
          <w:b w:val="false"/>
          <w:i w:val="false"/>
          <w:caps w:val="false"/>
          <w:smallCaps w:val="false"/>
          <w:sz w:val="20"/>
        </w:rPr>
        <w:t xml:space="preserve">209,755 shares of common stock to Mr. Boll, net of </w:t>
      </w:r>
      <w:bookmarkStart w:id="623" w:name="xdx_908_eus-gaap--SharesPaidForTaxWithho"/>
      <w:bookmarkEnd w:id="623"/>
      <w:r>
        <w:rPr>
          <w:rFonts w:ascii="Times New Roman;Times;Serif" w:hAnsi="Times New Roman;Times;Serif"/>
          <w:b w:val="false"/>
          <w:i w:val="false"/>
          <w:caps w:val="false"/>
          <w:smallCaps w:val="false"/>
          <w:sz w:val="20"/>
        </w:rPr>
        <w:t>136,745 shares of common stock withheld for payroll tax withholdings totaling $</w:t>
      </w:r>
      <w:bookmarkStart w:id="624" w:name="xdx_90D_eus-gaap--PaymentsRelatedToTaxWi"/>
      <w:bookmarkEnd w:id="624"/>
      <w:r>
        <w:rPr>
          <w:rFonts w:ascii="Times New Roman;Times;Serif" w:hAnsi="Times New Roman;Times;Serif"/>
          <w:b w:val="false"/>
          <w:i w:val="false"/>
          <w:caps w:val="false"/>
          <w:smallCaps w:val="false"/>
          <w:sz w:val="20"/>
        </w:rPr>
        <w:t>3,157,000.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upon vesting of </w:t>
      </w:r>
      <w:bookmarkStart w:id="625" w:name="xdx_900_eus-gaap--ShareBasedCompensation"/>
      <w:bookmarkEnd w:id="625"/>
      <w:r>
        <w:rPr>
          <w:rFonts w:ascii="Times New Roman;Times;Serif" w:hAnsi="Times New Roman;Times;Serif"/>
          <w:b w:val="false"/>
          <w:i w:val="false"/>
          <w:caps w:val="false"/>
          <w:smallCaps w:val="false"/>
          <w:sz w:val="20"/>
        </w:rPr>
        <w:t xml:space="preserve">762,300 PSUs granted in April 2023 to Mark L. Baum, the Company’s Chief Executive Officer, the Company issued </w:t>
      </w:r>
      <w:bookmarkStart w:id="626" w:name="xdx_902_eus-gaap--StockIssuedDuringPerio"/>
      <w:bookmarkEnd w:id="626"/>
      <w:r>
        <w:rPr>
          <w:rFonts w:ascii="Times New Roman;Times;Serif" w:hAnsi="Times New Roman;Times;Serif"/>
          <w:b w:val="false"/>
          <w:i w:val="false"/>
          <w:caps w:val="false"/>
          <w:smallCaps w:val="false"/>
          <w:sz w:val="20"/>
        </w:rPr>
        <w:t xml:space="preserve">461,937 shares of common stock to Mr. Baum, net of </w:t>
      </w:r>
      <w:bookmarkStart w:id="627" w:name="xdx_909_eus-gaap--SharesPaidForTaxWithho"/>
      <w:bookmarkEnd w:id="627"/>
      <w:r>
        <w:rPr>
          <w:rFonts w:ascii="Times New Roman;Times;Serif" w:hAnsi="Times New Roman;Times;Serif"/>
          <w:b w:val="false"/>
          <w:i w:val="false"/>
          <w:caps w:val="false"/>
          <w:smallCaps w:val="false"/>
          <w:sz w:val="20"/>
        </w:rPr>
        <w:t>300,363 shares of common stock withheld for payroll tax withholdings totaling $</w:t>
      </w:r>
      <w:bookmarkStart w:id="628" w:name="xdx_90C_eus-gaap--PaymentsRelatedToTaxWi"/>
      <w:bookmarkEnd w:id="628"/>
      <w:r>
        <w:rPr>
          <w:rFonts w:ascii="Times New Roman;Times;Serif" w:hAnsi="Times New Roman;Times;Serif"/>
          <w:b w:val="false"/>
          <w:i w:val="false"/>
          <w:caps w:val="false"/>
          <w:smallCaps w:val="false"/>
          <w:sz w:val="20"/>
        </w:rPr>
        <w:t>6,935,000.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During the six months ended June 30, 2025, </w:t>
      </w:r>
      <w:bookmarkStart w:id="629" w:name="xdx_903_eus-gaap--ShareBasedCompensation"/>
      <w:bookmarkEnd w:id="629"/>
      <w:r>
        <w:rPr>
          <w:rFonts w:ascii="Times New Roman;Times;Serif" w:hAnsi="Times New Roman;Times;Serif"/>
          <w:b w:val="false"/>
          <w:i w:val="false"/>
          <w:caps w:val="false"/>
          <w:smallCaps w:val="false"/>
          <w:sz w:val="20"/>
        </w:rPr>
        <w:t xml:space="preserve">277,200 PSUs granted in April 2023 to John P. Saharek, the President of ImprimisRx, vested, and the Company issued </w:t>
      </w:r>
      <w:bookmarkStart w:id="630" w:name="xdx_907_eus-gaap--StockIssuedDuringPerio"/>
      <w:bookmarkEnd w:id="630"/>
      <w:r>
        <w:rPr>
          <w:rFonts w:ascii="Times New Roman;Times;Serif" w:hAnsi="Times New Roman;Times;Serif"/>
          <w:b w:val="false"/>
          <w:i w:val="false"/>
          <w:caps w:val="false"/>
          <w:smallCaps w:val="false"/>
          <w:sz w:val="20"/>
        </w:rPr>
        <w:t xml:space="preserve">167,725 shares of common stock to Mr. Saharek, net of </w:t>
      </w:r>
      <w:bookmarkStart w:id="631" w:name="xdx_903_eus-gaap--SharesPaidForTaxWithho"/>
      <w:bookmarkEnd w:id="631"/>
      <w:r>
        <w:rPr>
          <w:rFonts w:ascii="Times New Roman;Times;Serif" w:hAnsi="Times New Roman;Times;Serif"/>
          <w:b w:val="false"/>
          <w:i w:val="false"/>
          <w:caps w:val="false"/>
          <w:smallCaps w:val="false"/>
          <w:sz w:val="20"/>
        </w:rPr>
        <w:t>109,475 shares of common stock withheld for payroll tax withholdings totaling $</w:t>
      </w:r>
      <w:bookmarkStart w:id="632" w:name="xdx_905_eus-gaap--PaymentsRelatedToTaxWi"/>
      <w:bookmarkEnd w:id="632"/>
      <w:r>
        <w:rPr>
          <w:rFonts w:ascii="Times New Roman;Times;Serif" w:hAnsi="Times New Roman;Times;Serif"/>
          <w:b w:val="false"/>
          <w:i w:val="false"/>
          <w:caps w:val="false"/>
          <w:smallCaps w:val="false"/>
          <w:sz w:val="20"/>
        </w:rPr>
        <w:t>2,528,000.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During the six months ended June 30, 2025, </w:t>
      </w:r>
      <w:bookmarkStart w:id="633" w:name="xdx_90B_eus-gaap--ShareBasedCompensation"/>
      <w:bookmarkEnd w:id="633"/>
      <w:r>
        <w:rPr>
          <w:rFonts w:ascii="Times New Roman;Times;Serif" w:hAnsi="Times New Roman;Times;Serif"/>
          <w:b w:val="false"/>
          <w:i w:val="false"/>
          <w:caps w:val="false"/>
          <w:smallCaps w:val="false"/>
          <w:sz w:val="20"/>
        </w:rPr>
        <w:t xml:space="preserve">20,000 RSUs granted in prior periods vested, and the Company issued </w:t>
      </w:r>
      <w:bookmarkStart w:id="634" w:name="xdx_907_eus-gaap--StockIssuedDuringPerio"/>
      <w:bookmarkEnd w:id="634"/>
      <w:r>
        <w:rPr>
          <w:rFonts w:ascii="Times New Roman;Times;Serif" w:hAnsi="Times New Roman;Times;Serif"/>
          <w:b w:val="false"/>
          <w:i w:val="false"/>
          <w:caps w:val="false"/>
          <w:smallCaps w:val="false"/>
          <w:sz w:val="20"/>
        </w:rPr>
        <w:t xml:space="preserve">14,434 shares of common stock, net of </w:t>
      </w:r>
      <w:bookmarkStart w:id="635" w:name="xdx_905_eus-gaap--SharesPaidForTaxWithho"/>
      <w:bookmarkEnd w:id="635"/>
      <w:r>
        <w:rPr>
          <w:rFonts w:ascii="Times New Roman;Times;Serif" w:hAnsi="Times New Roman;Times;Serif"/>
          <w:b w:val="false"/>
          <w:i w:val="false"/>
          <w:caps w:val="false"/>
          <w:smallCaps w:val="false"/>
          <w:sz w:val="20"/>
        </w:rPr>
        <w:t>5,566 shares of common stock withheld for payroll tax withholdings totaling $</w:t>
      </w:r>
      <w:bookmarkStart w:id="636" w:name="xdx_90B_eus-gaap--PaymentsRelatedToTaxWi"/>
      <w:bookmarkEnd w:id="636"/>
      <w:r>
        <w:rPr>
          <w:rFonts w:ascii="Times New Roman;Times;Serif" w:hAnsi="Times New Roman;Times;Serif"/>
          <w:b w:val="false"/>
          <w:i w:val="false"/>
          <w:caps w:val="false"/>
          <w:smallCaps w:val="false"/>
          <w:sz w:val="20"/>
        </w:rPr>
        <w:t>149,000.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w:t>
      </w:r>
      <w:bookmarkStart w:id="637" w:name="xdx_90B_eus-gaap--ShareBasedCompensation"/>
      <w:bookmarkEnd w:id="637"/>
      <w:r>
        <w:rPr>
          <w:rFonts w:ascii="Times New Roman;Times;Serif" w:hAnsi="Times New Roman;Times;Serif"/>
          <w:b w:val="false"/>
          <w:i w:val="false"/>
          <w:caps w:val="false"/>
          <w:smallCaps w:val="false"/>
          <w:sz w:val="20"/>
        </w:rPr>
        <w:t xml:space="preserve">198,795 RSUs and PSUs granted in prior periods vested, and the Company issued </w:t>
      </w:r>
      <w:bookmarkStart w:id="638" w:name="xdx_90F_eus-gaap--StockIssuedDuringPerio"/>
      <w:bookmarkEnd w:id="638"/>
      <w:r>
        <w:rPr>
          <w:rFonts w:ascii="Times New Roman;Times;Serif" w:hAnsi="Times New Roman;Times;Serif"/>
          <w:b w:val="false"/>
          <w:i w:val="false"/>
          <w:caps w:val="false"/>
          <w:smallCaps w:val="false"/>
          <w:sz w:val="20"/>
        </w:rPr>
        <w:t>198,795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issued </w:t>
      </w:r>
      <w:bookmarkStart w:id="639" w:name="xdx_90B_eus-gaap--StockIssuedDuringPerio"/>
      <w:bookmarkEnd w:id="639"/>
      <w:r>
        <w:rPr>
          <w:rFonts w:ascii="Times New Roman;Times;Serif" w:hAnsi="Times New Roman;Times;Serif"/>
          <w:b w:val="false"/>
          <w:i w:val="false"/>
          <w:caps w:val="false"/>
          <w:smallCaps w:val="false"/>
          <w:sz w:val="20"/>
        </w:rPr>
        <w:t>10,618 shares of common stock and received proceeds of $</w:t>
      </w:r>
      <w:bookmarkStart w:id="640" w:name="xdx_900_eus-gaap--ProceedsFromStockOptio"/>
      <w:bookmarkEnd w:id="640"/>
      <w:r>
        <w:rPr>
          <w:rFonts w:ascii="Times New Roman;Times;Serif" w:hAnsi="Times New Roman;Times;Serif"/>
          <w:b w:val="false"/>
          <w:i w:val="false"/>
          <w:caps w:val="false"/>
          <w:smallCaps w:val="false"/>
          <w:sz w:val="20"/>
        </w:rPr>
        <w:t xml:space="preserve">125,000 upon the exercise of options to purchase </w:t>
      </w:r>
      <w:bookmarkStart w:id="641" w:name="xdx_90B_eus-gaap--StockIssuedDuringPerio"/>
      <w:bookmarkEnd w:id="641"/>
      <w:r>
        <w:rPr>
          <w:rFonts w:ascii="Times New Roman;Times;Serif" w:hAnsi="Times New Roman;Times;Serif"/>
          <w:b w:val="false"/>
          <w:i w:val="false"/>
          <w:caps w:val="false"/>
          <w:smallCaps w:val="false"/>
          <w:sz w:val="20"/>
        </w:rPr>
        <w:t>10,618 shares of common stock with exercise prices ranging from $</w:t>
      </w:r>
      <w:bookmarkStart w:id="642" w:name="xdx_90C_eus-gaap--ShareBasedCompensation"/>
      <w:bookmarkEnd w:id="642"/>
      <w:r>
        <w:rPr>
          <w:rFonts w:ascii="Times New Roman;Times;Serif" w:hAnsi="Times New Roman;Times;Serif"/>
          <w:b w:val="false"/>
          <w:i w:val="false"/>
          <w:caps w:val="false"/>
          <w:smallCaps w:val="false"/>
          <w:sz w:val="20"/>
        </w:rPr>
        <w:t>6.75 to $</w:t>
      </w:r>
      <w:bookmarkStart w:id="643" w:name="xdx_903_eus-gaap--ShareBasedCompensation"/>
      <w:bookmarkEnd w:id="643"/>
      <w:r>
        <w:rPr>
          <w:rFonts w:ascii="Times New Roman;Times;Serif" w:hAnsi="Times New Roman;Times;Serif"/>
          <w:b w:val="false"/>
          <w:i w:val="false"/>
          <w:caps w:val="false"/>
          <w:smallCaps w:val="false"/>
          <w:sz w:val="20"/>
        </w:rPr>
        <w:t>18.35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issued </w:t>
      </w:r>
      <w:bookmarkStart w:id="644" w:name="xdx_901_eus-gaap--StockIssuedDuringPerio"/>
      <w:bookmarkEnd w:id="644"/>
      <w:r>
        <w:rPr>
          <w:rFonts w:ascii="Times New Roman;Times;Serif" w:hAnsi="Times New Roman;Times;Serif"/>
          <w:b w:val="false"/>
          <w:i w:val="false"/>
          <w:caps w:val="false"/>
          <w:smallCaps w:val="false"/>
          <w:sz w:val="20"/>
        </w:rPr>
        <w:t xml:space="preserve">29,214 shares of its common stock underlying RSUs held by a director that ceased providing services to the Company. The RSUs had previously vested, including </w:t>
      </w:r>
      <w:bookmarkStart w:id="645" w:name="xdx_90E_eus-gaap--ShareBasedCompensation"/>
      <w:bookmarkEnd w:id="645"/>
      <w:r>
        <w:rPr>
          <w:rFonts w:ascii="Times New Roman;Times;Serif" w:hAnsi="Times New Roman;Times;Serif"/>
          <w:b w:val="false"/>
          <w:i w:val="false"/>
          <w:caps w:val="false"/>
          <w:smallCaps w:val="false"/>
          <w:sz w:val="20"/>
        </w:rPr>
        <w:t>4,173 RSUs that vested during the six months ended June 30, 2025, but the issuance and delivery of the shares were deferred until the director ceased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w:t>
      </w:r>
      <w:bookmarkStart w:id="646" w:name="xdx_900_eus-gaap--StockIssuedDuringPerio"/>
      <w:bookmarkEnd w:id="646"/>
      <w:r>
        <w:rPr>
          <w:rFonts w:ascii="Times New Roman;Times;Serif" w:hAnsi="Times New Roman;Times;Serif"/>
          <w:b w:val="false"/>
          <w:i w:val="false"/>
          <w:caps w:val="false"/>
          <w:smallCaps w:val="false"/>
          <w:sz w:val="20"/>
        </w:rPr>
        <w:t>17,806 shares of the Company’s common stock underlying RSUs issued to directors vested, but the issuance and delivery of these shares are deferred until the applicable person ceases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w:t>
      </w:r>
      <w:bookmarkStart w:id="647" w:name="xdx_901_eus-gaap--StockIssuedDuringPerio"/>
      <w:bookmarkEnd w:id="647"/>
      <w:r>
        <w:rPr>
          <w:rFonts w:ascii="Times New Roman;Times;Serif" w:hAnsi="Times New Roman;Times;Serif"/>
          <w:b w:val="false"/>
          <w:i w:val="false"/>
          <w:caps w:val="false"/>
          <w:smallCaps w:val="false"/>
          <w:sz w:val="20"/>
        </w:rPr>
        <w:t>8,667 shares of the Company’s common stock underlying RSUs issued to consultants vested, but the issuance and delivery of these shares has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2007, the Company’s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stockholders adopted the Company’s 2017 Incentive Stock and Awards Plan which was subsequently amended on June 3, 2021 (as amended, the “2017 Plan”). On June 18, 2025, the Company’s stockholders adopted the Company’s 2025 Incentive Stock and Awards Plan (the “2025 Plan” together with the 2007 Plan and 2017 Plan, the “Plans”).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restricted stock and performance awards. The Plans are administered by the Compensation Committee of the Company’s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8" w:name="xdx_896_eus-gaap--ScheduleOfShareBasedCo"/>
      <w:bookmarkEnd w:id="648"/>
      <w:r>
        <w:rPr>
          <w:rFonts w:ascii="Times New Roman;Times;Serif" w:hAnsi="Times New Roman;Times;Serif"/>
          <w:b w:val="false"/>
          <w:i w:val="false"/>
          <w:caps w:val="false"/>
          <w:smallCaps w:val="false"/>
          <w:sz w:val="20"/>
        </w:rPr>
        <w:t>A summary of stock option activity under the Plans for the six months ended June 30,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9" w:name="xdx_8B9_zz1FRJNYQofl"/>
      <w:bookmarkEnd w:id="649"/>
      <w:r>
        <w:rPr>
          <w:rFonts w:ascii="Times New Roman;Times;Serif" w:hAnsi="Times New Roman;Times;Serif"/>
          <w:b w:val="false"/>
          <w:i w:val="false"/>
          <w:caps w:val="false"/>
          <w:smallCaps w:val="false"/>
          <w:sz w:val="20"/>
        </w:rPr>
        <w:t>SCHEDULE OF STOCK OPTION PLAN ACTIVITY</w:t>
      </w:r>
    </w:p>
    <w:tbl>
      <w:tblPr>
        <w:tblW w:w="10205" w:type="dxa"/>
        <w:jc w:val="left"/>
        <w:tblInd w:w="0" w:type="dxa"/>
        <w:tblLayout w:type="fixed"/>
        <w:tblCellMar>
          <w:top w:w="0" w:type="dxa"/>
          <w:left w:w="0" w:type="dxa"/>
          <w:bottom w:w="0" w:type="dxa"/>
          <w:right w:w="0" w:type="dxa"/>
        </w:tblCellMar>
      </w:tblPr>
      <w:tblGrid>
        <w:gridCol w:w="2084"/>
        <w:gridCol w:w="60"/>
        <w:gridCol w:w="77"/>
        <w:gridCol w:w="1274"/>
        <w:gridCol w:w="95"/>
        <w:gridCol w:w="60"/>
        <w:gridCol w:w="378"/>
        <w:gridCol w:w="1514"/>
        <w:gridCol w:w="60"/>
        <w:gridCol w:w="60"/>
        <w:gridCol w:w="309"/>
        <w:gridCol w:w="2273"/>
        <w:gridCol w:w="60"/>
        <w:gridCol w:w="60"/>
        <w:gridCol w:w="198"/>
        <w:gridCol w:w="1563"/>
        <w:gridCol w:w="80"/>
      </w:tblGrid>
      <w:tr>
        <w:trPr/>
        <w:tc>
          <w:tcPr>
            <w:tcW w:w="20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0" w:type="dxa"/>
            <w:tcBorders/>
            <w:vAlign w:val="center"/>
          </w:tcPr>
          <w:p>
            <w:pPr>
              <w:pStyle w:val="TableContents"/>
              <w:bidi w:val="0"/>
              <w:spacing w:before="0" w:after="283"/>
              <w:jc w:val="center"/>
              <w:rPr/>
            </w:pPr>
            <w:r>
              <w:rPr/>
              <w:t> </w:t>
            </w:r>
          </w:p>
        </w:tc>
      </w:tr>
      <w:tr>
        <w:trPr/>
        <w:tc>
          <w:tcPr>
            <w:tcW w:w="2084" w:type="dxa"/>
            <w:tcBorders/>
            <w:shd w:fill="CCEEFF" w:val="clear"/>
            <w:vAlign w:val="center"/>
          </w:tcPr>
          <w:p>
            <w:pPr>
              <w:pStyle w:val="TableContents"/>
              <w:bidi w:val="0"/>
              <w:spacing w:before="0" w:after="283"/>
              <w:jc w:val="both"/>
              <w:rPr/>
            </w:pPr>
            <w:r>
              <w:rPr/>
              <w:t>Options outstanding – January 1, 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650" w:name="xdx_980_eus-gaap--ShareBasedCompensation"/>
            <w:bookmarkEnd w:id="650"/>
          </w:p>
        </w:tc>
        <w:tc>
          <w:tcPr>
            <w:tcW w:w="1274" w:type="dxa"/>
            <w:tcBorders/>
            <w:shd w:fill="CCEEFF" w:val="clear"/>
            <w:vAlign w:val="center"/>
          </w:tcPr>
          <w:p>
            <w:pPr>
              <w:pStyle w:val="TableContents"/>
              <w:bidi w:val="0"/>
              <w:spacing w:before="0" w:after="283"/>
              <w:jc w:val="right"/>
              <w:rPr/>
            </w:pPr>
            <w:r>
              <w:rPr/>
              <w:t>2,469,099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51" w:name="xdx_98A_eus-gaap--ShareBasedCompensation"/>
            <w:bookmarkEnd w:id="651"/>
          </w:p>
        </w:tc>
        <w:tc>
          <w:tcPr>
            <w:tcW w:w="1514" w:type="dxa"/>
            <w:tcBorders/>
            <w:shd w:fill="CCEEFF" w:val="clear"/>
            <w:vAlign w:val="center"/>
          </w:tcPr>
          <w:p>
            <w:pPr>
              <w:pStyle w:val="TableContents"/>
              <w:bidi w:val="0"/>
              <w:spacing w:before="0" w:after="283"/>
              <w:jc w:val="right"/>
              <w:rPr/>
            </w:pPr>
            <w:r>
              <w:rPr/>
              <w:t>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652" w:name="xdx_98E_eus-gaap--ShareBasedCompensation"/>
            <w:bookmarkEnd w:id="652"/>
          </w:p>
        </w:tc>
        <w:tc>
          <w:tcPr>
            <w:tcW w:w="1274" w:type="dxa"/>
            <w:tcBorders/>
            <w:shd w:fill="FFFFFF" w:val="clear"/>
            <w:vAlign w:val="center"/>
          </w:tcPr>
          <w:p>
            <w:pPr>
              <w:pStyle w:val="TableContents"/>
              <w:bidi w:val="0"/>
              <w:spacing w:before="0" w:after="283"/>
              <w:jc w:val="right"/>
              <w:rPr/>
            </w:pPr>
            <w:r>
              <w:rPr/>
              <w:t>66,000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653" w:name="xdx_985_eus-gaap--ShareBasedCompensation"/>
            <w:bookmarkEnd w:id="653"/>
          </w:p>
        </w:tc>
        <w:tc>
          <w:tcPr>
            <w:tcW w:w="1514" w:type="dxa"/>
            <w:tcBorders/>
            <w:shd w:fill="FFFFFF" w:val="clear"/>
            <w:vAlign w:val="center"/>
          </w:tcPr>
          <w:p>
            <w:pPr>
              <w:pStyle w:val="TableContents"/>
              <w:bidi w:val="0"/>
              <w:spacing w:before="0" w:after="283"/>
              <w:jc w:val="right"/>
              <w:rPr/>
            </w:pPr>
            <w:r>
              <w:rPr/>
              <w:t>32.93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both"/>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654" w:name="xdx_98C_eus-gaap--StockIssuedDuringPerio"/>
            <w:bookmarkEnd w:id="654"/>
          </w:p>
        </w:tc>
        <w:tc>
          <w:tcPr>
            <w:tcW w:w="1274" w:type="dxa"/>
            <w:tcBorders/>
            <w:shd w:fill="CCEEFF" w:val="clear"/>
            <w:vAlign w:val="center"/>
          </w:tcPr>
          <w:p>
            <w:pPr>
              <w:pStyle w:val="TableContents"/>
              <w:bidi w:val="0"/>
              <w:spacing w:before="0" w:after="283"/>
              <w:jc w:val="right"/>
              <w:rPr/>
            </w:pPr>
            <w:r>
              <w:rPr/>
              <w:t>(10,618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55" w:name="xdx_987_eus-gaap--ShareBasedCompensation"/>
            <w:bookmarkEnd w:id="655"/>
          </w:p>
        </w:tc>
        <w:tc>
          <w:tcPr>
            <w:tcW w:w="1514" w:type="dxa"/>
            <w:tcBorders/>
            <w:shd w:fill="CCEEFF" w:val="clear"/>
            <w:vAlign w:val="center"/>
          </w:tcPr>
          <w:p>
            <w:pPr>
              <w:pStyle w:val="TableContents"/>
              <w:bidi w:val="0"/>
              <w:spacing w:before="0" w:after="283"/>
              <w:jc w:val="right"/>
              <w:rPr/>
            </w:pPr>
            <w:r>
              <w:rPr/>
              <w:t>11.78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both"/>
              <w:rPr/>
            </w:pPr>
            <w:r>
              <w:rPr/>
              <w:t>Options cancelled/forfeited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6" w:name="xdx_980_eus-gaap--ShareBasedCompensation"/>
            <w:bookmarkEnd w:id="656"/>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(50,111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657" w:name="xdx_980_eus-gaap--ShareBasedCompensation"/>
            <w:bookmarkEnd w:id="657"/>
          </w:p>
        </w:tc>
        <w:tc>
          <w:tcPr>
            <w:tcW w:w="1514" w:type="dxa"/>
            <w:tcBorders/>
            <w:shd w:fill="FFFFFF" w:val="clear"/>
            <w:vAlign w:val="center"/>
          </w:tcPr>
          <w:p>
            <w:pPr>
              <w:pStyle w:val="TableContents"/>
              <w:bidi w:val="0"/>
              <w:spacing w:before="0" w:after="283"/>
              <w:jc w:val="right"/>
              <w:rPr/>
            </w:pPr>
            <w:r>
              <w:rPr/>
              <w:t>14.90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both"/>
              <w:rPr/>
            </w:pPr>
            <w:r>
              <w:rPr/>
              <w:t>Options outstanding – June 30, 2025</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8" w:name="xdx_988_eus-gaap--ShareBasedCompensation"/>
            <w:bookmarkEnd w:id="658"/>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2,474,370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59" w:name="xdx_984_eus-gaap--ShareBasedCompensation"/>
            <w:bookmarkEnd w:id="659"/>
          </w:p>
        </w:tc>
        <w:tc>
          <w:tcPr>
            <w:tcW w:w="1514"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660" w:name="xdx_90F_eus-gaap--SharebasedCompensation"/>
            <w:bookmarkEnd w:id="660"/>
            <w:r>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661" w:name="xdx_984_eus-gaap--ShareBasedCompensation"/>
            <w:bookmarkEnd w:id="661"/>
          </w:p>
        </w:tc>
        <w:tc>
          <w:tcPr>
            <w:tcW w:w="1563" w:type="dxa"/>
            <w:tcBorders/>
            <w:shd w:fill="CCEEFF" w:val="clear"/>
            <w:vAlign w:val="center"/>
          </w:tcPr>
          <w:p>
            <w:pPr>
              <w:pStyle w:val="TableContents"/>
              <w:bidi w:val="0"/>
              <w:spacing w:before="0" w:after="283"/>
              <w:jc w:val="right"/>
              <w:rPr/>
            </w:pPr>
            <w:r>
              <w:rPr/>
              <w:t>58,679,000</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both"/>
              <w:rPr/>
            </w:pPr>
            <w:r>
              <w:rPr/>
              <w:t>Options exercisable</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2" w:name="xdx_98D_eus-gaap--ShareBasedCompensation"/>
            <w:bookmarkEnd w:id="662"/>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2,259,079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663" w:name="xdx_981_eus-gaap--ShareBasedCompensation"/>
            <w:bookmarkEnd w:id="663"/>
          </w:p>
        </w:tc>
        <w:tc>
          <w:tcPr>
            <w:tcW w:w="1514" w:type="dxa"/>
            <w:tcBorders/>
            <w:shd w:fill="FFFFFF" w:val="clear"/>
            <w:vAlign w:val="center"/>
          </w:tcPr>
          <w:p>
            <w:pPr>
              <w:pStyle w:val="TableContents"/>
              <w:bidi w:val="0"/>
              <w:spacing w:before="0" w:after="283"/>
              <w:jc w:val="right"/>
              <w:rPr/>
            </w:pPr>
            <w:r>
              <w:rPr/>
              <w:t>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bookmarkStart w:id="664" w:name="xdx_907_eus-gaap--SharebasedCompensation"/>
            <w:bookmarkEnd w:id="664"/>
            <w:r>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w:t>
            </w:r>
            <w:bookmarkStart w:id="665" w:name="xdx_98C_eus-gaap--SharebasedCompensation"/>
            <w:bookmarkEnd w:id="665"/>
          </w:p>
        </w:tc>
        <w:tc>
          <w:tcPr>
            <w:tcW w:w="1563" w:type="dxa"/>
            <w:tcBorders/>
            <w:shd w:fill="FFFFFF" w:val="clear"/>
            <w:vAlign w:val="center"/>
          </w:tcPr>
          <w:p>
            <w:pPr>
              <w:pStyle w:val="TableContents"/>
              <w:bidi w:val="0"/>
              <w:spacing w:before="0" w:after="283"/>
              <w:jc w:val="right"/>
              <w:rPr/>
            </w:pPr>
            <w:r>
              <w:rPr/>
              <w:t>56,371,000</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both"/>
              <w:rPr/>
            </w:pPr>
            <w:r>
              <w:rPr/>
              <w:t>Options vested and expected to vest</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66" w:name="xdx_983_eus-gaap--ShareBasedCompensation"/>
            <w:bookmarkEnd w:id="666"/>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2,446,063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667" w:name="xdx_98B_eus-gaap--ShareBasedCompensation"/>
            <w:bookmarkEnd w:id="667"/>
          </w:p>
        </w:tc>
        <w:tc>
          <w:tcPr>
            <w:tcW w:w="1514" w:type="dxa"/>
            <w:tcBorders/>
            <w:shd w:fill="CCEEFF" w:val="clear"/>
            <w:vAlign w:val="center"/>
          </w:tcPr>
          <w:p>
            <w:pPr>
              <w:pStyle w:val="TableContents"/>
              <w:bidi w:val="0"/>
              <w:spacing w:before="0" w:after="283"/>
              <w:jc w:val="right"/>
              <w:rPr/>
            </w:pPr>
            <w:r>
              <w:rPr/>
              <w:t>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668" w:name="xdx_901_eus-gaap--SharebasedCompensation"/>
            <w:bookmarkEnd w:id="668"/>
            <w:r>
              <w:rPr/>
              <w:t>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669" w:name="xdx_986_eus-gaap--ShareBasedCompensation"/>
            <w:bookmarkEnd w:id="669"/>
          </w:p>
        </w:tc>
        <w:tc>
          <w:tcPr>
            <w:tcW w:w="1563" w:type="dxa"/>
            <w:tcBorders/>
            <w:shd w:fill="CCEEFF" w:val="clear"/>
            <w:vAlign w:val="center"/>
          </w:tcPr>
          <w:p>
            <w:pPr>
              <w:pStyle w:val="TableContents"/>
              <w:bidi w:val="0"/>
              <w:spacing w:before="0" w:after="283"/>
              <w:jc w:val="right"/>
              <w:rPr/>
            </w:pPr>
            <w:r>
              <w:rPr/>
              <w:t>58,448,000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0" w:name="xdx_8A9_zC4oMq8Cq3ce"/>
      <w:bookmarkEnd w:id="6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June 30, 2025, based on the closing price of the Company’s common stock of $</w:t>
      </w:r>
      <w:bookmarkStart w:id="671" w:name="xdx_906_eus-gaap--SharePrice_iI_pid_c202"/>
      <w:bookmarkEnd w:id="671"/>
      <w:r>
        <w:rPr>
          <w:rFonts w:ascii="Times New Roman;Times;Serif" w:hAnsi="Times New Roman;Times;Serif"/>
          <w:b w:val="false"/>
          <w:i w:val="false"/>
          <w:caps w:val="false"/>
          <w:smallCaps w:val="false"/>
          <w:sz w:val="20"/>
        </w:rPr>
        <w:t>30.54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granted stock options to certain employees. </w:t>
      </w:r>
      <w:bookmarkStart w:id="672" w:name="xdx_901_eus-gaap--ShareBasedCompensation"/>
      <w:bookmarkEnd w:id="672"/>
      <w:r>
        <w:rPr>
          <w:rFonts w:ascii="Times New Roman;Times;Serif" w:hAnsi="Times New Roman;Times;Serif"/>
          <w:b w:val="false"/>
          <w:i w:val="false"/>
          <w:caps w:val="false"/>
          <w:smallCaps w:val="false"/>
          <w:sz w:val="20"/>
        </w:rPr>
        <w:t>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three and six months ended June 30, 2025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673" w:name="xdx_90E_ecustom--ShareBasedCompensationA"/>
      <w:bookmarkEnd w:id="673"/>
      <w:r>
        <w:rPr>
          <w:rFonts w:ascii="Times New Roman;Times;Serif" w:hAnsi="Times New Roman;Times;Serif"/>
          <w:b w:val="false"/>
          <w:i w:val="false"/>
          <w:caps w:val="false"/>
          <w:smallCaps w:val="false"/>
          <w:sz w:val="20"/>
        </w:rPr>
        <w:t>10%. These factors could change in the future, which would affect the determination of stock-based compensation expense in future periods. Utilizing these assumptions, the fair value is determined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4" w:name="xdx_89E_eus-gaap--ScheduleOfShareBasedPa"/>
      <w:bookmarkEnd w:id="674"/>
      <w:r>
        <w:rPr>
          <w:rFonts w:ascii="Times New Roman;Times;Serif" w:hAnsi="Times New Roman;Times;Serif"/>
          <w:b w:val="false"/>
          <w:i w:val="false"/>
          <w:caps w:val="false"/>
          <w:smallCaps w:val="false"/>
          <w:sz w:val="20"/>
        </w:rPr>
        <w:t>The table below illustrates the fair value per share determined using the Black-Scholes-Merton option pricing model with the following assumptions used for valuing options granted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5" w:name="xdx_8BA_z98bncV9wmUh"/>
      <w:bookmarkEnd w:id="675"/>
      <w:r>
        <w:rPr>
          <w:rFonts w:ascii="Times New Roman;Times;Serif" w:hAnsi="Times New Roman;Times;Serif"/>
          <w:b w:val="false"/>
          <w:i w:val="false"/>
          <w:caps w:val="false"/>
          <w:smallCaps w:val="false"/>
          <w:sz w:val="20"/>
        </w:rPr>
        <w:t>SCHEDULE OF FAIR VALUE ASSUMPTIONS</w:t>
      </w:r>
    </w:p>
    <w:tbl>
      <w:tblPr>
        <w:tblW w:w="6050" w:type="dxa"/>
        <w:jc w:val="left"/>
        <w:tblInd w:w="0" w:type="dxa"/>
        <w:tblLayout w:type="fixed"/>
        <w:tblCellMar>
          <w:top w:w="0" w:type="dxa"/>
          <w:left w:w="0" w:type="dxa"/>
          <w:bottom w:w="0" w:type="dxa"/>
          <w:right w:w="0" w:type="dxa"/>
        </w:tblCellMar>
      </w:tblPr>
      <w:tblGrid>
        <w:gridCol w:w="4475"/>
        <w:gridCol w:w="60"/>
        <w:gridCol w:w="140"/>
        <w:gridCol w:w="1175"/>
        <w:gridCol w:w="200"/>
      </w:tblGrid>
      <w:tr>
        <w:trPr/>
        <w:tc>
          <w:tcPr>
            <w:tcW w:w="44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0" w:type="dxa"/>
            <w:tcBorders/>
            <w:vAlign w:val="center"/>
          </w:tcPr>
          <w:p>
            <w:pPr>
              <w:pStyle w:val="TableContents"/>
              <w:bidi w:val="0"/>
              <w:spacing w:before="0" w:after="283"/>
              <w:jc w:val="both"/>
              <w:rPr/>
            </w:pPr>
            <w:r>
              <w:rPr/>
              <w:t> </w:t>
            </w:r>
          </w:p>
        </w:tc>
      </w:tr>
      <w:tr>
        <w:trPr/>
        <w:tc>
          <w:tcPr>
            <w:tcW w:w="4475" w:type="dxa"/>
            <w:tcBorders/>
            <w:shd w:fill="CCEEFF" w:val="clear"/>
            <w:vAlign w:val="center"/>
          </w:tcPr>
          <w:p>
            <w:pPr>
              <w:pStyle w:val="TableContents"/>
              <w:bidi w:val="0"/>
              <w:spacing w:before="0" w:after="283"/>
              <w:jc w:val="both"/>
              <w:rPr/>
            </w:pPr>
            <w:r>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76" w:name="xdx_98C_eus-gaap--ShareBasedCompensation"/>
            <w:bookmarkEnd w:id="676"/>
          </w:p>
        </w:tc>
        <w:tc>
          <w:tcPr>
            <w:tcW w:w="1175" w:type="dxa"/>
            <w:tcBorders/>
            <w:shd w:fill="CCEEFF" w:val="clear"/>
            <w:vAlign w:val="center"/>
          </w:tcPr>
          <w:p>
            <w:pPr>
              <w:pStyle w:val="TableContents"/>
              <w:bidi w:val="0"/>
              <w:spacing w:before="0" w:after="283"/>
              <w:jc w:val="right"/>
              <w:rPr/>
            </w:pPr>
            <w:r>
              <w:rPr/>
              <w:t>22.04</w:t>
            </w:r>
          </w:p>
        </w:tc>
        <w:tc>
          <w:tcPr>
            <w:tcW w:w="200" w:type="dxa"/>
            <w:tcBorders/>
            <w:shd w:fill="CCEEFF" w:val="clear"/>
            <w:vAlign w:val="center"/>
          </w:tcPr>
          <w:p>
            <w:pPr>
              <w:pStyle w:val="TableContents"/>
              <w:bidi w:val="0"/>
              <w:spacing w:before="0" w:after="283"/>
              <w:jc w:val="right"/>
              <w:rPr/>
            </w:pPr>
            <w:r>
              <w:rPr/>
              <w:t> </w:t>
            </w:r>
          </w:p>
        </w:tc>
      </w:tr>
      <w:tr>
        <w:trPr/>
        <w:tc>
          <w:tcPr>
            <w:tcW w:w="4475" w:type="dxa"/>
            <w:tcBorders/>
            <w:shd w:fill="FFFFFF" w:val="clear"/>
            <w:vAlign w:val="center"/>
          </w:tcPr>
          <w:p>
            <w:pPr>
              <w:pStyle w:val="TableContents"/>
              <w:bidi w:val="0"/>
              <w:spacing w:before="0" w:after="283"/>
              <w:jc w:val="both"/>
              <w:rPr/>
            </w:pPr>
            <w:r>
              <w:rPr/>
              <w:t>Expected terms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bookmarkStart w:id="677" w:name="xdx_901_eus-gaap--SharebasedCompensation"/>
            <w:bookmarkEnd w:id="677"/>
            <w:r>
              <w:rPr/>
              <w:t>6.11</w:t>
            </w:r>
          </w:p>
        </w:tc>
        <w:tc>
          <w:tcPr>
            <w:tcW w:w="200" w:type="dxa"/>
            <w:tcBorders/>
            <w:shd w:fill="FFFFFF" w:val="clear"/>
            <w:vAlign w:val="center"/>
          </w:tcPr>
          <w:p>
            <w:pPr>
              <w:pStyle w:val="TableContents"/>
              <w:bidi w:val="0"/>
              <w:spacing w:before="0" w:after="283"/>
              <w:jc w:val="right"/>
              <w:rPr/>
            </w:pPr>
            <w:r>
              <w:rPr/>
              <w:t> </w:t>
            </w:r>
          </w:p>
        </w:tc>
      </w:tr>
      <w:tr>
        <w:trPr/>
        <w:tc>
          <w:tcPr>
            <w:tcW w:w="4475" w:type="dxa"/>
            <w:tcBorders/>
            <w:shd w:fill="CCEEFF" w:val="clear"/>
            <w:vAlign w:val="center"/>
          </w:tcPr>
          <w:p>
            <w:pPr>
              <w:pStyle w:val="TableContents"/>
              <w:bidi w:val="0"/>
              <w:spacing w:before="0" w:after="283"/>
              <w:jc w:val="both"/>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bookmarkStart w:id="678" w:name="xdx_90A_eus-gaap--ShareBasedCompensation"/>
            <w:bookmarkEnd w:id="678"/>
            <w:r>
              <w:rPr>
                <w:rFonts w:ascii="Times New Roman;Times;Serif" w:hAnsi="Times New Roman;Times;Serif"/>
                <w:sz w:val="20"/>
              </w:rPr>
              <w:t>71.19%-</w:t>
            </w:r>
            <w:bookmarkStart w:id="679" w:name="xdx_903_eus-gaap--ShareBasedCompensation"/>
            <w:bookmarkEnd w:id="679"/>
            <w:r>
              <w:rPr>
                <w:rFonts w:ascii="Times New Roman;Times;Serif" w:hAnsi="Times New Roman;Times;Serif"/>
                <w:sz w:val="20"/>
              </w:rPr>
              <w:t>71.30</w:t>
            </w:r>
          </w:p>
        </w:tc>
        <w:tc>
          <w:tcPr>
            <w:tcW w:w="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283"/>
              <w:jc w:val="both"/>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bookmarkStart w:id="680" w:name="xdx_90F_eus-gaap--ShareBasedCompensation"/>
            <w:bookmarkEnd w:id="680"/>
            <w:r>
              <w:rPr>
                <w:rFonts w:ascii="Times New Roman;Times;Serif" w:hAnsi="Times New Roman;Times;Serif"/>
                <w:sz w:val="20"/>
              </w:rPr>
              <w:t>4.16%-</w:t>
            </w:r>
            <w:bookmarkStart w:id="681" w:name="xdx_90C_eus-gaap--ShareBasedCompensation"/>
            <w:bookmarkEnd w:id="681"/>
            <w:r>
              <w:rPr>
                <w:rFonts w:ascii="Times New Roman;Times;Serif" w:hAnsi="Times New Roman;Times;Serif"/>
                <w:sz w:val="20"/>
              </w:rPr>
              <w:t>4.53</w:t>
            </w:r>
          </w:p>
        </w:tc>
        <w:tc>
          <w:tcPr>
            <w:tcW w:w="2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both"/>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82" w:name="xdx_98F_eus-gaap--ShareBasedCompensation"/>
            <w:bookmarkEnd w:id="682"/>
          </w:p>
        </w:tc>
        <w:tc>
          <w:tcPr>
            <w:tcW w:w="1175" w:type="dxa"/>
            <w:tcBorders/>
            <w:shd w:fill="CCEEFF" w:val="clear"/>
            <w:vAlign w:val="center"/>
          </w:tcPr>
          <w:p>
            <w:pPr>
              <w:pStyle w:val="TableContents"/>
              <w:bidi w:val="0"/>
              <w:spacing w:before="0" w:after="283"/>
              <w:jc w:val="right"/>
              <w:rPr/>
            </w:pPr>
            <w:r>
              <w:rPr/>
              <w:t>-</w:t>
            </w:r>
          </w:p>
        </w:tc>
        <w:tc>
          <w:tcPr>
            <w:tcW w:w="200"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bookmarkStart w:id="683" w:name="xdx_8AF_zjGchSFnzIte"/>
      <w:bookmarkEnd w:id="68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4" w:name="xdx_89A_eus-gaap--ScheduleOfShareBasedCo"/>
      <w:bookmarkEnd w:id="684"/>
      <w:r>
        <w:rPr>
          <w:rFonts w:ascii="Times New Roman;Times;Serif" w:hAnsi="Times New Roman;Times;Serif"/>
          <w:b w:val="false"/>
          <w:i w:val="false"/>
          <w:caps w:val="false"/>
          <w:smallCaps w:val="false"/>
          <w:sz w:val="20"/>
        </w:rPr>
        <w:t>The following table summarizes information about stock options outstanding and exercisable at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85" w:name="xdx_8BB_zASnnqmbMvde"/>
      <w:bookmarkEnd w:id="685"/>
      <w:r>
        <w:rPr>
          <w:rFonts w:ascii="Times New Roman;Times;Serif" w:hAnsi="Times New Roman;Times;Serif"/>
          <w:b w:val="false"/>
          <w:i w:val="false"/>
          <w:caps w:val="false"/>
          <w:smallCaps w:val="false"/>
          <w:sz w:val="20"/>
        </w:rPr>
        <w:t>SCHEDULE OF STOCK OPTION OUTSTANDING AND EXERCISABLE</w:t>
      </w:r>
    </w:p>
    <w:tbl>
      <w:tblPr>
        <w:tblW w:w="10205" w:type="dxa"/>
        <w:jc w:val="left"/>
        <w:tblInd w:w="0" w:type="dxa"/>
        <w:tblLayout w:type="fixed"/>
        <w:tblCellMar>
          <w:top w:w="0" w:type="dxa"/>
          <w:left w:w="0" w:type="dxa"/>
          <w:bottom w:w="0" w:type="dxa"/>
          <w:right w:w="0" w:type="dxa"/>
        </w:tblCellMar>
      </w:tblPr>
      <w:tblGrid>
        <w:gridCol w:w="1822"/>
        <w:gridCol w:w="60"/>
        <w:gridCol w:w="60"/>
        <w:gridCol w:w="1470"/>
        <w:gridCol w:w="60"/>
        <w:gridCol w:w="60"/>
        <w:gridCol w:w="60"/>
        <w:gridCol w:w="3151"/>
        <w:gridCol w:w="60"/>
        <w:gridCol w:w="60"/>
        <w:gridCol w:w="140"/>
        <w:gridCol w:w="830"/>
        <w:gridCol w:w="60"/>
        <w:gridCol w:w="60"/>
        <w:gridCol w:w="60"/>
        <w:gridCol w:w="1025"/>
        <w:gridCol w:w="60"/>
        <w:gridCol w:w="60"/>
        <w:gridCol w:w="140"/>
        <w:gridCol w:w="830"/>
        <w:gridCol w:w="77"/>
      </w:tblGrid>
      <w:tr>
        <w:trPr/>
        <w:tc>
          <w:tcPr>
            <w:tcW w:w="182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5891"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 Outstanding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115"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 Exercisable</w:t>
            </w:r>
          </w:p>
        </w:tc>
        <w:tc>
          <w:tcPr>
            <w:tcW w:w="77" w:type="dxa"/>
            <w:tcBorders/>
            <w:shd w:fill="FFFFFF" w:val="clear"/>
            <w:vAlign w:val="center"/>
          </w:tcPr>
          <w:p>
            <w:pPr>
              <w:pStyle w:val="TableContents"/>
              <w:bidi w:val="0"/>
              <w:spacing w:before="0" w:after="283"/>
              <w:jc w:val="center"/>
              <w:rPr/>
            </w:pPr>
            <w:r>
              <w:rPr/>
              <w:t> </w:t>
            </w:r>
          </w:p>
        </w:tc>
      </w:tr>
      <w:tr>
        <w:trPr/>
        <w:tc>
          <w:tcPr>
            <w:tcW w:w="1822"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Range of Exercise Prices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Outstanding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15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Remaining Contractual Life in Years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7" w:type="dxa"/>
            <w:tcBorders/>
            <w:shd w:fill="FFFFFF" w:val="clear"/>
            <w:vAlign w:val="center"/>
          </w:tcPr>
          <w:p>
            <w:pPr>
              <w:pStyle w:val="TableContents"/>
              <w:bidi w:val="0"/>
              <w:spacing w:before="0" w:after="283"/>
              <w:jc w:val="center"/>
              <w:rPr/>
            </w:pPr>
            <w:r>
              <w:rPr/>
              <w:t> </w:t>
            </w:r>
          </w:p>
        </w:tc>
      </w:tr>
      <w:tr>
        <w:trPr/>
        <w:tc>
          <w:tcPr>
            <w:tcW w:w="1822" w:type="dxa"/>
            <w:tcBorders/>
            <w:shd w:fill="CCEEFF" w:val="clear"/>
            <w:vAlign w:val="center"/>
          </w:tcPr>
          <w:p>
            <w:pPr>
              <w:pStyle w:val="TableContents"/>
              <w:bidi w:val="0"/>
              <w:spacing w:before="0" w:after="283"/>
              <w:jc w:val="center"/>
              <w:rPr/>
            </w:pPr>
            <w:r>
              <w:rPr/>
              <w:t>$</w:t>
            </w:r>
            <w:bookmarkStart w:id="686" w:name="xdx_906_eus-gaap--ShareBasedCompensation"/>
            <w:bookmarkEnd w:id="686"/>
            <w:r>
              <w:rPr/>
              <w:t>1.47 - $</w:t>
            </w:r>
            <w:bookmarkStart w:id="687" w:name="xdx_902_eus-gaap--ShareBasedCompensation"/>
            <w:bookmarkEnd w:id="687"/>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8" w:name="xdx_983_eus-gaap--ShareBasedCompensation"/>
            <w:bookmarkEnd w:id="688"/>
          </w:p>
        </w:tc>
        <w:tc>
          <w:tcPr>
            <w:tcW w:w="1470" w:type="dxa"/>
            <w:tcBorders/>
            <w:shd w:fill="CCEEFF" w:val="clear"/>
            <w:vAlign w:val="center"/>
          </w:tcPr>
          <w:p>
            <w:pPr>
              <w:pStyle w:val="TableContents"/>
              <w:bidi w:val="0"/>
              <w:spacing w:before="0" w:after="283"/>
              <w:jc w:val="right"/>
              <w:rPr/>
            </w:pPr>
            <w:r>
              <w:rPr/>
              <w:t>31,942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1" w:type="dxa"/>
            <w:tcBorders/>
            <w:shd w:fill="CCEEFF" w:val="clear"/>
            <w:vAlign w:val="center"/>
          </w:tcPr>
          <w:p>
            <w:pPr>
              <w:pStyle w:val="TableContents"/>
              <w:bidi w:val="0"/>
              <w:spacing w:before="0" w:after="283"/>
              <w:jc w:val="right"/>
              <w:rPr/>
            </w:pPr>
            <w:bookmarkStart w:id="689" w:name="xdx_90A_eus-gaap--SharebasedCompensation"/>
            <w:bookmarkEnd w:id="689"/>
            <w:r>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90" w:name="xdx_98D_eus-gaap--SharebasedCompensation"/>
            <w:bookmarkEnd w:id="690"/>
          </w:p>
        </w:tc>
        <w:tc>
          <w:tcPr>
            <w:tcW w:w="830"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91" w:name="xdx_980_eus-gaap--ShareBasedCompensation"/>
            <w:bookmarkEnd w:id="691"/>
          </w:p>
        </w:tc>
        <w:tc>
          <w:tcPr>
            <w:tcW w:w="1025" w:type="dxa"/>
            <w:tcBorders/>
            <w:shd w:fill="CCEEFF" w:val="clear"/>
            <w:vAlign w:val="center"/>
          </w:tcPr>
          <w:p>
            <w:pPr>
              <w:pStyle w:val="TableContents"/>
              <w:bidi w:val="0"/>
              <w:spacing w:before="0" w:after="283"/>
              <w:jc w:val="right"/>
              <w:rPr/>
            </w:pPr>
            <w:r>
              <w:rPr/>
              <w:t>31,942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92" w:name="xdx_980_eus-gaap--SharebasedCompensation"/>
            <w:bookmarkEnd w:id="692"/>
          </w:p>
        </w:tc>
        <w:tc>
          <w:tcPr>
            <w:tcW w:w="830" w:type="dxa"/>
            <w:tcBorders/>
            <w:shd w:fill="CCEEFF" w:val="clear"/>
            <w:vAlign w:val="center"/>
          </w:tcPr>
          <w:p>
            <w:pPr>
              <w:pStyle w:val="TableContents"/>
              <w:bidi w:val="0"/>
              <w:spacing w:before="0" w:after="283"/>
              <w:jc w:val="right"/>
              <w:rPr/>
            </w:pPr>
            <w:r>
              <w:rPr/>
              <w:t>1.68</w:t>
            </w:r>
          </w:p>
        </w:tc>
        <w:tc>
          <w:tcPr>
            <w:tcW w:w="77" w:type="dxa"/>
            <w:tcBorders/>
            <w:shd w:fill="CCEEFF" w:val="clear"/>
            <w:vAlign w:val="center"/>
          </w:tcPr>
          <w:p>
            <w:pPr>
              <w:pStyle w:val="TableContents"/>
              <w:bidi w:val="0"/>
              <w:spacing w:before="0" w:after="283"/>
              <w:jc w:val="left"/>
              <w:rPr/>
            </w:pPr>
            <w:r>
              <w:rPr/>
              <w:t> </w:t>
            </w:r>
          </w:p>
        </w:tc>
      </w:tr>
      <w:tr>
        <w:trPr/>
        <w:tc>
          <w:tcPr>
            <w:tcW w:w="1822" w:type="dxa"/>
            <w:tcBorders/>
            <w:shd w:fill="FFFFFF" w:val="clear"/>
            <w:vAlign w:val="center"/>
          </w:tcPr>
          <w:p>
            <w:pPr>
              <w:pStyle w:val="TableContents"/>
              <w:bidi w:val="0"/>
              <w:spacing w:before="0" w:after="283"/>
              <w:jc w:val="center"/>
              <w:rPr/>
            </w:pPr>
            <w:r>
              <w:rPr/>
              <w:t>$</w:t>
            </w:r>
            <w:bookmarkStart w:id="693" w:name="xdx_90D_eus-gaap--ShareBasedCompensation"/>
            <w:bookmarkEnd w:id="693"/>
            <w:r>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4" w:name="xdx_985_eus-gaap--ShareBasedCompensation"/>
            <w:bookmarkEnd w:id="694"/>
          </w:p>
        </w:tc>
        <w:tc>
          <w:tcPr>
            <w:tcW w:w="1470" w:type="dxa"/>
            <w:tcBorders/>
            <w:shd w:fill="FFFFFF" w:val="clear"/>
            <w:vAlign w:val="center"/>
          </w:tcPr>
          <w:p>
            <w:pPr>
              <w:pStyle w:val="TableContents"/>
              <w:bidi w:val="0"/>
              <w:spacing w:before="0" w:after="283"/>
              <w:jc w:val="right"/>
              <w:rPr/>
            </w:pPr>
            <w:r>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1" w:type="dxa"/>
            <w:tcBorders/>
            <w:shd w:fill="FFFFFF" w:val="clear"/>
            <w:vAlign w:val="center"/>
          </w:tcPr>
          <w:p>
            <w:pPr>
              <w:pStyle w:val="TableContents"/>
              <w:bidi w:val="0"/>
              <w:spacing w:before="0" w:after="283"/>
              <w:jc w:val="right"/>
              <w:rPr/>
            </w:pPr>
            <w:bookmarkStart w:id="695" w:name="xdx_901_eus-gaap--SharebasedCompensation"/>
            <w:bookmarkEnd w:id="695"/>
            <w:r>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96" w:name="xdx_98F_eus-gaap--SharebasedCompensation"/>
            <w:bookmarkEnd w:id="696"/>
          </w:p>
        </w:tc>
        <w:tc>
          <w:tcPr>
            <w:tcW w:w="830" w:type="dxa"/>
            <w:tcBorders/>
            <w:shd w:fill="FFFFFF" w:val="clear"/>
            <w:vAlign w:val="center"/>
          </w:tcPr>
          <w:p>
            <w:pPr>
              <w:pStyle w:val="TableContents"/>
              <w:bidi w:val="0"/>
              <w:spacing w:before="0" w:after="283"/>
              <w:jc w:val="right"/>
              <w:rPr/>
            </w:pPr>
            <w:r>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7" w:name="xdx_989_eus-gaap--ShareBasedCompensation"/>
            <w:bookmarkEnd w:id="697"/>
          </w:p>
        </w:tc>
        <w:tc>
          <w:tcPr>
            <w:tcW w:w="1025" w:type="dxa"/>
            <w:tcBorders/>
            <w:shd w:fill="FFFFFF" w:val="clear"/>
            <w:vAlign w:val="center"/>
          </w:tcPr>
          <w:p>
            <w:pPr>
              <w:pStyle w:val="TableContents"/>
              <w:bidi w:val="0"/>
              <w:spacing w:before="0" w:after="283"/>
              <w:jc w:val="right"/>
              <w:rPr/>
            </w:pPr>
            <w:r>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98" w:name="xdx_985_eus-gaap--SharebasedCompensation"/>
            <w:bookmarkEnd w:id="698"/>
          </w:p>
        </w:tc>
        <w:tc>
          <w:tcPr>
            <w:tcW w:w="830" w:type="dxa"/>
            <w:tcBorders/>
            <w:shd w:fill="FFFFFF" w:val="clear"/>
            <w:vAlign w:val="center"/>
          </w:tcPr>
          <w:p>
            <w:pPr>
              <w:pStyle w:val="TableContents"/>
              <w:bidi w:val="0"/>
              <w:spacing w:before="0" w:after="283"/>
              <w:jc w:val="right"/>
              <w:rPr/>
            </w:pPr>
            <w:r>
              <w:rPr/>
              <w:t>1.73</w:t>
            </w:r>
          </w:p>
        </w:tc>
        <w:tc>
          <w:tcPr>
            <w:tcW w:w="77" w:type="dxa"/>
            <w:tcBorders/>
            <w:shd w:fill="FFFFFF" w:val="clear"/>
            <w:vAlign w:val="center"/>
          </w:tcPr>
          <w:p>
            <w:pPr>
              <w:pStyle w:val="TableContents"/>
              <w:bidi w:val="0"/>
              <w:spacing w:before="0" w:after="283"/>
              <w:jc w:val="left"/>
              <w:rPr/>
            </w:pPr>
            <w:r>
              <w:rPr/>
              <w:t> </w:t>
            </w:r>
          </w:p>
        </w:tc>
      </w:tr>
      <w:tr>
        <w:trPr/>
        <w:tc>
          <w:tcPr>
            <w:tcW w:w="1822" w:type="dxa"/>
            <w:tcBorders/>
            <w:shd w:fill="CCEEFF" w:val="clear"/>
            <w:vAlign w:val="center"/>
          </w:tcPr>
          <w:p>
            <w:pPr>
              <w:pStyle w:val="TableContents"/>
              <w:bidi w:val="0"/>
              <w:spacing w:before="0" w:after="283"/>
              <w:jc w:val="center"/>
              <w:rPr/>
            </w:pPr>
            <w:r>
              <w:rPr/>
              <w:t>$</w:t>
            </w:r>
            <w:bookmarkStart w:id="699" w:name="xdx_90F_eus-gaap--ShareBasedCompensation"/>
            <w:bookmarkEnd w:id="699"/>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00" w:name="xdx_989_eus-gaap--ShareBasedCompensation"/>
            <w:bookmarkEnd w:id="700"/>
          </w:p>
        </w:tc>
        <w:tc>
          <w:tcPr>
            <w:tcW w:w="147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1" w:type="dxa"/>
            <w:tcBorders/>
            <w:shd w:fill="CCEEFF" w:val="clear"/>
            <w:vAlign w:val="center"/>
          </w:tcPr>
          <w:p>
            <w:pPr>
              <w:pStyle w:val="TableContents"/>
              <w:bidi w:val="0"/>
              <w:spacing w:before="0" w:after="283"/>
              <w:jc w:val="right"/>
              <w:rPr/>
            </w:pPr>
            <w:bookmarkStart w:id="701" w:name="xdx_905_eus-gaap--SharebasedCompensation"/>
            <w:bookmarkEnd w:id="701"/>
            <w:r>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2" w:name="xdx_987_eus-gaap--SharebasedCompensation"/>
            <w:bookmarkEnd w:id="702"/>
          </w:p>
        </w:tc>
        <w:tc>
          <w:tcPr>
            <w:tcW w:w="830"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03" w:name="xdx_982_eus-gaap--ShareBasedCompensation"/>
            <w:bookmarkEnd w:id="703"/>
          </w:p>
        </w:tc>
        <w:tc>
          <w:tcPr>
            <w:tcW w:w="1025"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4" w:name="xdx_98C_eus-gaap--SharebasedCompensation"/>
            <w:bookmarkEnd w:id="704"/>
          </w:p>
        </w:tc>
        <w:tc>
          <w:tcPr>
            <w:tcW w:w="830" w:type="dxa"/>
            <w:tcBorders/>
            <w:shd w:fill="CCEEFF" w:val="clear"/>
            <w:vAlign w:val="center"/>
          </w:tcPr>
          <w:p>
            <w:pPr>
              <w:pStyle w:val="TableContents"/>
              <w:bidi w:val="0"/>
              <w:spacing w:before="0" w:after="283"/>
              <w:jc w:val="right"/>
              <w:rPr/>
            </w:pPr>
            <w:r>
              <w:rPr/>
              <w:t>2.23</w:t>
            </w:r>
          </w:p>
        </w:tc>
        <w:tc>
          <w:tcPr>
            <w:tcW w:w="77" w:type="dxa"/>
            <w:tcBorders/>
            <w:shd w:fill="CCEEFF" w:val="clear"/>
            <w:vAlign w:val="center"/>
          </w:tcPr>
          <w:p>
            <w:pPr>
              <w:pStyle w:val="TableContents"/>
              <w:bidi w:val="0"/>
              <w:spacing w:before="0" w:after="283"/>
              <w:jc w:val="left"/>
              <w:rPr/>
            </w:pPr>
            <w:r>
              <w:rPr/>
              <w:t> </w:t>
            </w:r>
          </w:p>
        </w:tc>
      </w:tr>
      <w:tr>
        <w:trPr/>
        <w:tc>
          <w:tcPr>
            <w:tcW w:w="1822" w:type="dxa"/>
            <w:tcBorders/>
            <w:shd w:fill="FFFFFF" w:val="clear"/>
            <w:vAlign w:val="center"/>
          </w:tcPr>
          <w:p>
            <w:pPr>
              <w:pStyle w:val="TableContents"/>
              <w:bidi w:val="0"/>
              <w:spacing w:before="0" w:after="283"/>
              <w:jc w:val="center"/>
              <w:rPr/>
            </w:pPr>
            <w:r>
              <w:rPr/>
              <w:t>$</w:t>
            </w:r>
            <w:bookmarkStart w:id="705" w:name="xdx_906_eus-gaap--ShareBasedCompensation"/>
            <w:bookmarkEnd w:id="705"/>
            <w:r>
              <w:rPr/>
              <w:t>2.40 - $</w:t>
            </w:r>
            <w:bookmarkStart w:id="706" w:name="xdx_907_eus-gaap--ShareBasedCompensation"/>
            <w:bookmarkEnd w:id="706"/>
            <w:r>
              <w:rPr/>
              <w:t>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07" w:name="xdx_98B_eus-gaap--ShareBasedCompensation"/>
            <w:bookmarkEnd w:id="707"/>
          </w:p>
        </w:tc>
        <w:tc>
          <w:tcPr>
            <w:tcW w:w="1470" w:type="dxa"/>
            <w:tcBorders/>
            <w:shd w:fill="FFFFFF" w:val="clear"/>
            <w:vAlign w:val="center"/>
          </w:tcPr>
          <w:p>
            <w:pPr>
              <w:pStyle w:val="TableContents"/>
              <w:bidi w:val="0"/>
              <w:spacing w:before="0" w:after="283"/>
              <w:jc w:val="right"/>
              <w:rPr/>
            </w:pPr>
            <w:r>
              <w:rPr/>
              <w:t>14,068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1" w:type="dxa"/>
            <w:tcBorders/>
            <w:shd w:fill="FFFFFF" w:val="clear"/>
            <w:vAlign w:val="center"/>
          </w:tcPr>
          <w:p>
            <w:pPr>
              <w:pStyle w:val="TableContents"/>
              <w:bidi w:val="0"/>
              <w:spacing w:before="0" w:after="283"/>
              <w:jc w:val="right"/>
              <w:rPr/>
            </w:pPr>
            <w:bookmarkStart w:id="708" w:name="xdx_908_eus-gaap--SharebasedCompensation"/>
            <w:bookmarkEnd w:id="708"/>
            <w:r>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09" w:name="xdx_989_eus-gaap--SharebasedCompensation"/>
            <w:bookmarkEnd w:id="709"/>
          </w:p>
        </w:tc>
        <w:tc>
          <w:tcPr>
            <w:tcW w:w="830" w:type="dxa"/>
            <w:tcBorders/>
            <w:shd w:fill="FFFFFF" w:val="cle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10" w:name="xdx_98E_eus-gaap--ShareBasedCompensation"/>
            <w:bookmarkEnd w:id="710"/>
          </w:p>
        </w:tc>
        <w:tc>
          <w:tcPr>
            <w:tcW w:w="1025" w:type="dxa"/>
            <w:tcBorders/>
            <w:shd w:fill="FFFFFF" w:val="clear"/>
            <w:vAlign w:val="center"/>
          </w:tcPr>
          <w:p>
            <w:pPr>
              <w:pStyle w:val="TableContents"/>
              <w:bidi w:val="0"/>
              <w:spacing w:before="0" w:after="283"/>
              <w:jc w:val="right"/>
              <w:rPr/>
            </w:pPr>
            <w:r>
              <w:rPr/>
              <w:t>14,068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11" w:name="xdx_983_eus-gaap--SharebasedCompensation"/>
            <w:bookmarkEnd w:id="711"/>
          </w:p>
        </w:tc>
        <w:tc>
          <w:tcPr>
            <w:tcW w:w="830" w:type="dxa"/>
            <w:tcBorders/>
            <w:shd w:fill="FFFFFF" w:val="clear"/>
            <w:vAlign w:val="center"/>
          </w:tcPr>
          <w:p>
            <w:pPr>
              <w:pStyle w:val="TableContents"/>
              <w:bidi w:val="0"/>
              <w:spacing w:before="0" w:after="283"/>
              <w:jc w:val="right"/>
              <w:rPr/>
            </w:pPr>
            <w:r>
              <w:rPr/>
              <w:t>2.57</w:t>
            </w:r>
          </w:p>
        </w:tc>
        <w:tc>
          <w:tcPr>
            <w:tcW w:w="77" w:type="dxa"/>
            <w:tcBorders/>
            <w:shd w:fill="FFFFFF" w:val="clear"/>
            <w:vAlign w:val="center"/>
          </w:tcPr>
          <w:p>
            <w:pPr>
              <w:pStyle w:val="TableContents"/>
              <w:bidi w:val="0"/>
              <w:spacing w:before="0" w:after="283"/>
              <w:jc w:val="left"/>
              <w:rPr/>
            </w:pPr>
            <w:r>
              <w:rPr/>
              <w:t> </w:t>
            </w:r>
          </w:p>
        </w:tc>
      </w:tr>
      <w:tr>
        <w:trPr/>
        <w:tc>
          <w:tcPr>
            <w:tcW w:w="1822" w:type="dxa"/>
            <w:tcBorders/>
            <w:shd w:fill="CCEEFF" w:val="clear"/>
            <w:vAlign w:val="center"/>
          </w:tcPr>
          <w:p>
            <w:pPr>
              <w:pStyle w:val="TableContents"/>
              <w:bidi w:val="0"/>
              <w:spacing w:before="0" w:after="283"/>
              <w:jc w:val="center"/>
              <w:rPr/>
            </w:pPr>
            <w:r>
              <w:rPr/>
              <w:t>$</w:t>
            </w:r>
            <w:bookmarkStart w:id="712" w:name="xdx_903_eus-gaap--ShareBasedCompensation"/>
            <w:bookmarkEnd w:id="712"/>
            <w:r>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13" w:name="xdx_98F_eus-gaap--ShareBasedCompensation"/>
            <w:bookmarkEnd w:id="713"/>
          </w:p>
        </w:tc>
        <w:tc>
          <w:tcPr>
            <w:tcW w:w="1470" w:type="dxa"/>
            <w:tcBorders/>
            <w:shd w:fill="CCEEFF" w:val="clear"/>
            <w:vAlign w:val="center"/>
          </w:tcPr>
          <w:p>
            <w:pPr>
              <w:pStyle w:val="TableContents"/>
              <w:bidi w:val="0"/>
              <w:spacing w:before="0" w:after="283"/>
              <w:jc w:val="right"/>
              <w:rPr/>
            </w:pPr>
            <w:r>
              <w:rPr/>
              <w:t>308,500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1" w:type="dxa"/>
            <w:tcBorders/>
            <w:shd w:fill="CCEEFF" w:val="clear"/>
            <w:vAlign w:val="center"/>
          </w:tcPr>
          <w:p>
            <w:pPr>
              <w:pStyle w:val="TableContents"/>
              <w:bidi w:val="0"/>
              <w:spacing w:before="0" w:after="283"/>
              <w:jc w:val="right"/>
              <w:rPr/>
            </w:pPr>
            <w:bookmarkStart w:id="714" w:name="xdx_901_eus-gaap--SharebasedCompensation"/>
            <w:bookmarkEnd w:id="714"/>
            <w:r>
              <w:rPr/>
              <w:t>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15" w:name="xdx_98C_eus-gaap--SharebasedCompensation"/>
            <w:bookmarkEnd w:id="715"/>
          </w:p>
        </w:tc>
        <w:tc>
          <w:tcPr>
            <w:tcW w:w="830" w:type="dxa"/>
            <w:tcBorders/>
            <w:shd w:fill="CCEEFF" w:val="clear"/>
            <w:vAlign w:val="center"/>
          </w:tcPr>
          <w:p>
            <w:pPr>
              <w:pStyle w:val="TableContents"/>
              <w:bidi w:val="0"/>
              <w:spacing w:before="0" w:after="283"/>
              <w:jc w:val="right"/>
              <w:rPr/>
            </w:pPr>
            <w:r>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16" w:name="xdx_98A_eus-gaap--ShareBasedCompensation"/>
            <w:bookmarkEnd w:id="716"/>
          </w:p>
        </w:tc>
        <w:tc>
          <w:tcPr>
            <w:tcW w:w="1025" w:type="dxa"/>
            <w:tcBorders/>
            <w:shd w:fill="CCEEFF" w:val="clear"/>
            <w:vAlign w:val="center"/>
          </w:tcPr>
          <w:p>
            <w:pPr>
              <w:pStyle w:val="TableContents"/>
              <w:bidi w:val="0"/>
              <w:spacing w:before="0" w:after="283"/>
              <w:jc w:val="right"/>
              <w:rPr/>
            </w:pPr>
            <w:r>
              <w:rPr/>
              <w:t>308,500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17" w:name="xdx_98A_eus-gaap--SharebasedCompensation"/>
            <w:bookmarkEnd w:id="717"/>
          </w:p>
        </w:tc>
        <w:tc>
          <w:tcPr>
            <w:tcW w:w="830" w:type="dxa"/>
            <w:tcBorders/>
            <w:shd w:fill="CCEEFF" w:val="clear"/>
            <w:vAlign w:val="center"/>
          </w:tcPr>
          <w:p>
            <w:pPr>
              <w:pStyle w:val="TableContents"/>
              <w:bidi w:val="0"/>
              <w:spacing w:before="0" w:after="283"/>
              <w:jc w:val="right"/>
              <w:rPr/>
            </w:pPr>
            <w:r>
              <w:rPr/>
              <w:t>3.95</w:t>
            </w:r>
          </w:p>
        </w:tc>
        <w:tc>
          <w:tcPr>
            <w:tcW w:w="77" w:type="dxa"/>
            <w:tcBorders/>
            <w:shd w:fill="CCEEFF" w:val="clear"/>
            <w:vAlign w:val="center"/>
          </w:tcPr>
          <w:p>
            <w:pPr>
              <w:pStyle w:val="TableContents"/>
              <w:bidi w:val="0"/>
              <w:spacing w:before="0" w:after="283"/>
              <w:jc w:val="left"/>
              <w:rPr/>
            </w:pPr>
            <w:r>
              <w:rPr/>
              <w:t> </w:t>
            </w:r>
          </w:p>
        </w:tc>
      </w:tr>
      <w:tr>
        <w:trPr/>
        <w:tc>
          <w:tcPr>
            <w:tcW w:w="1822" w:type="dxa"/>
            <w:tcBorders/>
            <w:shd w:fill="FFFFFF" w:val="clear"/>
            <w:vAlign w:val="center"/>
          </w:tcPr>
          <w:p>
            <w:pPr>
              <w:pStyle w:val="TableContents"/>
              <w:bidi w:val="0"/>
              <w:spacing w:before="0" w:after="283"/>
              <w:jc w:val="center"/>
              <w:rPr/>
            </w:pPr>
            <w:r>
              <w:rPr/>
              <w:t>$</w:t>
            </w:r>
            <w:bookmarkStart w:id="718" w:name="xdx_90A_eus-gaap--ShareBasedCompensation"/>
            <w:bookmarkEnd w:id="718"/>
            <w:r>
              <w:rPr/>
              <w:t>4.49 - $</w:t>
            </w:r>
            <w:bookmarkStart w:id="719" w:name="xdx_90E_eus-gaap--ShareBasedCompensation"/>
            <w:bookmarkEnd w:id="719"/>
            <w:r>
              <w:rPr/>
              <w:t>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20" w:name="xdx_982_eus-gaap--ShareBasedCompensation"/>
            <w:bookmarkEnd w:id="720"/>
          </w:p>
        </w:tc>
        <w:tc>
          <w:tcPr>
            <w:tcW w:w="1470" w:type="dxa"/>
            <w:tcBorders/>
            <w:shd w:fill="FFFFFF" w:val="clear"/>
            <w:vAlign w:val="center"/>
          </w:tcPr>
          <w:p>
            <w:pPr>
              <w:pStyle w:val="TableContents"/>
              <w:bidi w:val="0"/>
              <w:spacing w:before="0" w:after="283"/>
              <w:jc w:val="right"/>
              <w:rPr/>
            </w:pPr>
            <w:r>
              <w:rPr/>
              <w:t>92,300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1" w:type="dxa"/>
            <w:tcBorders/>
            <w:shd w:fill="FFFFFF" w:val="clear"/>
            <w:vAlign w:val="center"/>
          </w:tcPr>
          <w:p>
            <w:pPr>
              <w:pStyle w:val="TableContents"/>
              <w:bidi w:val="0"/>
              <w:spacing w:before="0" w:after="283"/>
              <w:jc w:val="right"/>
              <w:rPr/>
            </w:pPr>
            <w:bookmarkStart w:id="721" w:name="xdx_90B_eus-gaap--SharebasedCompensation"/>
            <w:bookmarkEnd w:id="721"/>
            <w:r>
              <w:rPr/>
              <w:t>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22" w:name="xdx_98F_eus-gaap--SharebasedCompensation"/>
            <w:bookmarkEnd w:id="722"/>
          </w:p>
        </w:tc>
        <w:tc>
          <w:tcPr>
            <w:tcW w:w="830" w:type="dxa"/>
            <w:tcBorders/>
            <w:shd w:fill="FFFFFF" w:val="clear"/>
            <w:vAlign w:val="center"/>
          </w:tcPr>
          <w:p>
            <w:pPr>
              <w:pStyle w:val="TableContents"/>
              <w:bidi w:val="0"/>
              <w:spacing w:before="0" w:after="283"/>
              <w:jc w:val="right"/>
              <w:rPr/>
            </w:pPr>
            <w:r>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23" w:name="xdx_989_eus-gaap--ShareBasedCompensation"/>
            <w:bookmarkEnd w:id="723"/>
          </w:p>
        </w:tc>
        <w:tc>
          <w:tcPr>
            <w:tcW w:w="1025" w:type="dxa"/>
            <w:tcBorders/>
            <w:shd w:fill="FFFFFF" w:val="clear"/>
            <w:vAlign w:val="center"/>
          </w:tcPr>
          <w:p>
            <w:pPr>
              <w:pStyle w:val="TableContents"/>
              <w:bidi w:val="0"/>
              <w:spacing w:before="0" w:after="283"/>
              <w:jc w:val="right"/>
              <w:rPr/>
            </w:pPr>
            <w:r>
              <w:rPr/>
              <w:t>92,300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24" w:name="xdx_989_eus-gaap--SharebasedCompensation"/>
            <w:bookmarkEnd w:id="724"/>
          </w:p>
        </w:tc>
        <w:tc>
          <w:tcPr>
            <w:tcW w:w="830" w:type="dxa"/>
            <w:tcBorders/>
            <w:shd w:fill="FFFFFF" w:val="clear"/>
            <w:vAlign w:val="center"/>
          </w:tcPr>
          <w:p>
            <w:pPr>
              <w:pStyle w:val="TableContents"/>
              <w:bidi w:val="0"/>
              <w:spacing w:before="0" w:after="283"/>
              <w:jc w:val="right"/>
              <w:rPr/>
            </w:pPr>
            <w:r>
              <w:rPr/>
              <w:t>5.53</w:t>
            </w:r>
          </w:p>
        </w:tc>
        <w:tc>
          <w:tcPr>
            <w:tcW w:w="77" w:type="dxa"/>
            <w:tcBorders/>
            <w:shd w:fill="FFFFFF" w:val="clear"/>
            <w:vAlign w:val="center"/>
          </w:tcPr>
          <w:p>
            <w:pPr>
              <w:pStyle w:val="TableContents"/>
              <w:bidi w:val="0"/>
              <w:spacing w:before="0" w:after="283"/>
              <w:jc w:val="left"/>
              <w:rPr/>
            </w:pPr>
            <w:r>
              <w:rPr/>
              <w:t> </w:t>
            </w:r>
          </w:p>
        </w:tc>
      </w:tr>
      <w:tr>
        <w:trPr/>
        <w:tc>
          <w:tcPr>
            <w:tcW w:w="1822" w:type="dxa"/>
            <w:tcBorders/>
            <w:shd w:fill="CCEEFF" w:val="clear"/>
            <w:vAlign w:val="center"/>
          </w:tcPr>
          <w:p>
            <w:pPr>
              <w:pStyle w:val="TableContents"/>
              <w:bidi w:val="0"/>
              <w:spacing w:before="0" w:after="283"/>
              <w:jc w:val="center"/>
              <w:rPr/>
            </w:pPr>
            <w:r>
              <w:rPr/>
              <w:t>$</w:t>
            </w:r>
            <w:bookmarkStart w:id="725" w:name="xdx_901_eus-gaap--ShareBasedCompensation"/>
            <w:bookmarkEnd w:id="725"/>
            <w:r>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26" w:name="xdx_988_eus-gaap--ShareBasedCompensation"/>
            <w:bookmarkEnd w:id="726"/>
          </w:p>
        </w:tc>
        <w:tc>
          <w:tcPr>
            <w:tcW w:w="1470" w:type="dxa"/>
            <w:tcBorders/>
            <w:shd w:fill="CCEEFF" w:val="clear"/>
            <w:vAlign w:val="center"/>
          </w:tcPr>
          <w:p>
            <w:pPr>
              <w:pStyle w:val="TableContents"/>
              <w:bidi w:val="0"/>
              <w:spacing w:before="0" w:after="283"/>
              <w:jc w:val="right"/>
              <w:rPr/>
            </w:pPr>
            <w:r>
              <w:rPr/>
              <w:t>285,000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1" w:type="dxa"/>
            <w:tcBorders/>
            <w:shd w:fill="CCEEFF" w:val="clear"/>
            <w:vAlign w:val="center"/>
          </w:tcPr>
          <w:p>
            <w:pPr>
              <w:pStyle w:val="TableContents"/>
              <w:bidi w:val="0"/>
              <w:spacing w:before="0" w:after="283"/>
              <w:jc w:val="right"/>
              <w:rPr/>
            </w:pPr>
            <w:bookmarkStart w:id="727" w:name="xdx_905_eus-gaap--SharebasedCompensation"/>
            <w:bookmarkEnd w:id="727"/>
            <w:r>
              <w:rPr/>
              <w:t>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8" w:name="xdx_98A_eus-gaap--SharebasedCompensation"/>
            <w:bookmarkEnd w:id="728"/>
          </w:p>
        </w:tc>
        <w:tc>
          <w:tcPr>
            <w:tcW w:w="830"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29" w:name="xdx_989_eus-gaap--ShareBasedCompensation"/>
            <w:bookmarkEnd w:id="729"/>
          </w:p>
        </w:tc>
        <w:tc>
          <w:tcPr>
            <w:tcW w:w="1025" w:type="dxa"/>
            <w:tcBorders/>
            <w:shd w:fill="CCEEFF" w:val="clear"/>
            <w:vAlign w:val="center"/>
          </w:tcPr>
          <w:p>
            <w:pPr>
              <w:pStyle w:val="TableContents"/>
              <w:bidi w:val="0"/>
              <w:spacing w:before="0" w:after="283"/>
              <w:jc w:val="right"/>
              <w:rPr/>
            </w:pPr>
            <w:r>
              <w:rPr/>
              <w:t>285,000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0" w:name="xdx_986_eus-gaap--SharebasedCompensation"/>
            <w:bookmarkEnd w:id="730"/>
          </w:p>
        </w:tc>
        <w:tc>
          <w:tcPr>
            <w:tcW w:w="830" w:type="dxa"/>
            <w:tcBorders/>
            <w:shd w:fill="CCEEFF" w:val="clear"/>
            <w:vAlign w:val="center"/>
          </w:tcPr>
          <w:p>
            <w:pPr>
              <w:pStyle w:val="TableContents"/>
              <w:bidi w:val="0"/>
              <w:spacing w:before="0" w:after="283"/>
              <w:jc w:val="right"/>
              <w:rPr/>
            </w:pPr>
            <w:r>
              <w:rPr/>
              <w:t>6.30</w:t>
            </w:r>
          </w:p>
        </w:tc>
        <w:tc>
          <w:tcPr>
            <w:tcW w:w="77" w:type="dxa"/>
            <w:tcBorders/>
            <w:shd w:fill="CCEEFF" w:val="clear"/>
            <w:vAlign w:val="center"/>
          </w:tcPr>
          <w:p>
            <w:pPr>
              <w:pStyle w:val="TableContents"/>
              <w:bidi w:val="0"/>
              <w:spacing w:before="0" w:after="283"/>
              <w:jc w:val="left"/>
              <w:rPr/>
            </w:pPr>
            <w:r>
              <w:rPr/>
              <w:t> </w:t>
            </w:r>
          </w:p>
        </w:tc>
      </w:tr>
      <w:tr>
        <w:trPr/>
        <w:tc>
          <w:tcPr>
            <w:tcW w:w="1822" w:type="dxa"/>
            <w:tcBorders/>
            <w:shd w:fill="FFFFFF" w:val="clear"/>
            <w:vAlign w:val="center"/>
          </w:tcPr>
          <w:p>
            <w:pPr>
              <w:pStyle w:val="TableContents"/>
              <w:bidi w:val="0"/>
              <w:spacing w:before="0" w:after="283"/>
              <w:jc w:val="center"/>
              <w:rPr/>
            </w:pPr>
            <w:r>
              <w:rPr/>
              <w:t>$</w:t>
            </w:r>
            <w:bookmarkStart w:id="731" w:name="xdx_906_eus-gaap--ShareBasedCompensation"/>
            <w:bookmarkEnd w:id="731"/>
            <w:r>
              <w:rPr/>
              <w:t>6.75 - $</w:t>
            </w:r>
            <w:bookmarkStart w:id="732" w:name="xdx_902_eus-gaap--ShareBasedCompensation"/>
            <w:bookmarkEnd w:id="732"/>
            <w:r>
              <w:rPr/>
              <w:t>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33" w:name="xdx_989_eus-gaap--ShareBasedCompensation"/>
            <w:bookmarkEnd w:id="733"/>
          </w:p>
        </w:tc>
        <w:tc>
          <w:tcPr>
            <w:tcW w:w="1470" w:type="dxa"/>
            <w:tcBorders/>
            <w:shd w:fill="FFFFFF" w:val="clear"/>
            <w:vAlign w:val="center"/>
          </w:tcPr>
          <w:p>
            <w:pPr>
              <w:pStyle w:val="TableContents"/>
              <w:bidi w:val="0"/>
              <w:spacing w:before="0" w:after="283"/>
              <w:jc w:val="right"/>
              <w:rPr/>
            </w:pPr>
            <w:r>
              <w:rPr/>
              <w:t>43,123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1" w:type="dxa"/>
            <w:tcBorders/>
            <w:shd w:fill="FFFFFF" w:val="clear"/>
            <w:vAlign w:val="center"/>
          </w:tcPr>
          <w:p>
            <w:pPr>
              <w:pStyle w:val="TableContents"/>
              <w:bidi w:val="0"/>
              <w:spacing w:before="0" w:after="283"/>
              <w:jc w:val="right"/>
              <w:rPr/>
            </w:pPr>
            <w:bookmarkStart w:id="734" w:name="xdx_90A_eus-gaap--SharebasedCompensation"/>
            <w:bookmarkEnd w:id="734"/>
            <w:r>
              <w:rPr/>
              <w:t>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35" w:name="xdx_989_eus-gaap--SharebasedCompensation"/>
            <w:bookmarkEnd w:id="735"/>
          </w:p>
        </w:tc>
        <w:tc>
          <w:tcPr>
            <w:tcW w:w="830" w:type="dxa"/>
            <w:tcBorders/>
            <w:shd w:fill="FFFFFF" w:val="clear"/>
            <w:vAlign w:val="center"/>
          </w:tcPr>
          <w:p>
            <w:pPr>
              <w:pStyle w:val="TableContents"/>
              <w:bidi w:val="0"/>
              <w:spacing w:before="0" w:after="283"/>
              <w:jc w:val="right"/>
              <w:rPr/>
            </w:pPr>
            <w:r>
              <w:rPr/>
              <w:t>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36" w:name="xdx_98F_eus-gaap--ShareBasedCompensation"/>
            <w:bookmarkEnd w:id="736"/>
          </w:p>
        </w:tc>
        <w:tc>
          <w:tcPr>
            <w:tcW w:w="1025" w:type="dxa"/>
            <w:tcBorders/>
            <w:shd w:fill="FFFFFF" w:val="clear"/>
            <w:vAlign w:val="center"/>
          </w:tcPr>
          <w:p>
            <w:pPr>
              <w:pStyle w:val="TableContents"/>
              <w:bidi w:val="0"/>
              <w:spacing w:before="0" w:after="283"/>
              <w:jc w:val="right"/>
              <w:rPr/>
            </w:pPr>
            <w:r>
              <w:rPr/>
              <w:t>27,376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37" w:name="xdx_981_eus-gaap--SharebasedCompensation"/>
            <w:bookmarkEnd w:id="737"/>
          </w:p>
        </w:tc>
        <w:tc>
          <w:tcPr>
            <w:tcW w:w="830" w:type="dxa"/>
            <w:tcBorders/>
            <w:shd w:fill="FFFFFF" w:val="clear"/>
            <w:vAlign w:val="center"/>
          </w:tcPr>
          <w:p>
            <w:pPr>
              <w:pStyle w:val="TableContents"/>
              <w:bidi w:val="0"/>
              <w:spacing w:before="0" w:after="283"/>
              <w:jc w:val="right"/>
              <w:rPr/>
            </w:pPr>
            <w:r>
              <w:rPr/>
              <w:t>6.82</w:t>
            </w:r>
          </w:p>
        </w:tc>
        <w:tc>
          <w:tcPr>
            <w:tcW w:w="77" w:type="dxa"/>
            <w:tcBorders/>
            <w:shd w:fill="FFFFFF" w:val="clear"/>
            <w:vAlign w:val="center"/>
          </w:tcPr>
          <w:p>
            <w:pPr>
              <w:pStyle w:val="TableContents"/>
              <w:bidi w:val="0"/>
              <w:spacing w:before="0" w:after="283"/>
              <w:jc w:val="left"/>
              <w:rPr/>
            </w:pPr>
            <w:r>
              <w:rPr/>
              <w:t> </w:t>
            </w:r>
          </w:p>
        </w:tc>
      </w:tr>
      <w:tr>
        <w:trPr/>
        <w:tc>
          <w:tcPr>
            <w:tcW w:w="1822" w:type="dxa"/>
            <w:tcBorders/>
            <w:shd w:fill="CCEEFF" w:val="clear"/>
            <w:vAlign w:val="center"/>
          </w:tcPr>
          <w:p>
            <w:pPr>
              <w:pStyle w:val="TableContents"/>
              <w:bidi w:val="0"/>
              <w:spacing w:before="0" w:after="283"/>
              <w:jc w:val="center"/>
              <w:rPr/>
            </w:pPr>
            <w:r>
              <w:rPr/>
              <w:t>$</w:t>
            </w:r>
            <w:bookmarkStart w:id="738" w:name="xdx_905_eus-gaap--ShareBasedCompensation"/>
            <w:bookmarkEnd w:id="738"/>
            <w:r>
              <w:rPr/>
              <w:t>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39" w:name="xdx_985_eus-gaap--ShareBasedCompensation"/>
            <w:bookmarkEnd w:id="739"/>
          </w:p>
        </w:tc>
        <w:tc>
          <w:tcPr>
            <w:tcW w:w="1470" w:type="dxa"/>
            <w:tcBorders/>
            <w:shd w:fill="CCEEFF" w:val="clear"/>
            <w:vAlign w:val="center"/>
          </w:tcPr>
          <w:p>
            <w:pPr>
              <w:pStyle w:val="TableContents"/>
              <w:bidi w:val="0"/>
              <w:spacing w:before="0" w:after="283"/>
              <w:jc w:val="right"/>
              <w:rPr/>
            </w:pPr>
            <w:r>
              <w:rPr/>
              <w:t>274,500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1" w:type="dxa"/>
            <w:tcBorders/>
            <w:shd w:fill="CCEEFF" w:val="clear"/>
            <w:vAlign w:val="center"/>
          </w:tcPr>
          <w:p>
            <w:pPr>
              <w:pStyle w:val="TableContents"/>
              <w:bidi w:val="0"/>
              <w:spacing w:before="0" w:after="283"/>
              <w:jc w:val="right"/>
              <w:rPr/>
            </w:pPr>
            <w:bookmarkStart w:id="740" w:name="xdx_909_eus-gaap--SharebasedCompensation"/>
            <w:bookmarkEnd w:id="740"/>
            <w:r>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1" w:name="xdx_982_eus-gaap--SharebasedCompensation"/>
            <w:bookmarkEnd w:id="741"/>
          </w:p>
        </w:tc>
        <w:tc>
          <w:tcPr>
            <w:tcW w:w="830" w:type="dxa"/>
            <w:tcBorders/>
            <w:shd w:fill="CCEEFF" w:val="clear"/>
            <w:vAlign w:val="center"/>
          </w:tcPr>
          <w:p>
            <w:pPr>
              <w:pStyle w:val="TableContents"/>
              <w:bidi w:val="0"/>
              <w:spacing w:before="0" w:after="283"/>
              <w:jc w:val="right"/>
              <w:rPr/>
            </w:pPr>
            <w:r>
              <w:rPr/>
              <w:t>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42" w:name="xdx_982_eus-gaap--ShareBasedCompensation"/>
            <w:bookmarkEnd w:id="742"/>
          </w:p>
        </w:tc>
        <w:tc>
          <w:tcPr>
            <w:tcW w:w="1025" w:type="dxa"/>
            <w:tcBorders/>
            <w:shd w:fill="CCEEFF" w:val="clear"/>
            <w:vAlign w:val="center"/>
          </w:tcPr>
          <w:p>
            <w:pPr>
              <w:pStyle w:val="TableContents"/>
              <w:bidi w:val="0"/>
              <w:spacing w:before="0" w:after="283"/>
              <w:jc w:val="right"/>
              <w:rPr/>
            </w:pPr>
            <w:r>
              <w:rPr/>
              <w:t>274,500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3" w:name="xdx_981_eus-gaap--SharebasedCompensation"/>
            <w:bookmarkEnd w:id="743"/>
          </w:p>
        </w:tc>
        <w:tc>
          <w:tcPr>
            <w:tcW w:w="830" w:type="dxa"/>
            <w:tcBorders/>
            <w:shd w:fill="CCEEFF" w:val="clear"/>
            <w:vAlign w:val="center"/>
          </w:tcPr>
          <w:p>
            <w:pPr>
              <w:pStyle w:val="TableContents"/>
              <w:bidi w:val="0"/>
              <w:spacing w:before="0" w:after="283"/>
              <w:jc w:val="right"/>
              <w:rPr/>
            </w:pPr>
            <w:r>
              <w:rPr/>
              <w:t>7.30</w:t>
            </w:r>
          </w:p>
        </w:tc>
        <w:tc>
          <w:tcPr>
            <w:tcW w:w="77" w:type="dxa"/>
            <w:tcBorders/>
            <w:shd w:fill="CCEEFF" w:val="clear"/>
            <w:vAlign w:val="center"/>
          </w:tcPr>
          <w:p>
            <w:pPr>
              <w:pStyle w:val="TableContents"/>
              <w:bidi w:val="0"/>
              <w:spacing w:before="0" w:after="283"/>
              <w:jc w:val="left"/>
              <w:rPr/>
            </w:pPr>
            <w:r>
              <w:rPr/>
              <w:t> </w:t>
            </w:r>
          </w:p>
        </w:tc>
      </w:tr>
      <w:tr>
        <w:trPr/>
        <w:tc>
          <w:tcPr>
            <w:tcW w:w="1822" w:type="dxa"/>
            <w:tcBorders/>
            <w:shd w:fill="FFFFFF" w:val="clear"/>
            <w:vAlign w:val="center"/>
          </w:tcPr>
          <w:p>
            <w:pPr>
              <w:pStyle w:val="TableContents"/>
              <w:bidi w:val="0"/>
              <w:spacing w:before="0" w:after="283"/>
              <w:jc w:val="center"/>
              <w:rPr/>
            </w:pPr>
            <w:r>
              <w:rPr/>
              <w:t>$</w:t>
            </w:r>
            <w:bookmarkStart w:id="744" w:name="xdx_904_eus-gaap--ShareBasedCompensation"/>
            <w:bookmarkEnd w:id="744"/>
            <w:r>
              <w:rPr/>
              <w:t>7.60 - $</w:t>
            </w:r>
            <w:bookmarkStart w:id="745" w:name="xdx_905_eus-gaap--ShareBasedCompensation"/>
            <w:bookmarkEnd w:id="745"/>
            <w:r>
              <w:rPr/>
              <w:t>45.64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6" w:name="xdx_98F_eus-gaap--ShareBasedCompensation"/>
            <w:bookmarkEnd w:id="746"/>
          </w:p>
        </w:tc>
        <w:tc>
          <w:tcPr>
            <w:tcW w:w="1470" w:type="dxa"/>
            <w:tcBorders>
              <w:bottom w:val="single" w:sz="8" w:space="0" w:color="000000"/>
            </w:tcBorders>
            <w:shd w:fill="FFFFFF" w:val="clear"/>
            <w:tcMar>
              <w:bottom w:w="28" w:type="dxa"/>
            </w:tcMar>
            <w:vAlign w:val="center"/>
          </w:tcPr>
          <w:p>
            <w:pPr>
              <w:pStyle w:val="TableContents"/>
              <w:bidi w:val="0"/>
              <w:spacing w:before="0" w:after="283"/>
              <w:jc w:val="right"/>
              <w:rPr/>
            </w:pPr>
            <w:r>
              <w:rPr/>
              <w:t>904,937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1" w:type="dxa"/>
            <w:tcBorders/>
            <w:shd w:fill="FFFFFF" w:val="clear"/>
            <w:vAlign w:val="center"/>
          </w:tcPr>
          <w:p>
            <w:pPr>
              <w:pStyle w:val="TableContents"/>
              <w:bidi w:val="0"/>
              <w:spacing w:before="0" w:after="283"/>
              <w:jc w:val="right"/>
              <w:rPr/>
            </w:pPr>
            <w:bookmarkStart w:id="747" w:name="xdx_90B_eus-gaap--SharebasedCompensation"/>
            <w:bookmarkEnd w:id="747"/>
            <w:r>
              <w:rPr/>
              <w:t>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48" w:name="xdx_98A_eus-gaap--SharebasedCompensation"/>
            <w:bookmarkEnd w:id="748"/>
          </w:p>
        </w:tc>
        <w:tc>
          <w:tcPr>
            <w:tcW w:w="830" w:type="dxa"/>
            <w:tcBorders/>
            <w:shd w:fill="FFFFFF" w:val="clear"/>
            <w:vAlign w:val="center"/>
          </w:tcPr>
          <w:p>
            <w:pPr>
              <w:pStyle w:val="TableContents"/>
              <w:bidi w:val="0"/>
              <w:spacing w:before="0" w:after="283"/>
              <w:jc w:val="right"/>
              <w:rPr/>
            </w:pPr>
            <w:r>
              <w:rPr/>
              <w:t>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9" w:name="xdx_984_eus-gaap--ShareBasedCompensation"/>
            <w:bookmarkEnd w:id="749"/>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705,393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0" w:name="xdx_989_eus-gaap--SharebasedCompensation"/>
            <w:bookmarkEnd w:id="750"/>
          </w:p>
        </w:tc>
        <w:tc>
          <w:tcPr>
            <w:tcW w:w="830" w:type="dxa"/>
            <w:tcBorders/>
            <w:shd w:fill="FFFFFF" w:val="clear"/>
            <w:vAlign w:val="center"/>
          </w:tcPr>
          <w:p>
            <w:pPr>
              <w:pStyle w:val="TableContents"/>
              <w:bidi w:val="0"/>
              <w:spacing w:before="0" w:after="283"/>
              <w:jc w:val="right"/>
              <w:rPr/>
            </w:pPr>
            <w:r>
              <w:rPr/>
              <w:t>8.20</w:t>
            </w:r>
          </w:p>
        </w:tc>
        <w:tc>
          <w:tcPr>
            <w:tcW w:w="77" w:type="dxa"/>
            <w:tcBorders/>
            <w:shd w:fill="FFFFFF" w:val="clear"/>
            <w:vAlign w:val="center"/>
          </w:tcPr>
          <w:p>
            <w:pPr>
              <w:pStyle w:val="TableContents"/>
              <w:bidi w:val="0"/>
              <w:spacing w:before="0" w:after="283"/>
              <w:jc w:val="left"/>
              <w:rPr/>
            </w:pPr>
            <w:r>
              <w:rPr/>
              <w:t> </w:t>
            </w:r>
          </w:p>
        </w:tc>
      </w:tr>
      <w:tr>
        <w:trPr/>
        <w:tc>
          <w:tcPr>
            <w:tcW w:w="1822" w:type="dxa"/>
            <w:tcBorders/>
            <w:shd w:fill="CCEEFF" w:val="clear"/>
            <w:vAlign w:val="center"/>
          </w:tcPr>
          <w:p>
            <w:pPr>
              <w:pStyle w:val="TableContents"/>
              <w:bidi w:val="0"/>
              <w:spacing w:before="0" w:after="283"/>
              <w:jc w:val="center"/>
              <w:rPr/>
            </w:pPr>
            <w:r>
              <w:rPr/>
              <w:t>$</w:t>
            </w:r>
            <w:bookmarkStart w:id="751" w:name="xdx_905_eus-gaap--ShareBasedCompensation"/>
            <w:bookmarkEnd w:id="751"/>
            <w:r>
              <w:rPr/>
              <w:t>1.47 - $</w:t>
            </w:r>
            <w:bookmarkStart w:id="752" w:name="xdx_909_eus-gaap--ShareBasedCompensation"/>
            <w:bookmarkEnd w:id="752"/>
            <w:r>
              <w:rPr/>
              <w:t>45.64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53" w:name="xdx_988_eus-gaap--ShareBasedCompensation"/>
            <w:bookmarkEnd w:id="753"/>
          </w:p>
        </w:tc>
        <w:tc>
          <w:tcPr>
            <w:tcW w:w="1470" w:type="dxa"/>
            <w:tcBorders>
              <w:bottom w:val="double" w:sz="6" w:space="0" w:color="000000"/>
            </w:tcBorders>
            <w:shd w:fill="CCEEFF" w:val="clear"/>
            <w:tcMar>
              <w:bottom w:w="28" w:type="dxa"/>
            </w:tcMar>
            <w:vAlign w:val="center"/>
          </w:tcPr>
          <w:p>
            <w:pPr>
              <w:pStyle w:val="TableContents"/>
              <w:bidi w:val="0"/>
              <w:spacing w:before="0" w:after="283"/>
              <w:jc w:val="right"/>
              <w:rPr/>
            </w:pPr>
            <w:r>
              <w:rPr/>
              <w:t>2,474,370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1" w:type="dxa"/>
            <w:tcBorders/>
            <w:shd w:fill="CCEEFF" w:val="clear"/>
            <w:vAlign w:val="center"/>
          </w:tcPr>
          <w:p>
            <w:pPr>
              <w:pStyle w:val="TableContents"/>
              <w:bidi w:val="0"/>
              <w:spacing w:before="0" w:after="283"/>
              <w:jc w:val="right"/>
              <w:rPr/>
            </w:pPr>
            <w:bookmarkStart w:id="754" w:name="xdx_907_eus-gaap--SharebasedCompensation"/>
            <w:bookmarkEnd w:id="754"/>
            <w:r>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5" w:name="xdx_983_eus-gaap--SharebasedCompensation"/>
            <w:bookmarkEnd w:id="755"/>
          </w:p>
        </w:tc>
        <w:tc>
          <w:tcPr>
            <w:tcW w:w="830"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56" w:name="xdx_984_eus-gaap--ShareBasedCompensation"/>
            <w:bookmarkEnd w:id="756"/>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pPr>
            <w:r>
              <w:rPr/>
              <w:t>2,259,079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7" w:name="xdx_983_eus-gaap--SharebasedCompensation"/>
            <w:bookmarkEnd w:id="757"/>
          </w:p>
        </w:tc>
        <w:tc>
          <w:tcPr>
            <w:tcW w:w="830" w:type="dxa"/>
            <w:tcBorders/>
            <w:shd w:fill="CCEEFF" w:val="clear"/>
            <w:vAlign w:val="center"/>
          </w:tcPr>
          <w:p>
            <w:pPr>
              <w:pStyle w:val="TableContents"/>
              <w:bidi w:val="0"/>
              <w:spacing w:before="0" w:after="283"/>
              <w:jc w:val="right"/>
              <w:rPr/>
            </w:pPr>
            <w:r>
              <w:rPr/>
              <w:t>5.59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8" w:name="xdx_8AD_zUDvMNkbiSCf"/>
      <w:bookmarkEnd w:id="7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there was approximately $</w:t>
      </w:r>
      <w:bookmarkStart w:id="759" w:name="xdx_900_eus-gaap--EmployeeServiceShareBa"/>
      <w:bookmarkEnd w:id="759"/>
      <w:r>
        <w:rPr>
          <w:rFonts w:ascii="Times New Roman;Times;Serif" w:hAnsi="Times New Roman;Times;Serif"/>
          <w:b w:val="false"/>
          <w:i w:val="false"/>
          <w:caps w:val="false"/>
          <w:smallCaps w:val="false"/>
          <w:sz w:val="20"/>
        </w:rPr>
        <w:t xml:space="preserve">3,150,000 of total unrecognized compensation expense related to unvested stock options granted under the Plans. That expense is expected to be recognized over the weighted-average remaining vesting period of </w:t>
      </w:r>
      <w:bookmarkStart w:id="760" w:name="xdx_904_eus-gaap--EmployeeServiceShareBa"/>
      <w:bookmarkEnd w:id="760"/>
      <w:r>
        <w:rPr>
          <w:rFonts w:ascii="Times New Roman;Times;Serif" w:hAnsi="Times New Roman;Times;Serif"/>
          <w:b w:val="false"/>
          <w:i w:val="false"/>
          <w:caps w:val="false"/>
          <w:smallCaps w:val="false"/>
          <w:sz w:val="20"/>
        </w:rPr>
        <w:t>2.68 years. The stock-based compensation for all stock options was $</w:t>
      </w:r>
      <w:bookmarkStart w:id="761" w:name="xdx_90F_eus-gaap--AllocatedShareBasedCom"/>
      <w:bookmarkEnd w:id="761"/>
      <w:r>
        <w:rPr>
          <w:rFonts w:ascii="Times New Roman;Times;Serif" w:hAnsi="Times New Roman;Times;Serif"/>
          <w:b w:val="false"/>
          <w:i w:val="false"/>
          <w:caps w:val="false"/>
          <w:smallCaps w:val="false"/>
          <w:sz w:val="20"/>
        </w:rPr>
        <w:t>186,000 and $</w:t>
      </w:r>
      <w:bookmarkStart w:id="762" w:name="xdx_905_eus-gaap--AllocatedShareBasedCom"/>
      <w:bookmarkEnd w:id="762"/>
      <w:r>
        <w:rPr>
          <w:rFonts w:ascii="Times New Roman;Times;Serif" w:hAnsi="Times New Roman;Times;Serif"/>
          <w:b w:val="false"/>
          <w:i w:val="false"/>
          <w:caps w:val="false"/>
          <w:smallCaps w:val="false"/>
          <w:sz w:val="20"/>
        </w:rPr>
        <w:t>385,000 during the three and six months ended June 30, 2025, respectively, and $</w:t>
      </w:r>
      <w:bookmarkStart w:id="763" w:name="xdx_90E_eus-gaap--AllocatedShareBasedCom"/>
      <w:bookmarkEnd w:id="763"/>
      <w:r>
        <w:rPr>
          <w:rFonts w:ascii="Times New Roman;Times;Serif" w:hAnsi="Times New Roman;Times;Serif"/>
          <w:b w:val="false"/>
          <w:i w:val="false"/>
          <w:caps w:val="false"/>
          <w:smallCaps w:val="false"/>
          <w:sz w:val="20"/>
        </w:rPr>
        <w:t>130,000 and $</w:t>
      </w:r>
      <w:bookmarkStart w:id="764" w:name="xdx_906_eus-gaap--AllocatedShareBasedCom"/>
      <w:bookmarkEnd w:id="764"/>
      <w:r>
        <w:rPr>
          <w:rFonts w:ascii="Times New Roman;Times;Serif" w:hAnsi="Times New Roman;Times;Serif"/>
          <w:b w:val="false"/>
          <w:i w:val="false"/>
          <w:caps w:val="false"/>
          <w:smallCaps w:val="false"/>
          <w:sz w:val="20"/>
        </w:rPr>
        <w:t>256,000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options exercised during the six months ended June 30, 2025 was $</w:t>
      </w:r>
      <w:bookmarkStart w:id="765" w:name="xdx_90A_eus-gaap--ShareBasedCompensation"/>
      <w:bookmarkEnd w:id="765"/>
      <w:r>
        <w:rPr>
          <w:rFonts w:ascii="Times New Roman;Times;Serif" w:hAnsi="Times New Roman;Times;Serif"/>
          <w:b w:val="false"/>
          <w:i w:val="false"/>
          <w:caps w:val="false"/>
          <w:smallCaps w:val="false"/>
          <w:sz w:val="20"/>
        </w:rPr>
        <w:t>178,000.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are granted subject to certain vesting requirements and other restrictions, including time-based performance and market-based vesting criteria. The grant date fair value of the RSUs, which has been determined based upon the market value of the Company’s common stock on the grant date, is expensed over the vesting period of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6" w:name="xdx_890_eus-gaap--ScheduleOfShareBasedCo"/>
      <w:bookmarkEnd w:id="766"/>
      <w:r>
        <w:rPr>
          <w:rFonts w:ascii="Times New Roman;Times;Serif" w:hAnsi="Times New Roman;Times;Serif"/>
          <w:b w:val="false"/>
          <w:i w:val="false"/>
          <w:caps w:val="false"/>
          <w:smallCaps w:val="false"/>
          <w:sz w:val="20"/>
        </w:rPr>
        <w:t>A summary of the Company’s RSU activity and related information for the six months ended June 30,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7" w:name="xdx_8B2_z5WQadNnNfOk"/>
      <w:bookmarkEnd w:id="767"/>
      <w:r>
        <w:rPr>
          <w:rFonts w:ascii="Times New Roman;Times;Serif" w:hAnsi="Times New Roman;Times;Serif"/>
          <w:b w:val="false"/>
          <w:i w:val="false"/>
          <w:caps w:val="false"/>
          <w:smallCaps w:val="false"/>
          <w:sz w:val="20"/>
        </w:rPr>
        <w:t>SCHEDULE OF RESTRICTED STOCK UNITS ACTIVITY</w:t>
      </w:r>
    </w:p>
    <w:tbl>
      <w:tblPr>
        <w:tblW w:w="9664" w:type="dxa"/>
        <w:jc w:val="left"/>
        <w:tblInd w:w="0" w:type="dxa"/>
        <w:tblLayout w:type="fixed"/>
        <w:tblCellMar>
          <w:top w:w="0" w:type="dxa"/>
          <w:left w:w="0" w:type="dxa"/>
          <w:bottom w:w="0" w:type="dxa"/>
          <w:right w:w="0" w:type="dxa"/>
        </w:tblCellMar>
      </w:tblPr>
      <w:tblGrid>
        <w:gridCol w:w="3215"/>
        <w:gridCol w:w="60"/>
        <w:gridCol w:w="131"/>
        <w:gridCol w:w="1748"/>
        <w:gridCol w:w="95"/>
        <w:gridCol w:w="60"/>
        <w:gridCol w:w="856"/>
        <w:gridCol w:w="3424"/>
        <w:gridCol w:w="75"/>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center"/>
              <w:rPr/>
            </w:pPr>
            <w:r>
              <w:rPr/>
              <w:t> </w:t>
            </w:r>
          </w:p>
        </w:tc>
      </w:tr>
      <w:tr>
        <w:trPr/>
        <w:tc>
          <w:tcPr>
            <w:tcW w:w="3215" w:type="dxa"/>
            <w:tcBorders/>
            <w:shd w:fill="CCEEFF" w:val="clear"/>
            <w:vAlign w:val="center"/>
          </w:tcPr>
          <w:p>
            <w:pPr>
              <w:pStyle w:val="TableContents"/>
              <w:bidi w:val="0"/>
              <w:spacing w:before="0" w:after="283"/>
              <w:jc w:val="both"/>
              <w:rPr/>
            </w:pPr>
            <w:r>
              <w:rPr/>
              <w:t>RSUs unvested - January 1, 2025</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bookmarkStart w:id="768" w:name="xdx_984_eus-gaap--ShareBasedCompensation"/>
            <w:bookmarkEnd w:id="768"/>
          </w:p>
        </w:tc>
        <w:tc>
          <w:tcPr>
            <w:tcW w:w="1748" w:type="dxa"/>
            <w:tcBorders/>
            <w:shd w:fill="CCEEFF" w:val="clear"/>
            <w:vAlign w:val="center"/>
          </w:tcPr>
          <w:p>
            <w:pPr>
              <w:pStyle w:val="TableContents"/>
              <w:bidi w:val="0"/>
              <w:spacing w:before="0" w:after="283"/>
              <w:jc w:val="right"/>
              <w:rPr/>
            </w:pPr>
            <w:r>
              <w:rPr/>
              <w:t>353,112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769" w:name="xdx_98C_eus-gaap--ShareBasedCompensation"/>
            <w:bookmarkEnd w:id="769"/>
          </w:p>
        </w:tc>
        <w:tc>
          <w:tcPr>
            <w:tcW w:w="3424" w:type="dxa"/>
            <w:tcBorders/>
            <w:shd w:fill="CCEEFF" w:val="clear"/>
            <w:vAlign w:val="center"/>
          </w:tcPr>
          <w:p>
            <w:pPr>
              <w:pStyle w:val="TableContents"/>
              <w:bidi w:val="0"/>
              <w:spacing w:before="0" w:after="283"/>
              <w:jc w:val="right"/>
              <w:rPr/>
            </w:pPr>
            <w:r>
              <w:rPr/>
              <w:t>22.55</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RSUs granted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bookmarkStart w:id="770" w:name="xdx_98D_eus-gaap--ShareBasedCompensation"/>
            <w:bookmarkEnd w:id="770"/>
          </w:p>
        </w:tc>
        <w:tc>
          <w:tcPr>
            <w:tcW w:w="1748" w:type="dxa"/>
            <w:tcBorders/>
            <w:shd w:fill="FFFFFF" w:val="clear"/>
            <w:vAlign w:val="center"/>
          </w:tcPr>
          <w:p>
            <w:pPr>
              <w:pStyle w:val="TableContents"/>
              <w:bidi w:val="0"/>
              <w:spacing w:before="0" w:after="283"/>
              <w:jc w:val="right"/>
              <w:rPr/>
            </w:pPr>
            <w:r>
              <w:rPr/>
              <w:t>76,455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bookmarkStart w:id="771" w:name="xdx_980_eus-gaap--ShareBasedCompensation"/>
            <w:bookmarkEnd w:id="771"/>
          </w:p>
        </w:tc>
        <w:tc>
          <w:tcPr>
            <w:tcW w:w="3424" w:type="dxa"/>
            <w:tcBorders/>
            <w:shd w:fill="FFFFFF" w:val="clear"/>
            <w:vAlign w:val="center"/>
          </w:tcPr>
          <w:p>
            <w:pPr>
              <w:pStyle w:val="TableContents"/>
              <w:bidi w:val="0"/>
              <w:spacing w:before="0" w:after="283"/>
              <w:jc w:val="right"/>
              <w:rPr/>
            </w:pPr>
            <w:r>
              <w:rPr/>
              <w:t>30.53</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RSUs vested</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bookmarkStart w:id="772" w:name="xdx_983_eus-gaap--ShareBasedCompensation"/>
            <w:bookmarkEnd w:id="772"/>
          </w:p>
        </w:tc>
        <w:tc>
          <w:tcPr>
            <w:tcW w:w="1748" w:type="dxa"/>
            <w:tcBorders/>
            <w:shd w:fill="CCEEFF" w:val="clear"/>
            <w:vAlign w:val="center"/>
          </w:tcPr>
          <w:p>
            <w:pPr>
              <w:pStyle w:val="TableContents"/>
              <w:bidi w:val="0"/>
              <w:spacing w:before="0" w:after="283"/>
              <w:jc w:val="right"/>
              <w:rPr/>
            </w:pPr>
            <w:r>
              <w:rPr/>
              <w:t>(67,528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bookmarkStart w:id="773" w:name="xdx_980_eus-gaap--ShareBasedCompensation"/>
            <w:bookmarkEnd w:id="773"/>
          </w:p>
        </w:tc>
        <w:tc>
          <w:tcPr>
            <w:tcW w:w="3424" w:type="dxa"/>
            <w:tcBorders/>
            <w:shd w:fill="CCEEFF" w:val="clear"/>
            <w:vAlign w:val="center"/>
          </w:tcPr>
          <w:p>
            <w:pPr>
              <w:pStyle w:val="TableContents"/>
              <w:bidi w:val="0"/>
              <w:spacing w:before="0" w:after="283"/>
              <w:jc w:val="right"/>
              <w:rPr/>
            </w:pPr>
            <w:r>
              <w:rPr/>
              <w:t>16.47</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RSUs cancelled/forfeited</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4" w:name="xdx_98E_eus-gaap--ShareBasedCompensation"/>
            <w:bookmarkEnd w:id="774"/>
          </w:p>
        </w:tc>
        <w:tc>
          <w:tcPr>
            <w:tcW w:w="1748" w:type="dxa"/>
            <w:tcBorders>
              <w:bottom w:val="single" w:sz="8" w:space="0" w:color="000000"/>
            </w:tcBorders>
            <w:shd w:fill="FFFFFF" w:val="clear"/>
            <w:tcMar>
              <w:bottom w:w="28" w:type="dxa"/>
            </w:tcMar>
            <w:vAlign w:val="center"/>
          </w:tcPr>
          <w:p>
            <w:pPr>
              <w:pStyle w:val="TableContents"/>
              <w:bidi w:val="0"/>
              <w:spacing w:before="0" w:after="283"/>
              <w:jc w:val="right"/>
              <w:rPr/>
            </w:pPr>
            <w:r>
              <w:rPr/>
              <w:t>(20,000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bookmarkStart w:id="775" w:name="xdx_982_eus-gaap--ShareBasedCompensation"/>
            <w:bookmarkEnd w:id="775"/>
          </w:p>
        </w:tc>
        <w:tc>
          <w:tcPr>
            <w:tcW w:w="3424" w:type="dxa"/>
            <w:tcBorders/>
            <w:shd w:fill="FFFFFF" w:val="clear"/>
            <w:vAlign w:val="center"/>
          </w:tcPr>
          <w:p>
            <w:pPr>
              <w:pStyle w:val="TableContents"/>
              <w:bidi w:val="0"/>
              <w:spacing w:before="0" w:after="283"/>
              <w:jc w:val="right"/>
              <w:rPr/>
            </w:pPr>
            <w:r>
              <w:rPr/>
              <w:t>17.97</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RSUs unvested – June 30, 2025</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76" w:name="xdx_98B_eus-gaap--ShareBasedCompensation"/>
            <w:bookmarkEnd w:id="776"/>
          </w:p>
        </w:tc>
        <w:tc>
          <w:tcPr>
            <w:tcW w:w="1748" w:type="dxa"/>
            <w:tcBorders>
              <w:bottom w:val="double" w:sz="6" w:space="0" w:color="000000"/>
            </w:tcBorders>
            <w:shd w:fill="CCEEFF" w:val="clear"/>
            <w:tcMar>
              <w:bottom w:w="28" w:type="dxa"/>
            </w:tcMar>
            <w:vAlign w:val="center"/>
          </w:tcPr>
          <w:p>
            <w:pPr>
              <w:pStyle w:val="TableContents"/>
              <w:bidi w:val="0"/>
              <w:spacing w:before="0" w:after="283"/>
              <w:jc w:val="right"/>
              <w:rPr/>
            </w:pPr>
            <w:r>
              <w:rPr/>
              <w:t>342,039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777" w:name="xdx_984_eus-gaap--ShareBasedCompensation"/>
            <w:bookmarkEnd w:id="777"/>
          </w:p>
        </w:tc>
        <w:tc>
          <w:tcPr>
            <w:tcW w:w="3424" w:type="dxa"/>
            <w:tcBorders/>
            <w:shd w:fill="CCEEFF" w:val="clear"/>
            <w:vAlign w:val="center"/>
          </w:tcPr>
          <w:p>
            <w:pPr>
              <w:pStyle w:val="TableContents"/>
              <w:bidi w:val="0"/>
              <w:spacing w:before="0" w:after="283"/>
              <w:jc w:val="right"/>
              <w:rPr/>
            </w:pPr>
            <w:r>
              <w:rPr/>
              <w:t>25.07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78" w:name="xdx_8A2_zVTiOggMqsUc"/>
      <w:bookmarkEnd w:id="7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total unrecognized compensation expense related to unvested RSUs was approximately $</w:t>
      </w:r>
      <w:bookmarkStart w:id="779" w:name="xdx_908_eus-gaap--EmployeeServiceShareBa"/>
      <w:bookmarkEnd w:id="779"/>
      <w:r>
        <w:rPr>
          <w:rFonts w:ascii="Times New Roman;Times;Serif" w:hAnsi="Times New Roman;Times;Serif"/>
          <w:b w:val="false"/>
          <w:i w:val="false"/>
          <w:caps w:val="false"/>
          <w:smallCaps w:val="false"/>
          <w:sz w:val="20"/>
        </w:rPr>
        <w:t xml:space="preserve">7,322,000, which is expected to be recognized over a weighted-average period of </w:t>
      </w:r>
      <w:bookmarkStart w:id="780" w:name="xdx_907_eus-gaap--EmployeeServiceShareBa"/>
      <w:bookmarkEnd w:id="780"/>
      <w:r>
        <w:rPr>
          <w:rFonts w:ascii="Times New Roman;Times;Serif" w:hAnsi="Times New Roman;Times;Serif"/>
          <w:b w:val="false"/>
          <w:i w:val="false"/>
          <w:caps w:val="false"/>
          <w:smallCaps w:val="false"/>
          <w:sz w:val="20"/>
        </w:rPr>
        <w:t>1.64 years, based on estimated and actual vesting schedules of the applicable RSUs. The stock-based compensation for RSUs during the three and six months ended June 30, 2025 was $</w:t>
      </w:r>
      <w:bookmarkStart w:id="781" w:name="xdx_90F_eus-gaap--AllocatedShareBasedCom"/>
      <w:bookmarkEnd w:id="781"/>
      <w:r>
        <w:rPr>
          <w:rFonts w:ascii="Times New Roman;Times;Serif" w:hAnsi="Times New Roman;Times;Serif"/>
          <w:b w:val="false"/>
          <w:i w:val="false"/>
          <w:caps w:val="false"/>
          <w:smallCaps w:val="false"/>
          <w:sz w:val="20"/>
        </w:rPr>
        <w:t>689,000 and $</w:t>
      </w:r>
      <w:bookmarkStart w:id="782" w:name="xdx_907_eus-gaap--AllocatedShareBasedCom"/>
      <w:bookmarkEnd w:id="782"/>
      <w:r>
        <w:rPr>
          <w:rFonts w:ascii="Times New Roman;Times;Serif" w:hAnsi="Times New Roman;Times;Serif"/>
          <w:b w:val="false"/>
          <w:i w:val="false"/>
          <w:caps w:val="false"/>
          <w:smallCaps w:val="false"/>
          <w:sz w:val="20"/>
        </w:rPr>
        <w:t>1,408,000, respectively, and was $</w:t>
      </w:r>
      <w:bookmarkStart w:id="783" w:name="xdx_907_eus-gaap--AllocatedShareBasedCom"/>
      <w:bookmarkEnd w:id="783"/>
      <w:r>
        <w:rPr>
          <w:rFonts w:ascii="Times New Roman;Times;Serif" w:hAnsi="Times New Roman;Times;Serif"/>
          <w:b w:val="false"/>
          <w:i w:val="false"/>
          <w:caps w:val="false"/>
          <w:smallCaps w:val="false"/>
          <w:sz w:val="20"/>
        </w:rPr>
        <w:t>502,000 and $</w:t>
      </w:r>
      <w:bookmarkStart w:id="784" w:name="xdx_904_eus-gaap--AllocatedShareBasedCom"/>
      <w:bookmarkEnd w:id="784"/>
      <w:r>
        <w:rPr>
          <w:rFonts w:ascii="Times New Roman;Times;Serif" w:hAnsi="Times New Roman;Times;Serif"/>
          <w:b w:val="false"/>
          <w:i w:val="false"/>
          <w:caps w:val="false"/>
          <w:smallCaps w:val="false"/>
          <w:sz w:val="20"/>
        </w:rPr>
        <w:t>907,000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5" w:name="xdx_892_eus-gaap--ShareBasedCompensation"/>
      <w:bookmarkEnd w:id="785"/>
      <w:r>
        <w:rPr>
          <w:rFonts w:ascii="Times New Roman;Times;Serif" w:hAnsi="Times New Roman;Times;Serif"/>
          <w:b w:val="false"/>
          <w:i w:val="false"/>
          <w:caps w:val="false"/>
          <w:smallCaps w:val="false"/>
          <w:sz w:val="20"/>
        </w:rPr>
        <w:t>A summary of the Company’s PSU activity and related information for the six months ended June 30,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6" w:name="xdx_8B3_z5MmkyDaoNAh"/>
      <w:bookmarkEnd w:id="786"/>
      <w:r>
        <w:rPr>
          <w:rFonts w:ascii="Times New Roman;Times;Serif" w:hAnsi="Times New Roman;Times;Serif"/>
          <w:b w:val="false"/>
          <w:i w:val="false"/>
          <w:caps w:val="false"/>
          <w:smallCaps w:val="false"/>
          <w:sz w:val="20"/>
        </w:rPr>
        <w:t>SCHEDULE OF PERFORMANCE STOCK UNITS ACTIVITY</w:t>
      </w:r>
    </w:p>
    <w:tbl>
      <w:tblPr>
        <w:tblW w:w="9679" w:type="dxa"/>
        <w:jc w:val="left"/>
        <w:tblInd w:w="0" w:type="dxa"/>
        <w:tblLayout w:type="fixed"/>
        <w:tblCellMar>
          <w:top w:w="0" w:type="dxa"/>
          <w:left w:w="0" w:type="dxa"/>
          <w:bottom w:w="0" w:type="dxa"/>
          <w:right w:w="0" w:type="dxa"/>
        </w:tblCellMar>
      </w:tblPr>
      <w:tblGrid>
        <w:gridCol w:w="3230"/>
        <w:gridCol w:w="60"/>
        <w:gridCol w:w="101"/>
        <w:gridCol w:w="1778"/>
        <w:gridCol w:w="95"/>
        <w:gridCol w:w="60"/>
        <w:gridCol w:w="856"/>
        <w:gridCol w:w="3424"/>
        <w:gridCol w:w="75"/>
      </w:tblGrid>
      <w:tr>
        <w:trPr/>
        <w:tc>
          <w:tcPr>
            <w:tcW w:w="3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pPr>
            <w:r>
              <w:rPr/>
              <w:t>PSUs unvested – January 1, 2025</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bookmarkStart w:id="787" w:name="xdx_989_eus-gaap--ShareBasedCompensation"/>
            <w:bookmarkEnd w:id="787"/>
          </w:p>
        </w:tc>
        <w:tc>
          <w:tcPr>
            <w:tcW w:w="1778" w:type="dxa"/>
            <w:tcBorders/>
            <w:shd w:fill="CCEEFF" w:val="clear"/>
            <w:vAlign w:val="center"/>
          </w:tcPr>
          <w:p>
            <w:pPr>
              <w:pStyle w:val="TableContents"/>
              <w:bidi w:val="0"/>
              <w:spacing w:before="0" w:after="283"/>
              <w:jc w:val="right"/>
              <w:rPr/>
            </w:pPr>
            <w:r>
              <w:rPr/>
              <w:t>1,567,913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788" w:name="xdx_981_eus-gaap--ShareBasedCompensation"/>
            <w:bookmarkEnd w:id="788"/>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both"/>
              <w:rPr/>
            </w:pPr>
            <w:r>
              <w:rPr/>
              <w:t>PSUs granted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bookmarkStart w:id="789" w:name="xdx_98A_eus-gaap--ShareBasedCompensation"/>
            <w:bookmarkEnd w:id="789"/>
          </w:p>
        </w:tc>
        <w:tc>
          <w:tcPr>
            <w:tcW w:w="17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pPr>
            <w:r>
              <w:rPr/>
              <w:t>PSUs vested</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bookmarkStart w:id="790" w:name="xdx_98E_eus-gaap--ShareBasedCompensation"/>
            <w:bookmarkEnd w:id="790"/>
          </w:p>
        </w:tc>
        <w:tc>
          <w:tcPr>
            <w:tcW w:w="1778" w:type="dxa"/>
            <w:tcBorders/>
            <w:shd w:fill="CCEEFF" w:val="clear"/>
            <w:vAlign w:val="center"/>
          </w:tcPr>
          <w:p>
            <w:pPr>
              <w:pStyle w:val="TableContents"/>
              <w:bidi w:val="0"/>
              <w:spacing w:before="0" w:after="283"/>
              <w:jc w:val="right"/>
              <w:rPr/>
            </w:pPr>
            <w:r>
              <w:rPr/>
              <w:t>(1,567,913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bookmarkStart w:id="791" w:name="xdx_988_eus-gaap--ShareBasedCompensation"/>
            <w:bookmarkEnd w:id="791"/>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both"/>
              <w:rPr/>
            </w:pPr>
            <w:r>
              <w:rPr/>
              <w:t>PSUs cancelled/forfeited</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92" w:name="xdx_982_eus-gaap--ShareBasedCompensation"/>
            <w:bookmarkEnd w:id="792"/>
          </w:p>
        </w:tc>
        <w:tc>
          <w:tcPr>
            <w:tcW w:w="17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pPr>
            <w:r>
              <w:rPr/>
              <w:t>PSUs unvested – June 30, 2025</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93" w:name="xdx_98B_eus-gaap--ShareBasedCompensation"/>
            <w:bookmarkEnd w:id="793"/>
          </w:p>
        </w:tc>
        <w:tc>
          <w:tcPr>
            <w:tcW w:w="177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794" w:name="xdx_98C_eus-gaap--ShareBasedCompensation"/>
            <w:bookmarkEnd w:id="794"/>
          </w:p>
        </w:tc>
        <w:tc>
          <w:tcPr>
            <w:tcW w:w="342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5" w:name="xdx_8A6_zbqhSlodPEM"/>
      <w:bookmarkEnd w:id="795"/>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there is no unrecognized compensation expense related to unvested PSUs. The stock-based compensation for PSUs during the three and six months ended June 30, 2025 was $</w:t>
      </w:r>
      <w:bookmarkStart w:id="796" w:name="xdx_900_eus-gaap--AllocatedShareBasedCom"/>
      <w:bookmarkEnd w:id="796"/>
      <w:r>
        <w:rPr>
          <w:rFonts w:ascii="Times New Roman;Times;Serif" w:hAnsi="Times New Roman;Times;Serif"/>
          <w:b w:val="false"/>
          <w:i w:val="false"/>
          <w:caps w:val="false"/>
          <w:smallCaps w:val="false"/>
          <w:sz w:val="20"/>
        </w:rPr>
        <w:t>0 and $</w:t>
      </w:r>
      <w:bookmarkStart w:id="797" w:name="xdx_904_eus-gaap--AllocatedShareBasedCom"/>
      <w:bookmarkEnd w:id="797"/>
      <w:r>
        <w:rPr>
          <w:rFonts w:ascii="Times New Roman;Times;Serif" w:hAnsi="Times New Roman;Times;Serif"/>
          <w:b w:val="false"/>
          <w:i w:val="false"/>
          <w:caps w:val="false"/>
          <w:smallCaps w:val="false"/>
          <w:sz w:val="20"/>
        </w:rPr>
        <w:t>3,638,000, respectively, and $</w:t>
      </w:r>
      <w:bookmarkStart w:id="798" w:name="xdx_90C_eus-gaap--AllocatedShareBasedCom"/>
      <w:bookmarkEnd w:id="798"/>
      <w:r>
        <w:rPr>
          <w:rFonts w:ascii="Times New Roman;Times;Serif" w:hAnsi="Times New Roman;Times;Serif"/>
          <w:b w:val="false"/>
          <w:i w:val="false"/>
          <w:caps w:val="false"/>
          <w:smallCaps w:val="false"/>
          <w:sz w:val="20"/>
        </w:rPr>
        <w:t>3,638,000 and $</w:t>
      </w:r>
      <w:bookmarkStart w:id="799" w:name="xdx_90F_eus-gaap--AllocatedShareBasedCom"/>
      <w:bookmarkEnd w:id="799"/>
      <w:r>
        <w:rPr>
          <w:rFonts w:ascii="Times New Roman;Times;Serif" w:hAnsi="Times New Roman;Times;Serif"/>
          <w:b w:val="false"/>
          <w:i w:val="false"/>
          <w:caps w:val="false"/>
          <w:smallCaps w:val="false"/>
          <w:sz w:val="20"/>
        </w:rPr>
        <w:t>7,276,000 during the same periods in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0" w:name="xdx_89E_eus-gaap--ScheduleOfShareBasedCo"/>
      <w:bookmarkEnd w:id="800"/>
      <w:r>
        <w:rPr>
          <w:rFonts w:ascii="Times New Roman;Times;Serif" w:hAnsi="Times New Roman;Times;Serif"/>
          <w:b w:val="false"/>
          <w:i w:val="false"/>
          <w:caps w:val="false"/>
          <w:smallCaps w:val="false"/>
          <w:sz w:val="20"/>
        </w:rPr>
        <w:t>The Company recorded stock-based compensation related to equity instruments granted to employees, directors and consultants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1" w:name="xdx_8BE_zNPLpKFwnddb"/>
      <w:bookmarkEnd w:id="801"/>
      <w:r>
        <w:rPr>
          <w:rFonts w:ascii="Times New Roman;Times;Serif" w:hAnsi="Times New Roman;Times;Serif"/>
          <w:b w:val="false"/>
          <w:i w:val="false"/>
          <w:caps w:val="false"/>
          <w:smallCaps w:val="false"/>
          <w:sz w:val="20"/>
        </w:rPr>
        <w:t>SCHEDULE OF STOCK BASED COMPENSATION GRANTED TO EMPLOYEES, DIRECTORS AND CONSULTANTS</w:t>
      </w:r>
    </w:p>
    <w:tbl>
      <w:tblPr>
        <w:tblW w:w="10089" w:type="dxa"/>
        <w:jc w:val="left"/>
        <w:tblInd w:w="0" w:type="dxa"/>
        <w:tblLayout w:type="fixed"/>
        <w:tblCellMar>
          <w:top w:w="0" w:type="dxa"/>
          <w:left w:w="0" w:type="dxa"/>
          <w:bottom w:w="0" w:type="dxa"/>
          <w:right w:w="0" w:type="dxa"/>
        </w:tblCellMar>
      </w:tblPr>
      <w:tblGrid>
        <w:gridCol w:w="4550"/>
        <w:gridCol w:w="60"/>
        <w:gridCol w:w="177"/>
        <w:gridCol w:w="1014"/>
        <w:gridCol w:w="76"/>
        <w:gridCol w:w="76"/>
        <w:gridCol w:w="177"/>
        <w:gridCol w:w="1242"/>
        <w:gridCol w:w="60"/>
        <w:gridCol w:w="60"/>
        <w:gridCol w:w="149"/>
        <w:gridCol w:w="1048"/>
        <w:gridCol w:w="64"/>
        <w:gridCol w:w="64"/>
        <w:gridCol w:w="149"/>
        <w:gridCol w:w="1048"/>
        <w:gridCol w:w="7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2" w:name="xdx_49F_20250401__20250630_zcdJpTdxORne"/>
            <w:bookmarkEnd w:id="802"/>
          </w:p>
        </w:tc>
        <w:tc>
          <w:tcPr>
            <w:tcW w:w="119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803" w:name="xdx_49A_20240401__20240630_z9qxrznNi7hk"/>
            <w:bookmarkEnd w:id="803"/>
          </w:p>
        </w:tc>
        <w:tc>
          <w:tcPr>
            <w:tcW w:w="141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4" w:name="xdx_49B_20250101__20250630_zCDhSEX3g3Lj"/>
            <w:bookmarkEnd w:id="804"/>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805" w:name="xdx_49A_20240101__20240630_zjPKNrCrQXo5"/>
            <w:bookmarkEnd w:id="805"/>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center"/>
          </w:tcPr>
          <w:p>
            <w:pPr>
              <w:pStyle w:val="TableContents"/>
              <w:bidi w:val="0"/>
              <w:jc w:val="center"/>
              <w:rPr/>
            </w:pPr>
            <w:r>
              <w:rPr/>
              <w:t>For the Three Months Ended</w:t>
            </w:r>
          </w:p>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bottom w:val="single" w:sz="8" w:space="0" w:color="000000"/>
            </w:tcBorders>
            <w:tcMar>
              <w:bottom w:w="28" w:type="dxa"/>
            </w:tcMar>
            <w:vAlign w:val="center"/>
          </w:tcPr>
          <w:p>
            <w:pPr>
              <w:pStyle w:val="TableContents"/>
              <w:bidi w:val="0"/>
              <w:jc w:val="center"/>
              <w:rPr/>
            </w:pPr>
            <w:r>
              <w:rPr/>
              <w:t>For the Six Months Ended</w:t>
            </w:r>
          </w:p>
          <w:p>
            <w:pPr>
              <w:pStyle w:val="TableContents"/>
              <w:bidi w:val="0"/>
              <w:spacing w:before="0" w:after="283"/>
              <w:jc w:val="center"/>
              <w:rPr/>
            </w:pPr>
            <w:r>
              <w:rPr/>
              <w:t>June 30,</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806" w:name="xdx_401_eus-gaap--AllocatedShareBasedCom"/>
            <w:bookmarkEnd w:id="806"/>
          </w:p>
        </w:tc>
      </w:tr>
      <w:tr>
        <w:trPr/>
        <w:tc>
          <w:tcPr>
            <w:tcW w:w="4550" w:type="dxa"/>
            <w:tcBorders/>
            <w:shd w:fill="CCEEFF" w:val="clear"/>
            <w:vAlign w:val="center"/>
          </w:tcPr>
          <w:p>
            <w:pPr>
              <w:pStyle w:val="TableContents"/>
              <w:bidi w:val="0"/>
              <w:spacing w:before="0" w:after="283"/>
              <w:jc w:val="left"/>
              <w:rPr/>
            </w:pPr>
            <w:r>
              <w:rPr/>
              <w:t>Employees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4" w:type="dxa"/>
            <w:tcBorders/>
            <w:shd w:fill="CCEEFF" w:val="clear"/>
            <w:vAlign w:val="center"/>
          </w:tcPr>
          <w:p>
            <w:pPr>
              <w:pStyle w:val="TableContents"/>
              <w:bidi w:val="0"/>
              <w:spacing w:before="0" w:after="283"/>
              <w:jc w:val="right"/>
              <w:rPr/>
            </w:pPr>
            <w:r>
              <w:rPr/>
              <w:t>637,000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3,579,000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4,431,000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7,104,000</w:t>
            </w:r>
          </w:p>
        </w:tc>
        <w:tc>
          <w:tcPr>
            <w:tcW w:w="75" w:type="dxa"/>
            <w:tcBorders/>
            <w:shd w:fill="CCEEFF" w:val="clear"/>
            <w:vAlign w:val="center"/>
          </w:tcPr>
          <w:p>
            <w:pPr>
              <w:pStyle w:val="TableContents"/>
              <w:bidi w:val="0"/>
              <w:spacing w:before="0" w:after="283"/>
              <w:jc w:val="left"/>
              <w:rPr/>
            </w:pPr>
            <w:r>
              <w:rPr/>
              <w:t> </w:t>
            </w:r>
            <w:bookmarkStart w:id="807" w:name="xdx_40F_eus-gaap--AllocatedShareBasedCom"/>
            <w:bookmarkEnd w:id="807"/>
          </w:p>
        </w:tc>
      </w:tr>
      <w:tr>
        <w:trPr/>
        <w:tc>
          <w:tcPr>
            <w:tcW w:w="4550" w:type="dxa"/>
            <w:tcBorders/>
            <w:shd w:fill="FFFFFF" w:val="clear"/>
            <w:vAlign w:val="center"/>
          </w:tcPr>
          <w:p>
            <w:pPr>
              <w:pStyle w:val="TableContents"/>
              <w:bidi w:val="0"/>
              <w:spacing w:before="0" w:after="283"/>
              <w:jc w:val="left"/>
              <w:rPr/>
            </w:pPr>
            <w:r>
              <w:rPr/>
              <w:t>Employees - R&amp;D</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439,000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422,000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878,000</w:t>
            </w:r>
          </w:p>
        </w:tc>
        <w:tc>
          <w:tcPr>
            <w:tcW w:w="75" w:type="dxa"/>
            <w:tcBorders/>
            <w:shd w:fill="FFFFFF" w:val="clear"/>
            <w:vAlign w:val="center"/>
          </w:tcPr>
          <w:p>
            <w:pPr>
              <w:pStyle w:val="TableContents"/>
              <w:bidi w:val="0"/>
              <w:spacing w:before="0" w:after="283"/>
              <w:jc w:val="left"/>
              <w:rPr/>
            </w:pPr>
            <w:r>
              <w:rPr/>
              <w:t> </w:t>
            </w:r>
            <w:bookmarkStart w:id="808" w:name="xdx_402_eus-gaap--AllocatedShareBasedCom"/>
            <w:bookmarkEnd w:id="808"/>
          </w:p>
        </w:tc>
      </w:tr>
      <w:tr>
        <w:trPr/>
        <w:tc>
          <w:tcPr>
            <w:tcW w:w="4550" w:type="dxa"/>
            <w:tcBorders/>
            <w:shd w:fill="CCEEFF" w:val="clear"/>
            <w:vAlign w:val="center"/>
          </w:tcPr>
          <w:p>
            <w:pPr>
              <w:pStyle w:val="TableContents"/>
              <w:bidi w:val="0"/>
              <w:spacing w:before="0" w:after="283"/>
              <w:jc w:val="left"/>
              <w:rPr/>
            </w:pPr>
            <w:r>
              <w:rPr/>
              <w:t>Directors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149,000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375,000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402,000</w:t>
            </w:r>
          </w:p>
        </w:tc>
        <w:tc>
          <w:tcPr>
            <w:tcW w:w="75" w:type="dxa"/>
            <w:tcBorders/>
            <w:shd w:fill="CCEEFF" w:val="clear"/>
            <w:vAlign w:val="center"/>
          </w:tcPr>
          <w:p>
            <w:pPr>
              <w:pStyle w:val="TableContents"/>
              <w:bidi w:val="0"/>
              <w:spacing w:before="0" w:after="283"/>
              <w:jc w:val="left"/>
              <w:rPr/>
            </w:pPr>
            <w:r>
              <w:rPr/>
              <w:t> </w:t>
            </w:r>
            <w:bookmarkStart w:id="809" w:name="xdx_400_eus-gaap--AllocatedShareBasedCom"/>
            <w:bookmarkEnd w:id="809"/>
          </w:p>
        </w:tc>
      </w:tr>
      <w:tr>
        <w:trPr/>
        <w:tc>
          <w:tcPr>
            <w:tcW w:w="4550" w:type="dxa"/>
            <w:tcBorders/>
            <w:shd w:fill="FFFFFF" w:val="clear"/>
            <w:vAlign w:val="center"/>
          </w:tcPr>
          <w:p>
            <w:pPr>
              <w:pStyle w:val="TableContents"/>
              <w:bidi w:val="0"/>
              <w:spacing w:before="0" w:after="283"/>
              <w:jc w:val="left"/>
              <w:rPr/>
            </w:pPr>
            <w:r>
              <w:rPr/>
              <w:t>Consultants - selling, general and administrative</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pPr>
            <w:r>
              <w:rPr/>
              <w:t>89,000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right"/>
              <w:rPr/>
            </w:pPr>
            <w:r>
              <w:rPr/>
              <w:t>39,000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203,000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56,000</w:t>
            </w:r>
          </w:p>
        </w:tc>
        <w:tc>
          <w:tcPr>
            <w:tcW w:w="75" w:type="dxa"/>
            <w:tcBorders/>
            <w:shd w:fill="FFFFFF" w:val="clear"/>
            <w:vAlign w:val="center"/>
          </w:tcPr>
          <w:p>
            <w:pPr>
              <w:pStyle w:val="TableContents"/>
              <w:bidi w:val="0"/>
              <w:spacing w:before="0" w:after="283"/>
              <w:jc w:val="left"/>
              <w:rPr/>
            </w:pPr>
            <w:r>
              <w:rPr/>
              <w:t> </w:t>
            </w:r>
            <w:bookmarkStart w:id="810" w:name="xdx_40E_eus-gaap--AllocatedShareBasedCom"/>
            <w:bookmarkEnd w:id="810"/>
          </w:p>
        </w:tc>
      </w:tr>
      <w:tr>
        <w:trPr/>
        <w:tc>
          <w:tcPr>
            <w:tcW w:w="45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4" w:type="dxa"/>
            <w:tcBorders>
              <w:bottom w:val="double" w:sz="6" w:space="0" w:color="000000"/>
            </w:tcBorders>
            <w:shd w:fill="CCEEFF" w:val="clear"/>
            <w:tcMar>
              <w:bottom w:w="28" w:type="dxa"/>
            </w:tcMar>
            <w:vAlign w:val="center"/>
          </w:tcPr>
          <w:p>
            <w:pPr>
              <w:pStyle w:val="TableContents"/>
              <w:bidi w:val="0"/>
              <w:spacing w:before="0" w:after="283"/>
              <w:jc w:val="right"/>
              <w:rPr/>
            </w:pPr>
            <w:r>
              <w:rPr/>
              <w:t>875,000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6" w:space="0" w:color="000000"/>
            </w:tcBorders>
            <w:shd w:fill="CCEEFF" w:val="clear"/>
            <w:tcMar>
              <w:bottom w:w="28" w:type="dxa"/>
            </w:tcMar>
            <w:vAlign w:val="center"/>
          </w:tcPr>
          <w:p>
            <w:pPr>
              <w:pStyle w:val="TableContents"/>
              <w:bidi w:val="0"/>
              <w:spacing w:before="0" w:after="283"/>
              <w:jc w:val="right"/>
              <w:rPr/>
            </w:pPr>
            <w:r>
              <w:rPr/>
              <w:t>4,271,000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5,431,000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8,440,000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1" w:name="xdx_8A9_zfqABdXajOqb"/>
      <w:bookmarkEnd w:id="81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2" w:name="xdx_801_eus-gaap--CommitmentsAndContinge"/>
      <w:bookmarkEnd w:id="812"/>
      <w:r>
        <w:rPr>
          <w:rFonts w:ascii="Times New Roman;Times;Serif" w:hAnsi="Times New Roman;Times;Serif"/>
          <w:b/>
          <w:i w:val="false"/>
          <w:caps w:val="false"/>
          <w:smallCaps w:val="false"/>
          <w:sz w:val="20"/>
        </w:rPr>
        <w:t xml:space="preserve">NOTE 13. </w:t>
      </w:r>
      <w:bookmarkStart w:id="813" w:name="xdx_825_ziOghSXlOkG3"/>
      <w:bookmarkEnd w:id="81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footnote.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 matters (whether discussed in this footnote or not) currently pending may have a material adverse effect on the Company’s condensed consolidated results of operations, financial position or cash flows. Legal costs incurred for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 Science, Inc. et. al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had been amended and OSRX added counterclaims alleging ImprimisRx, LLC was violating the Lanham Act with false advertising. The Court granted cross motions for summary judgement on each party’s Lanham Act claims thus leaving only ImprimisRx, LLC’s copyright infringement, trademark infringement and unfair competition claims for trial. Following a jury trial in November 2024, a jury found OSRX acted with malice, fraud, or oppression, willfully engaging in trademark infringement and unfair competition under California and federal law and ImprimisRx, LLC received a $</w:t>
      </w:r>
      <w:bookmarkStart w:id="814" w:name="xdx_902_eus-gaap--ProceedsFromLegalSettl"/>
      <w:bookmarkEnd w:id="814"/>
      <w:r>
        <w:rPr>
          <w:rFonts w:ascii="Times New Roman;Times;Serif" w:hAnsi="Times New Roman;Times;Serif"/>
          <w:b w:val="false"/>
          <w:i w:val="false"/>
          <w:caps w:val="false"/>
          <w:smallCaps w:val="false"/>
          <w:sz w:val="20"/>
        </w:rPr>
        <w:t>34,900,000 jury verdict award, which includes $</w:t>
      </w:r>
      <w:bookmarkStart w:id="815" w:name="xdx_90E_eus-gaap--LossContingencyDamages"/>
      <w:bookmarkEnd w:id="815"/>
      <w:r>
        <w:rPr>
          <w:rFonts w:ascii="Times New Roman;Times;Serif" w:hAnsi="Times New Roman;Times;Serif"/>
          <w:b w:val="false"/>
          <w:i w:val="false"/>
          <w:caps w:val="false"/>
          <w:smallCaps w:val="false"/>
          <w:sz w:val="20"/>
        </w:rPr>
        <w:t>20,400,000 in punitive damages and $</w:t>
      </w:r>
      <w:bookmarkStart w:id="816" w:name="xdx_907_eus-gaap--LossContingencyDamages"/>
      <w:bookmarkEnd w:id="816"/>
      <w:r>
        <w:rPr>
          <w:rFonts w:ascii="Times New Roman;Times;Serif" w:hAnsi="Times New Roman;Times;Serif"/>
          <w:b w:val="false"/>
          <w:i w:val="false"/>
          <w:caps w:val="false"/>
          <w:smallCaps w:val="false"/>
          <w:sz w:val="20"/>
        </w:rPr>
        <w:t>14,500,000 in actual damages. Due to uncertainty regarding probability of collection, the Company has not recognized any gains associated with the verdict award in the accompanying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Professional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License and 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Approved Product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 In June 2025, the Company announced that it had entered into a license and supply agreement (the “Formosa Agreement”) with Formosa Pharmaceuticals, Inc. (“Formosa”). Under the terms of the Formosa Agreement, </w:t>
      </w:r>
      <w:bookmarkStart w:id="817" w:name="xdx_90E_ecustom--DescriptionOfLicensesAg"/>
      <w:bookmarkEnd w:id="817"/>
      <w:r>
        <w:rPr>
          <w:rFonts w:ascii="Times New Roman;Times;Serif" w:hAnsi="Times New Roman;Times;Serif"/>
          <w:b w:val="false"/>
          <w:i w:val="false"/>
          <w:caps w:val="false"/>
          <w:smallCaps w:val="false"/>
          <w:sz w:val="20"/>
        </w:rPr>
        <w:t>the Company licensed from Formosa the exclusive rights and marketing authorization of BYQLOVI</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(clobetasol propionate ophthalmic suspension) 0.05% in the U.S. market: In consideration for such rights, the Company will make a one-time payment to Formosa equal to $500,000 at the time the Company makes its first commercial sale of BYQLOVI to a third party and Formosa will be eligible to receive other one-time payments based on achievement of commercial gross profit milestones along with royalties on gross profits of BYQLOVI.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w:t>
      </w:r>
      <w:bookmarkStart w:id="818" w:name="xdx_90A_eus-gaap--RoyaltyExpense_c202504"/>
      <w:bookmarkEnd w:id="818"/>
      <w:r>
        <w:rPr>
          <w:rFonts w:ascii="Times New Roman;Times;Serif" w:hAnsi="Times New Roman;Times;Serif"/>
          <w:b w:val="false"/>
          <w:i w:val="false"/>
          <w:caps w:val="false"/>
          <w:smallCaps w:val="false"/>
          <w:sz w:val="20"/>
        </w:rPr>
        <w:t>2,201,000 and $</w:t>
      </w:r>
      <w:bookmarkStart w:id="819" w:name="xdx_90F_eus-gaap--RoyaltyExpense_c202501"/>
      <w:bookmarkEnd w:id="819"/>
      <w:r>
        <w:rPr>
          <w:rFonts w:ascii="Times New Roman;Times;Serif" w:hAnsi="Times New Roman;Times;Serif"/>
          <w:b w:val="false"/>
          <w:i w:val="false"/>
          <w:caps w:val="false"/>
          <w:smallCaps w:val="false"/>
          <w:sz w:val="20"/>
        </w:rPr>
        <w:t>4,374,000 were incurred under these agreements as royalty expenses, respectively, and $</w:t>
      </w:r>
      <w:bookmarkStart w:id="820" w:name="xdx_90D_eus-gaap--RoyaltyExpense_c202404"/>
      <w:bookmarkEnd w:id="820"/>
      <w:r>
        <w:rPr>
          <w:rFonts w:ascii="Times New Roman;Times;Serif" w:hAnsi="Times New Roman;Times;Serif"/>
          <w:b w:val="false"/>
          <w:i w:val="false"/>
          <w:caps w:val="false"/>
          <w:smallCaps w:val="false"/>
          <w:sz w:val="20"/>
        </w:rPr>
        <w:t>1,036,000 and $</w:t>
      </w:r>
      <w:bookmarkStart w:id="821" w:name="xdx_90D_eus-gaap--RoyaltyExpense_c202401"/>
      <w:bookmarkEnd w:id="821"/>
      <w:r>
        <w:rPr>
          <w:rFonts w:ascii="Times New Roman;Times;Serif" w:hAnsi="Times New Roman;Times;Serif"/>
          <w:b w:val="false"/>
          <w:i w:val="false"/>
          <w:caps w:val="false"/>
          <w:smallCaps w:val="false"/>
          <w:sz w:val="20"/>
        </w:rPr>
        <w:t>1,310,000, respectively, during the same period in 2024. The Company incurred $</w:t>
      </w:r>
      <w:bookmarkStart w:id="822" w:name="xdx_90B_ecustom--UpfrontAndMilestonePaym"/>
      <w:bookmarkEnd w:id="822"/>
      <w:r>
        <w:rPr>
          <w:rFonts w:ascii="Times New Roman;Times;Serif" w:hAnsi="Times New Roman;Times;Serif"/>
          <w:b w:val="false"/>
          <w:i w:val="false"/>
          <w:caps w:val="false"/>
          <w:smallCaps w:val="false"/>
          <w:sz w:val="20"/>
        </w:rPr>
        <w:t>0 and $</w:t>
      </w:r>
      <w:bookmarkStart w:id="823" w:name="xdx_90C_ecustom--UpfrontAndMilestonePaym"/>
      <w:bookmarkEnd w:id="823"/>
      <w:r>
        <w:rPr>
          <w:rFonts w:ascii="Times New Roman;Times;Serif" w:hAnsi="Times New Roman;Times;Serif"/>
          <w:b w:val="false"/>
          <w:i w:val="false"/>
          <w:caps w:val="false"/>
          <w:smallCaps w:val="false"/>
          <w:sz w:val="20"/>
        </w:rPr>
        <w:t>0 related to upfront and milestone payments under these agreements during the three and six months ended June 30, 2025, respectively, and $</w:t>
      </w:r>
      <w:bookmarkStart w:id="824" w:name="xdx_904_ecustom--UpfrontAndMilestonePaym"/>
      <w:bookmarkEnd w:id="824"/>
      <w:r>
        <w:rPr>
          <w:rFonts w:ascii="Times New Roman;Times;Serif" w:hAnsi="Times New Roman;Times;Serif"/>
          <w:b w:val="false"/>
          <w:i w:val="false"/>
          <w:caps w:val="false"/>
          <w:smallCaps w:val="false"/>
          <w:sz w:val="20"/>
        </w:rPr>
        <w:t>0 and $</w:t>
      </w:r>
      <w:bookmarkStart w:id="825" w:name="xdx_907_ecustom--UpfrontAndMilestonePaym"/>
      <w:bookmarkEnd w:id="825"/>
      <w:r>
        <w:rPr>
          <w:rFonts w:ascii="Times New Roman;Times;Serif" w:hAnsi="Times New Roman;Times;Serif"/>
          <w:b w:val="false"/>
          <w:i w:val="false"/>
          <w:caps w:val="false"/>
          <w:smallCaps w:val="false"/>
          <w:sz w:val="20"/>
        </w:rPr>
        <w:t>0, respectively, during the same periods in 2024. As of June 30, 2025, the remaining contingent consideration payable pursuant to these agreements were not considered probable and reasonably estimable and therefore, no amount was accrued related to these contingent obligations during the six months ended June 30, 2025. At the time contingent consideration payable becomes probable and reasonably estimable, the additional consideration, if any, paid will be allocated to the assets based on their initial estimated fair values as a percent of total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Formulation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acquired and sourced intellectual property rights related to certain proprietary innovations from certain inventors, innovator companies and related parties (the “Inventors”) through multiple asset purchase agreements and license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these intellectual property rights, the Company is obligated to make payments to the Inventors based on the completion of certain milestones, generally consisting of: (1) a payment payable within 30 to 45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six months ended June 30, 2025, $</w:t>
      </w:r>
      <w:bookmarkStart w:id="826" w:name="xdx_905_eus-gaap--RoyaltyExpense_c202504"/>
      <w:bookmarkEnd w:id="826"/>
      <w:r>
        <w:rPr>
          <w:rFonts w:ascii="Times New Roman;Times;Serif" w:hAnsi="Times New Roman;Times;Serif"/>
          <w:b w:val="false"/>
          <w:i w:val="false"/>
          <w:caps w:val="false"/>
          <w:smallCaps w:val="false"/>
          <w:sz w:val="20"/>
        </w:rPr>
        <w:t>287,000 and $</w:t>
      </w:r>
      <w:bookmarkStart w:id="827" w:name="xdx_909_eus-gaap--RoyaltyExpense_c202501"/>
      <w:bookmarkEnd w:id="827"/>
      <w:r>
        <w:rPr>
          <w:rFonts w:ascii="Times New Roman;Times;Serif" w:hAnsi="Times New Roman;Times;Serif"/>
          <w:b w:val="false"/>
          <w:i w:val="false"/>
          <w:caps w:val="false"/>
          <w:smallCaps w:val="false"/>
          <w:sz w:val="20"/>
        </w:rPr>
        <w:t>564,000, respectively, were incurred under these agreements as royalty expenses, and $</w:t>
      </w:r>
      <w:bookmarkStart w:id="828" w:name="xdx_90C_eus-gaap--RoyaltyExpense_c202404"/>
      <w:bookmarkEnd w:id="828"/>
      <w:r>
        <w:rPr>
          <w:rFonts w:ascii="Times New Roman;Times;Serif" w:hAnsi="Times New Roman;Times;Serif"/>
          <w:b w:val="false"/>
          <w:i w:val="false"/>
          <w:caps w:val="false"/>
          <w:smallCaps w:val="false"/>
          <w:sz w:val="20"/>
        </w:rPr>
        <w:t>316,000 and $</w:t>
      </w:r>
      <w:bookmarkStart w:id="829" w:name="xdx_90F_eus-gaap--RoyaltyExpense_c202401"/>
      <w:bookmarkEnd w:id="829"/>
      <w:r>
        <w:rPr>
          <w:rFonts w:ascii="Times New Roman;Times;Serif" w:hAnsi="Times New Roman;Times;Serif"/>
          <w:b w:val="false"/>
          <w:i w:val="false"/>
          <w:caps w:val="false"/>
          <w:smallCaps w:val="false"/>
          <w:sz w:val="20"/>
        </w:rPr>
        <w:t>496,000, respectively, during the same periods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manufacturing agreements with respect to third-party contract manufacturers for its FDA approved pharmaceutical products. Some of these contract manufacturing agreements require minimum annual order amounts. The Company has committed to pay approximately $</w:t>
      </w:r>
      <w:bookmarkStart w:id="830" w:name="xdx_901_eus-gaap--PurchaseCommitmentRema"/>
      <w:bookmarkEnd w:id="830"/>
      <w:r>
        <w:rPr>
          <w:rFonts w:ascii="Times New Roman;Times;Serif" w:hAnsi="Times New Roman;Times;Serif"/>
          <w:b w:val="false"/>
          <w:i w:val="false"/>
          <w:caps w:val="false"/>
          <w:smallCaps w:val="false"/>
          <w:sz w:val="20"/>
        </w:rPr>
        <w:t>8,527,000 related to contract manufacturing agreements for the year ending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1" w:name="xdx_803_eus-gaap--SegmentReportingDisclo"/>
      <w:bookmarkEnd w:id="831"/>
      <w:r>
        <w:rPr>
          <w:rFonts w:ascii="Times New Roman;Times;Serif" w:hAnsi="Times New Roman;Times;Serif"/>
          <w:b/>
          <w:i w:val="false"/>
          <w:caps w:val="false"/>
          <w:smallCaps w:val="false"/>
          <w:sz w:val="20"/>
        </w:rPr>
        <w:t xml:space="preserve">NOTE 14. </w:t>
      </w:r>
      <w:bookmarkStart w:id="832" w:name="xdx_82B_ziFV0gIFMK1h"/>
      <w:bookmarkEnd w:id="832"/>
      <w:r>
        <w:rPr>
          <w:rFonts w:ascii="Times New Roman;Times;Serif" w:hAnsi="Times New Roman;Times;Serif"/>
          <w:b/>
          <w:i w:val="false"/>
          <w:caps w:val="false"/>
          <w:smallCaps w:val="false"/>
          <w:sz w:val="20"/>
        </w:rPr>
        <w:t>SEGMENTS AND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two reportable segments which are generally determined based on the decision-making structure of the Company and the grouping of similar products and services: Branded and ImprimisRx.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Branded</w:t>
            </w:r>
            <w:r>
              <w:rPr>
                <w:rFonts w:ascii="Times New Roman;Times;Serif" w:hAnsi="Times New Roman;Times;Serif"/>
                <w:b w:val="false"/>
                <w:i w:val="false"/>
                <w:caps w:val="false"/>
                <w:smallCaps w:val="false"/>
                <w:sz w:val="20"/>
              </w:rPr>
              <w:t xml:space="preserve"> segment includes activities of the Company’s FDA-approved ophthalmology pharmaceutical products, including the out-licensing of rights to certain of our branded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caps w:val="false"/>
                <w:smallCaps w:val="false"/>
                <w:sz w:val="20"/>
              </w:rPr>
              <w:t>ImprimisRx</w:t>
            </w:r>
            <w:r>
              <w:rPr>
                <w:rFonts w:ascii="Times New Roman;Times;Serif" w:hAnsi="Times New Roman;Times;Serif"/>
                <w:b w:val="false"/>
                <w:i w:val="false"/>
                <w:caps w:val="false"/>
                <w:smallCaps w:val="false"/>
                <w:sz w:val="20"/>
              </w:rPr>
              <w:t xml:space="preserve"> segment represents activities in the Company’s ophthalmology-focused pharmaceutical compounding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that result from shared infrastructure, including certain expenses associated with legal matters, public company costs (e.g. investor relations), Board of Directors and principal executive officers and other shared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within selling, general and administrative expenses that result from the impact of corporate initiatives. Corporate initiatives primarily include integration, restructuring, acquisition and other shared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3" w:name="xdx_89F_eus-gaap--ScheduleOfSegmentRepor"/>
      <w:bookmarkEnd w:id="833"/>
      <w:r>
        <w:rPr>
          <w:rFonts w:ascii="Times New Roman;Times;Serif" w:hAnsi="Times New Roman;Times;Serif"/>
          <w:b w:val="false"/>
          <w:i w:val="false"/>
          <w:caps w:val="false"/>
          <w:smallCaps w:val="false"/>
          <w:sz w:val="20"/>
        </w:rPr>
        <w:t>Segment net revenues, segment operating expenses and segment contribution information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4" w:name="xdx_8B9_zJSV6qiLCrlg"/>
      <w:bookmarkEnd w:id="834"/>
      <w:r>
        <w:rPr>
          <w:rFonts w:ascii="Times New Roman;Times;Serif" w:hAnsi="Times New Roman;Times;Serif"/>
          <w:b w:val="false"/>
          <w:i w:val="false"/>
          <w:caps w:val="false"/>
          <w:smallCaps w:val="false"/>
          <w:sz w:val="20"/>
        </w:rPr>
        <w:t>SCHEDULE OF SEGMENT NET REVENUES</w:t>
      </w:r>
    </w:p>
    <w:tbl>
      <w:tblPr>
        <w:tblW w:w="10260" w:type="dxa"/>
        <w:jc w:val="left"/>
        <w:tblInd w:w="0" w:type="dxa"/>
        <w:tblLayout w:type="fixed"/>
        <w:tblCellMar>
          <w:top w:w="0" w:type="dxa"/>
          <w:left w:w="0" w:type="dxa"/>
          <w:bottom w:w="0" w:type="dxa"/>
          <w:right w:w="0" w:type="dxa"/>
        </w:tblCellMar>
      </w:tblPr>
      <w:tblGrid>
        <w:gridCol w:w="1355"/>
        <w:gridCol w:w="60"/>
        <w:gridCol w:w="140"/>
        <w:gridCol w:w="1100"/>
        <w:gridCol w:w="60"/>
        <w:gridCol w:w="60"/>
        <w:gridCol w:w="168"/>
        <w:gridCol w:w="1322"/>
        <w:gridCol w:w="60"/>
        <w:gridCol w:w="60"/>
        <w:gridCol w:w="152"/>
        <w:gridCol w:w="1203"/>
        <w:gridCol w:w="60"/>
        <w:gridCol w:w="60"/>
        <w:gridCol w:w="140"/>
        <w:gridCol w:w="1100"/>
        <w:gridCol w:w="60"/>
        <w:gridCol w:w="60"/>
        <w:gridCol w:w="168"/>
        <w:gridCol w:w="1322"/>
        <w:gridCol w:w="60"/>
        <w:gridCol w:w="60"/>
        <w:gridCol w:w="152"/>
        <w:gridCol w:w="1203"/>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835" w:name="xdx_49A_20250401__20250630__us-gaap--Sta"/>
            <w:bookmarkEnd w:id="83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6" w:name="xdx_497_20250401__20250630__us-gaap--Sta"/>
            <w:bookmarkEnd w:id="836"/>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7" w:name="xdx_496_20250401__20250630_z7O5YqcWRH6l"/>
            <w:bookmarkEnd w:id="837"/>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8" w:name="xdx_492_20240401__20240630__us-gaap--Sta"/>
            <w:bookmarkEnd w:id="83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39" w:name="xdx_49C_20240401__20240630__us-gaap--Sta"/>
            <w:bookmarkEnd w:id="839"/>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40" w:name="xdx_492_20240401__20240630_zfYVYVwOeB28"/>
            <w:bookmarkEnd w:id="840"/>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3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3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75" w:type="dxa"/>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Branded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Compounding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center"/>
              <w:rPr/>
            </w:pPr>
            <w:r>
              <w:rPr/>
              <w:t> </w:t>
            </w:r>
            <w:bookmarkStart w:id="841" w:name="xdx_409_eus-gaap--RevenueFromContractWit"/>
            <w:bookmarkEnd w:id="841"/>
          </w:p>
        </w:tc>
      </w:tr>
      <w:tr>
        <w:trPr/>
        <w:tc>
          <w:tcPr>
            <w:tcW w:w="1355" w:type="dxa"/>
            <w:tcBorders/>
            <w:shd w:fill="CCEEFF" w:val="clear"/>
            <w:vAlign w:val="center"/>
          </w:tcPr>
          <w:p>
            <w:pPr>
              <w:pStyle w:val="TableContents"/>
              <w:bidi w:val="0"/>
              <w:spacing w:before="0" w:after="283"/>
              <w:jc w:val="left"/>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42,189,000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21,468,000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63,657,000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27,291,000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21,580,000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48,871,000</w:t>
            </w:r>
          </w:p>
        </w:tc>
        <w:tc>
          <w:tcPr>
            <w:tcW w:w="75" w:type="dxa"/>
            <w:tcBorders/>
            <w:shd w:fill="CCEEFF" w:val="clear"/>
            <w:vAlign w:val="center"/>
          </w:tcPr>
          <w:p>
            <w:pPr>
              <w:pStyle w:val="TableContents"/>
              <w:bidi w:val="0"/>
              <w:spacing w:before="0" w:after="283"/>
              <w:jc w:val="left"/>
              <w:rPr/>
            </w:pPr>
            <w:r>
              <w:rPr/>
              <w:t> </w:t>
            </w:r>
            <w:bookmarkStart w:id="842" w:name="xdx_401_eus-gaap--RevenueFromContractWit"/>
            <w:bookmarkEnd w:id="842"/>
          </w:p>
        </w:tc>
      </w:tr>
      <w:tr>
        <w:trPr/>
        <w:tc>
          <w:tcPr>
            <w:tcW w:w="1355"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68,000</w:t>
            </w:r>
          </w:p>
        </w:tc>
        <w:tc>
          <w:tcPr>
            <w:tcW w:w="75" w:type="dxa"/>
            <w:tcBorders/>
            <w:shd w:fill="FFFFFF" w:val="clear"/>
            <w:vAlign w:val="center"/>
          </w:tcPr>
          <w:p>
            <w:pPr>
              <w:pStyle w:val="TableContents"/>
              <w:bidi w:val="0"/>
              <w:spacing w:before="0" w:after="283"/>
              <w:jc w:val="left"/>
              <w:rPr/>
            </w:pPr>
            <w:r>
              <w:rPr/>
              <w:t> </w:t>
            </w:r>
            <w:bookmarkStart w:id="843" w:name="xdx_405_eus-gaap--RevenueFromContractWit"/>
            <w:bookmarkEnd w:id="843"/>
          </w:p>
        </w:tc>
      </w:tr>
      <w:tr>
        <w:trPr/>
        <w:tc>
          <w:tcPr>
            <w:tcW w:w="135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42,274,000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21,468,000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63,742,000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27,359,000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21,580,000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48,939,000</w:t>
            </w:r>
          </w:p>
        </w:tc>
        <w:tc>
          <w:tcPr>
            <w:tcW w:w="75" w:type="dxa"/>
            <w:tcBorders/>
            <w:shd w:fill="CCEEFF" w:val="clear"/>
            <w:vAlign w:val="center"/>
          </w:tcPr>
          <w:p>
            <w:pPr>
              <w:pStyle w:val="TableContents"/>
              <w:bidi w:val="0"/>
              <w:spacing w:before="0" w:after="283"/>
              <w:jc w:val="left"/>
              <w:rPr/>
            </w:pPr>
            <w:r>
              <w:rPr/>
              <w:t> </w:t>
            </w:r>
            <w:bookmarkStart w:id="844" w:name="xdx_405_eus-gaap--CostOfGoodsAndServices"/>
            <w:bookmarkEnd w:id="844"/>
          </w:p>
        </w:tc>
      </w:tr>
      <w:tr>
        <w:trPr/>
        <w:tc>
          <w:tcPr>
            <w:tcW w:w="135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8,734,000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7,496,000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16,230,000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5,559,000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6,980,000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12,539,000</w:t>
            </w:r>
          </w:p>
        </w:tc>
        <w:tc>
          <w:tcPr>
            <w:tcW w:w="75" w:type="dxa"/>
            <w:tcBorders/>
            <w:shd w:fill="FFFFFF" w:val="clear"/>
            <w:vAlign w:val="center"/>
          </w:tcPr>
          <w:p>
            <w:pPr>
              <w:pStyle w:val="TableContents"/>
              <w:bidi w:val="0"/>
              <w:spacing w:before="0" w:after="283"/>
              <w:jc w:val="left"/>
              <w:rPr/>
            </w:pPr>
            <w:r>
              <w:rPr/>
              <w:t> </w:t>
            </w:r>
            <w:bookmarkStart w:id="845" w:name="xdx_404_eus-gaap--GrossProfit_z3Tv3tmIN1"/>
            <w:bookmarkEnd w:id="845"/>
          </w:p>
        </w:tc>
      </w:tr>
      <w:tr>
        <w:trPr/>
        <w:tc>
          <w:tcPr>
            <w:tcW w:w="13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33,540,000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13,972,000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47,512,000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21,800,000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14,600,000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36,400,000</w:t>
            </w:r>
          </w:p>
        </w:tc>
        <w:tc>
          <w:tcPr>
            <w:tcW w:w="75" w:type="dxa"/>
            <w:tcBorders/>
            <w:shd w:fill="CCEEFF" w:val="clear"/>
            <w:vAlign w:val="center"/>
          </w:tcPr>
          <w:p>
            <w:pPr>
              <w:pStyle w:val="TableContents"/>
              <w:bidi w:val="0"/>
              <w:spacing w:before="0" w:after="283"/>
              <w:jc w:val="left"/>
              <w:rPr/>
            </w:pPr>
            <w:r>
              <w:rPr/>
              <w:t> </w:t>
            </w:r>
            <w:bookmarkStart w:id="846" w:name="xdx_409_eus-gaap--OperatingExpensesAbstr"/>
            <w:bookmarkEnd w:id="846"/>
          </w:p>
        </w:tc>
      </w:tr>
      <w:tr>
        <w:trPr/>
        <w:tc>
          <w:tcPr>
            <w:tcW w:w="135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47" w:name="xdx_40D_eus-gaap--SellingGeneralAndAdmin"/>
            <w:bookmarkEnd w:id="847"/>
          </w:p>
        </w:tc>
      </w:tr>
      <w:tr>
        <w:trPr/>
        <w:tc>
          <w:tcPr>
            <w:tcW w:w="1355"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7,098,000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27,428,000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5,726,000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22,161,000</w:t>
            </w:r>
          </w:p>
        </w:tc>
        <w:tc>
          <w:tcPr>
            <w:tcW w:w="75" w:type="dxa"/>
            <w:tcBorders/>
            <w:shd w:fill="CCEEFF" w:val="clear"/>
            <w:vAlign w:val="center"/>
          </w:tcPr>
          <w:p>
            <w:pPr>
              <w:pStyle w:val="TableContents"/>
              <w:bidi w:val="0"/>
              <w:spacing w:before="0" w:after="283"/>
              <w:jc w:val="left"/>
              <w:rPr/>
            </w:pPr>
            <w:r>
              <w:rPr/>
              <w:t> </w:t>
            </w:r>
            <w:bookmarkStart w:id="848" w:name="xdx_40B_eus-gaap--ResearchAndDevelopment"/>
            <w:bookmarkEnd w:id="848"/>
          </w:p>
        </w:tc>
      </w:tr>
      <w:tr>
        <w:trPr/>
        <w:tc>
          <w:tcPr>
            <w:tcW w:w="135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2,390,000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442,000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2,832,000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112,000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187,000</w:t>
            </w:r>
          </w:p>
        </w:tc>
        <w:tc>
          <w:tcPr>
            <w:tcW w:w="75" w:type="dxa"/>
            <w:tcBorders/>
            <w:shd w:fill="FFFFFF" w:val="clear"/>
            <w:vAlign w:val="center"/>
          </w:tcPr>
          <w:p>
            <w:pPr>
              <w:pStyle w:val="TableContents"/>
              <w:bidi w:val="0"/>
              <w:spacing w:before="0" w:after="283"/>
              <w:jc w:val="left"/>
              <w:rPr/>
            </w:pPr>
            <w:r>
              <w:rPr/>
              <w:t> </w:t>
            </w:r>
            <w:bookmarkStart w:id="849" w:name="xdx_402_eus-gaap--OperatingExpenses_hsrt"/>
            <w:bookmarkEnd w:id="849"/>
          </w:p>
        </w:tc>
      </w:tr>
      <w:tr>
        <w:trPr/>
        <w:tc>
          <w:tcPr>
            <w:tcW w:w="1355" w:type="dxa"/>
            <w:tcBorders/>
            <w:shd w:fill="CCEEFF" w:val="clear"/>
            <w:vAlign w:val="center"/>
          </w:tcPr>
          <w:p>
            <w:pPr>
              <w:pStyle w:val="TableContents"/>
              <w:bidi w:val="0"/>
              <w:spacing w:before="0" w:after="283"/>
              <w:jc w:val="left"/>
              <w:rPr>
                <w:b/>
              </w:rPr>
            </w:pPr>
            <w:r>
              <w:rPr>
                <w:b/>
              </w:rPr>
              <w:t>Segment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17,252,000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8,762,000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14,052,000</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b/>
              </w:rPr>
            </w:pPr>
            <w:r>
              <w:rPr>
                <w:b/>
              </w:rPr>
              <w:t>Corporate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850" w:name="xdx_98B_eus-gaap--OperatingExpenses_pp0p"/>
            <w:bookmarkEnd w:id="850"/>
          </w:p>
        </w:tc>
        <w:tc>
          <w:tcPr>
            <w:tcW w:w="1203" w:type="dxa"/>
            <w:tcBorders/>
            <w:shd w:fill="FFFFFF" w:val="clear"/>
            <w:vAlign w:val="center"/>
          </w:tcPr>
          <w:p>
            <w:pPr>
              <w:pStyle w:val="TableContents"/>
              <w:bidi w:val="0"/>
              <w:spacing w:before="0" w:after="283"/>
              <w:jc w:val="right"/>
              <w:rPr/>
            </w:pPr>
            <w:r>
              <w:rPr/>
              <w:t>5,807,000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851" w:name="xdx_982_eus-gaap--OperatingExpenses_pp0p"/>
            <w:bookmarkEnd w:id="851"/>
          </w:p>
        </w:tc>
        <w:tc>
          <w:tcPr>
            <w:tcW w:w="1203" w:type="dxa"/>
            <w:tcBorders/>
            <w:shd w:fill="FFFFFF" w:val="clear"/>
            <w:vAlign w:val="center"/>
          </w:tcPr>
          <w:p>
            <w:pPr>
              <w:pStyle w:val="TableContents"/>
              <w:bidi w:val="0"/>
              <w:spacing w:before="0" w:after="283"/>
              <w:jc w:val="right"/>
              <w:rPr/>
            </w:pPr>
            <w:r>
              <w:rPr/>
              <w:t>9,656,000</w:t>
            </w:r>
          </w:p>
        </w:tc>
        <w:tc>
          <w:tcPr>
            <w:tcW w:w="7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b/>
              </w:rPr>
            </w:pP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2" w:name="xdx_983_eus-gaap--OperatingExpenses_pp0p"/>
            <w:bookmarkEnd w:id="852"/>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3" w:name="xdx_98D_eus-gaap--OperatingExpenses_pp0p"/>
            <w:bookmarkEnd w:id="853"/>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2,866,000</w:t>
            </w:r>
          </w:p>
        </w:tc>
        <w:tc>
          <w:tcPr>
            <w:tcW w:w="75" w:type="dxa"/>
            <w:tcBorders/>
            <w:shd w:fill="CCEEFF" w:val="clear"/>
            <w:vAlign w:val="center"/>
          </w:tcPr>
          <w:p>
            <w:pPr>
              <w:pStyle w:val="TableContents"/>
              <w:bidi w:val="0"/>
              <w:spacing w:before="0" w:after="283"/>
              <w:jc w:val="left"/>
              <w:rPr/>
            </w:pPr>
            <w:r>
              <w:rPr/>
              <w:t> </w:t>
            </w:r>
            <w:bookmarkStart w:id="854" w:name="xdx_408_eus-gaap--OperatingIncomeLoss_zn"/>
            <w:bookmarkEnd w:id="854"/>
          </w:p>
        </w:tc>
      </w:tr>
      <w:tr>
        <w:trPr/>
        <w:tc>
          <w:tcPr>
            <w:tcW w:w="1355"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11,409,000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300" w:type="dxa"/>
        <w:jc w:val="left"/>
        <w:tblInd w:w="0" w:type="dxa"/>
        <w:tblLayout w:type="fixed"/>
        <w:tblCellMar>
          <w:top w:w="0" w:type="dxa"/>
          <w:left w:w="0" w:type="dxa"/>
          <w:bottom w:w="0" w:type="dxa"/>
          <w:right w:w="0" w:type="dxa"/>
        </w:tblCellMar>
      </w:tblPr>
      <w:tblGrid>
        <w:gridCol w:w="1355"/>
        <w:gridCol w:w="60"/>
        <w:gridCol w:w="140"/>
        <w:gridCol w:w="1100"/>
        <w:gridCol w:w="60"/>
        <w:gridCol w:w="60"/>
        <w:gridCol w:w="168"/>
        <w:gridCol w:w="1322"/>
        <w:gridCol w:w="60"/>
        <w:gridCol w:w="60"/>
        <w:gridCol w:w="140"/>
        <w:gridCol w:w="1220"/>
        <w:gridCol w:w="60"/>
        <w:gridCol w:w="60"/>
        <w:gridCol w:w="140"/>
        <w:gridCol w:w="1100"/>
        <w:gridCol w:w="60"/>
        <w:gridCol w:w="60"/>
        <w:gridCol w:w="168"/>
        <w:gridCol w:w="1322"/>
        <w:gridCol w:w="60"/>
        <w:gridCol w:w="60"/>
        <w:gridCol w:w="152"/>
        <w:gridCol w:w="1203"/>
        <w:gridCol w:w="110"/>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bookmarkStart w:id="855" w:name="xdx_490_20250101__20250630__us-gaap--Sta"/>
            <w:bookmarkEnd w:id="855"/>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Branded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56" w:name="xdx_497_20250101__20250630__us-gaap--Sta"/>
            <w:bookmarkEnd w:id="856"/>
          </w:p>
        </w:tc>
        <w:tc>
          <w:tcPr>
            <w:tcW w:w="149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Compounding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57" w:name="xdx_499_20250101__20250630_zYqbk3CJqAgi"/>
            <w:bookmarkEnd w:id="857"/>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Consolidated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58" w:name="xdx_494_20240101__20240630__us-gaap--Sta"/>
            <w:bookmarkEnd w:id="858"/>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Branded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59" w:name="xdx_49A_20240101__20240630__us-gaap--Sta"/>
            <w:bookmarkEnd w:id="859"/>
          </w:p>
        </w:tc>
        <w:tc>
          <w:tcPr>
            <w:tcW w:w="149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Compounding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860" w:name="xdx_49B_20240101__20240630_zVTCDGecZoyh"/>
            <w:bookmarkEnd w:id="860"/>
          </w:p>
        </w:tc>
        <w:tc>
          <w:tcPr>
            <w:tcW w:w="135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Consolidated</w:t>
            </w:r>
          </w:p>
        </w:tc>
        <w:tc>
          <w:tcPr>
            <w:tcW w:w="110" w:type="dxa"/>
            <w:tcBorders/>
            <w:shd w:fill="FFFFFF" w:val="clear"/>
            <w:vAlign w:val="center"/>
          </w:tcPr>
          <w:p>
            <w:pPr>
              <w:pStyle w:val="TableContents"/>
              <w:bidi w:val="0"/>
              <w:spacing w:before="0" w:after="283"/>
              <w:jc w:val="center"/>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4330"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Six Months Ended June 30, 2025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325" w:type="dxa"/>
            <w:gridSpan w:val="10"/>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Six Months Ended June 30, 2024</w:t>
            </w:r>
          </w:p>
        </w:tc>
        <w:tc>
          <w:tcPr>
            <w:tcW w:w="110" w:type="dxa"/>
            <w:tcBorders/>
            <w:shd w:fill="FFFFFF" w:val="clear"/>
            <w:vAlign w:val="center"/>
          </w:tcPr>
          <w:p>
            <w:pPr>
              <w:pStyle w:val="TableContents"/>
              <w:bidi w:val="0"/>
              <w:spacing w:before="0" w:after="283"/>
              <w:jc w:val="center"/>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Branded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Compounding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6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Consolidated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4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Branded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0"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Compounding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55" w:type="dxa"/>
            <w:gridSpan w:val="2"/>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Consolidated</w:t>
            </w:r>
          </w:p>
        </w:tc>
        <w:tc>
          <w:tcPr>
            <w:tcW w:w="110" w:type="dxa"/>
            <w:tcBorders/>
            <w:shd w:fill="FFFFFF" w:val="clear"/>
            <w:vAlign w:val="center"/>
          </w:tcPr>
          <w:p>
            <w:pPr>
              <w:pStyle w:val="TableContents"/>
              <w:bidi w:val="0"/>
              <w:spacing w:before="0" w:after="283"/>
              <w:jc w:val="center"/>
              <w:rPr/>
            </w:pPr>
            <w:r>
              <w:rPr/>
              <w:t> </w:t>
            </w:r>
            <w:bookmarkStart w:id="861" w:name="xdx_409_eus-gaap--RevenueFromContractWit"/>
            <w:bookmarkEnd w:id="861"/>
          </w:p>
        </w:tc>
      </w:tr>
      <w:tr>
        <w:trPr/>
        <w:tc>
          <w:tcPr>
            <w:tcW w:w="1355" w:type="dxa"/>
            <w:tcBorders/>
            <w:shd w:fill="CCEEFF" w:val="clear"/>
            <w:vAlign w:val="center"/>
          </w:tcPr>
          <w:p>
            <w:pPr>
              <w:pStyle w:val="TableContents"/>
              <w:bidi w:val="0"/>
              <w:spacing w:before="0" w:after="283"/>
              <w:jc w:val="left"/>
              <w:rPr/>
            </w:pPr>
            <w:r>
              <w:rPr/>
              <w:t>Product sales,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69,883,000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41,519,000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111,402,000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41,081,000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42,298,000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83,379,000</w:t>
            </w:r>
          </w:p>
        </w:tc>
        <w:tc>
          <w:tcPr>
            <w:tcW w:w="110" w:type="dxa"/>
            <w:tcBorders/>
            <w:shd w:fill="CCEEFF" w:val="clear"/>
            <w:vAlign w:val="center"/>
          </w:tcPr>
          <w:p>
            <w:pPr>
              <w:pStyle w:val="TableContents"/>
              <w:bidi w:val="0"/>
              <w:spacing w:before="0" w:after="283"/>
              <w:jc w:val="left"/>
              <w:rPr/>
            </w:pPr>
            <w:r>
              <w:rPr/>
              <w:t> </w:t>
            </w:r>
            <w:bookmarkStart w:id="862" w:name="xdx_401_eus-gaap--RevenueFromContractWit"/>
            <w:bookmarkEnd w:id="862"/>
          </w:p>
        </w:tc>
      </w:tr>
      <w:tr>
        <w:trPr/>
        <w:tc>
          <w:tcPr>
            <w:tcW w:w="1355"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147,000</w:t>
            </w:r>
          </w:p>
        </w:tc>
        <w:tc>
          <w:tcPr>
            <w:tcW w:w="110" w:type="dxa"/>
            <w:tcBorders/>
            <w:shd w:fill="FFFFFF" w:val="clear"/>
            <w:vAlign w:val="center"/>
          </w:tcPr>
          <w:p>
            <w:pPr>
              <w:pStyle w:val="TableContents"/>
              <w:bidi w:val="0"/>
              <w:spacing w:before="0" w:after="283"/>
              <w:jc w:val="left"/>
              <w:rPr/>
            </w:pPr>
            <w:r>
              <w:rPr/>
              <w:t> </w:t>
            </w:r>
            <w:bookmarkStart w:id="863" w:name="xdx_405_eus-gaap--RevenueFromContractWit"/>
            <w:bookmarkEnd w:id="863"/>
          </w:p>
        </w:tc>
      </w:tr>
      <w:tr>
        <w:trPr/>
        <w:tc>
          <w:tcPr>
            <w:tcW w:w="135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70,054,000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41,519,000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111,573,000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41,228,000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42,298,000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83,526,000</w:t>
            </w:r>
          </w:p>
        </w:tc>
        <w:tc>
          <w:tcPr>
            <w:tcW w:w="110" w:type="dxa"/>
            <w:tcBorders/>
            <w:shd w:fill="CCEEFF" w:val="clear"/>
            <w:vAlign w:val="center"/>
          </w:tcPr>
          <w:p>
            <w:pPr>
              <w:pStyle w:val="TableContents"/>
              <w:bidi w:val="0"/>
              <w:spacing w:before="0" w:after="283"/>
              <w:jc w:val="left"/>
              <w:rPr/>
            </w:pPr>
            <w:r>
              <w:rPr/>
              <w:t> </w:t>
            </w:r>
            <w:bookmarkStart w:id="864" w:name="xdx_405_eus-gaap--CostOfGoodsAndServices"/>
            <w:bookmarkEnd w:id="864"/>
          </w:p>
        </w:tc>
      </w:tr>
      <w:tr>
        <w:trPr/>
        <w:tc>
          <w:tcPr>
            <w:tcW w:w="135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14,839,000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31,754,000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9,237,000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13,855,000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23,092,000</w:t>
            </w:r>
          </w:p>
        </w:tc>
        <w:tc>
          <w:tcPr>
            <w:tcW w:w="110" w:type="dxa"/>
            <w:tcBorders/>
            <w:shd w:fill="FFFFFF" w:val="clear"/>
            <w:vAlign w:val="center"/>
          </w:tcPr>
          <w:p>
            <w:pPr>
              <w:pStyle w:val="TableContents"/>
              <w:bidi w:val="0"/>
              <w:spacing w:before="0" w:after="283"/>
              <w:jc w:val="left"/>
              <w:rPr/>
            </w:pPr>
            <w:r>
              <w:rPr/>
              <w:t> </w:t>
            </w:r>
            <w:bookmarkStart w:id="865" w:name="xdx_407_eus-gaap--GrossProfit_zxTlYMVZFm"/>
            <w:bookmarkEnd w:id="865"/>
          </w:p>
        </w:tc>
      </w:tr>
      <w:tr>
        <w:trPr/>
        <w:tc>
          <w:tcPr>
            <w:tcW w:w="13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53,139,000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26,680,000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79,819,000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31,991,000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b/>
              </w:rPr>
            </w:pPr>
            <w:r>
              <w:rPr>
                <w:b/>
              </w:rPr>
              <w:t>28,443,000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b/>
              </w:rPr>
            </w:pPr>
            <w:r>
              <w:rPr>
                <w:b/>
              </w:rPr>
              <w:t>60,434,000</w:t>
            </w:r>
          </w:p>
        </w:tc>
        <w:tc>
          <w:tcPr>
            <w:tcW w:w="110" w:type="dxa"/>
            <w:tcBorders/>
            <w:shd w:fill="CCEEFF" w:val="clear"/>
            <w:vAlign w:val="center"/>
          </w:tcPr>
          <w:p>
            <w:pPr>
              <w:pStyle w:val="TableContents"/>
              <w:bidi w:val="0"/>
              <w:spacing w:before="0" w:after="283"/>
              <w:jc w:val="left"/>
              <w:rPr/>
            </w:pPr>
            <w:r>
              <w:rPr/>
              <w:t> </w:t>
            </w:r>
            <w:bookmarkStart w:id="866" w:name="xdx_409_eus-gaap--OperatingExpensesAbstr"/>
            <w:bookmarkEnd w:id="866"/>
          </w:p>
        </w:tc>
      </w:tr>
      <w:tr>
        <w:trPr/>
        <w:tc>
          <w:tcPr>
            <w:tcW w:w="135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67" w:name="xdx_40D_eus-gaap--SellingGeneralAndAdmin"/>
            <w:bookmarkEnd w:id="867"/>
          </w:p>
        </w:tc>
      </w:tr>
      <w:tr>
        <w:trPr/>
        <w:tc>
          <w:tcPr>
            <w:tcW w:w="1355"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41,012,000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14,620,000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55,632,000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28,865,000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11,938,000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40,803,000</w:t>
            </w:r>
          </w:p>
        </w:tc>
        <w:tc>
          <w:tcPr>
            <w:tcW w:w="110" w:type="dxa"/>
            <w:tcBorders/>
            <w:shd w:fill="CCEEFF" w:val="clear"/>
            <w:vAlign w:val="center"/>
          </w:tcPr>
          <w:p>
            <w:pPr>
              <w:pStyle w:val="TableContents"/>
              <w:bidi w:val="0"/>
              <w:spacing w:before="0" w:after="283"/>
              <w:jc w:val="left"/>
              <w:rPr/>
            </w:pPr>
            <w:r>
              <w:rPr/>
              <w:t> </w:t>
            </w:r>
            <w:bookmarkStart w:id="868" w:name="xdx_40B_eus-gaap--ResearchAndDevelopment"/>
            <w:bookmarkEnd w:id="868"/>
          </w:p>
        </w:tc>
      </w:tr>
      <w:tr>
        <w:trPr/>
        <w:tc>
          <w:tcPr>
            <w:tcW w:w="135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4,383,000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666,000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5,049,000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2" w:type="dxa"/>
            <w:tcBorders>
              <w:bottom w:val="single" w:sz="8" w:space="0" w:color="000000"/>
            </w:tcBorders>
            <w:shd w:fill="FFFFFF" w:val="clear"/>
            <w:tcMar>
              <w:bottom w:w="28" w:type="dxa"/>
            </w:tcMar>
            <w:vAlign w:val="center"/>
          </w:tcPr>
          <w:p>
            <w:pPr>
              <w:pStyle w:val="TableContents"/>
              <w:bidi w:val="0"/>
              <w:spacing w:before="0" w:after="283"/>
              <w:jc w:val="right"/>
              <w:rPr/>
            </w:pPr>
            <w:r>
              <w:rPr/>
              <w:t>176,000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285,000</w:t>
            </w:r>
          </w:p>
        </w:tc>
        <w:tc>
          <w:tcPr>
            <w:tcW w:w="110" w:type="dxa"/>
            <w:tcBorders/>
            <w:shd w:fill="FFFFFF" w:val="clear"/>
            <w:vAlign w:val="center"/>
          </w:tcPr>
          <w:p>
            <w:pPr>
              <w:pStyle w:val="TableContents"/>
              <w:bidi w:val="0"/>
              <w:spacing w:before="0" w:after="283"/>
              <w:jc w:val="left"/>
              <w:rPr/>
            </w:pPr>
            <w:r>
              <w:rPr/>
              <w:t> </w:t>
            </w:r>
            <w:bookmarkStart w:id="869" w:name="xdx_402_eus-gaap--OperatingExpenses_hsrt"/>
            <w:bookmarkEnd w:id="869"/>
          </w:p>
        </w:tc>
      </w:tr>
      <w:tr>
        <w:trPr/>
        <w:tc>
          <w:tcPr>
            <w:tcW w:w="1355" w:type="dxa"/>
            <w:tcBorders/>
            <w:shd w:fill="CCEEFF" w:val="clear"/>
            <w:vAlign w:val="center"/>
          </w:tcPr>
          <w:p>
            <w:pPr>
              <w:pStyle w:val="TableContents"/>
              <w:bidi w:val="0"/>
              <w:spacing w:before="0" w:after="283"/>
              <w:jc w:val="left"/>
              <w:rPr>
                <w:b/>
              </w:rPr>
            </w:pPr>
            <w:r>
              <w:rPr>
                <w:b/>
              </w:rPr>
              <w:t>Segment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11,394,000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19,138,000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3,017,000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16,329,000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19,346,000</w:t>
            </w:r>
          </w:p>
        </w:tc>
        <w:tc>
          <w:tcPr>
            <w:tcW w:w="11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b/>
              </w:rPr>
            </w:pPr>
            <w:r>
              <w:rPr>
                <w:b/>
              </w:rPr>
              <w:t>Corporate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70" w:name="xdx_98D_eus-gaap--OperatingExpenses_pp0p"/>
            <w:bookmarkEnd w:id="870"/>
          </w:p>
        </w:tc>
        <w:tc>
          <w:tcPr>
            <w:tcW w:w="1220" w:type="dxa"/>
            <w:tcBorders/>
            <w:shd w:fill="FFFFFF" w:val="clear"/>
            <w:vAlign w:val="center"/>
          </w:tcPr>
          <w:p>
            <w:pPr>
              <w:pStyle w:val="TableContents"/>
              <w:bidi w:val="0"/>
              <w:spacing w:before="0" w:after="283"/>
              <w:jc w:val="right"/>
              <w:rPr/>
            </w:pPr>
            <w:r>
              <w:rPr/>
              <w:t>18,116,000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871" w:name="xdx_98B_eus-gaap--OperatingExpenses_pp0p"/>
            <w:bookmarkEnd w:id="871"/>
          </w:p>
        </w:tc>
        <w:tc>
          <w:tcPr>
            <w:tcW w:w="1203" w:type="dxa"/>
            <w:tcBorders/>
            <w:shd w:fill="FFFFFF" w:val="clear"/>
            <w:vAlign w:val="center"/>
          </w:tcPr>
          <w:p>
            <w:pPr>
              <w:pStyle w:val="TableContents"/>
              <w:bidi w:val="0"/>
              <w:spacing w:before="0" w:after="283"/>
              <w:jc w:val="right"/>
              <w:rPr/>
            </w:pPr>
            <w:r>
              <w:rPr/>
              <w:t>19,827,000</w:t>
            </w:r>
          </w:p>
        </w:tc>
        <w:tc>
          <w:tcPr>
            <w:tcW w:w="110"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b/>
              </w:rPr>
            </w:pP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2" w:name="xdx_986_eus-gaap--OperatingExpenses_pp0p"/>
            <w:bookmarkEnd w:id="872"/>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3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3" w:name="xdx_989_eus-gaap--OperatingExpenses_pp0p"/>
            <w:bookmarkEnd w:id="873"/>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4,917,000</w:t>
            </w:r>
          </w:p>
        </w:tc>
        <w:tc>
          <w:tcPr>
            <w:tcW w:w="110" w:type="dxa"/>
            <w:tcBorders/>
            <w:shd w:fill="CCEEFF" w:val="clear"/>
            <w:vAlign w:val="center"/>
          </w:tcPr>
          <w:p>
            <w:pPr>
              <w:pStyle w:val="TableContents"/>
              <w:bidi w:val="0"/>
              <w:spacing w:before="0" w:after="283"/>
              <w:jc w:val="left"/>
              <w:rPr/>
            </w:pPr>
            <w:r>
              <w:rPr/>
              <w:t> </w:t>
            </w:r>
            <w:bookmarkStart w:id="874" w:name="xdx_408_eus-gaap--OperatingIncomeLoss_z4"/>
            <w:bookmarkEnd w:id="874"/>
          </w:p>
        </w:tc>
      </w:tr>
      <w:tr>
        <w:trPr/>
        <w:tc>
          <w:tcPr>
            <w:tcW w:w="1355" w:type="dxa"/>
            <w:tcBorders/>
            <w:shd w:fill="FFFFFF" w:val="clear"/>
            <w:vAlign w:val="center"/>
          </w:tcPr>
          <w:p>
            <w:pPr>
              <w:pStyle w:val="TableContents"/>
              <w:bidi w:val="0"/>
              <w:spacing w:before="0" w:after="283"/>
              <w:jc w:val="left"/>
              <w:rPr>
                <w:b/>
              </w:rPr>
            </w:pPr>
            <w:r>
              <w:rPr>
                <w:b/>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3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(5,398,000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bookmarkStart w:id="875" w:name="xdx_8AB_z2xaFoiv6k56"/>
      <w:bookmarkEnd w:id="8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revenue is attributable to the U.S. All long-lived assets at June 30, 2025 and December 31, 2024 were located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6" w:name="xdx_89A_ecustom--ScheduleOfSegmentReport"/>
      <w:bookmarkEnd w:id="876"/>
      <w:r>
        <w:rPr>
          <w:rFonts w:ascii="Times New Roman;Times;Serif" w:hAnsi="Times New Roman;Times;Serif"/>
          <w:b w:val="false"/>
          <w:i w:val="false"/>
          <w:caps w:val="false"/>
          <w:smallCaps w:val="false"/>
          <w:sz w:val="20"/>
        </w:rPr>
        <w:t>Revenues by segment are further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7" w:name="xdx_8B5_zCvoraLUyR84"/>
      <w:bookmarkEnd w:id="877"/>
      <w:r>
        <w:rPr>
          <w:rFonts w:ascii="Times New Roman;Times;Serif" w:hAnsi="Times New Roman;Times;Serif"/>
          <w:b w:val="false"/>
          <w:i w:val="false"/>
          <w:caps w:val="false"/>
          <w:smallCaps w:val="false"/>
          <w:sz w:val="20"/>
        </w:rPr>
        <w:t>SCHEDULE OF REVENUES BY SEGMENT</w:t>
      </w:r>
    </w:p>
    <w:tbl>
      <w:tblPr>
        <w:tblW w:w="8366" w:type="dxa"/>
        <w:jc w:val="left"/>
        <w:tblInd w:w="0" w:type="dxa"/>
        <w:tblLayout w:type="fixed"/>
        <w:tblCellMar>
          <w:top w:w="0" w:type="dxa"/>
          <w:left w:w="0" w:type="dxa"/>
          <w:bottom w:w="0" w:type="dxa"/>
          <w:right w:w="0" w:type="dxa"/>
        </w:tblCellMar>
      </w:tblPr>
      <w:tblGrid>
        <w:gridCol w:w="2375"/>
        <w:gridCol w:w="60"/>
        <w:gridCol w:w="162"/>
        <w:gridCol w:w="1277"/>
        <w:gridCol w:w="69"/>
        <w:gridCol w:w="69"/>
        <w:gridCol w:w="162"/>
        <w:gridCol w:w="1277"/>
        <w:gridCol w:w="60"/>
        <w:gridCol w:w="60"/>
        <w:gridCol w:w="140"/>
        <w:gridCol w:w="1220"/>
        <w:gridCol w:w="60"/>
        <w:gridCol w:w="60"/>
        <w:gridCol w:w="140"/>
        <w:gridCol w:w="1100"/>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both"/>
              <w:rPr/>
            </w:pPr>
            <w:r>
              <w:rPr/>
              <w:t>IHEEZO</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bookmarkStart w:id="878" w:name="xdx_985_eus-gaap--RevenueFromContractWit"/>
            <w:bookmarkEnd w:id="878"/>
          </w:p>
        </w:tc>
        <w:tc>
          <w:tcPr>
            <w:tcW w:w="1277" w:type="dxa"/>
            <w:tcBorders/>
            <w:shd w:fill="CCEEFF" w:val="clear"/>
            <w:vAlign w:val="center"/>
          </w:tcPr>
          <w:p>
            <w:pPr>
              <w:pStyle w:val="TableContents"/>
              <w:bidi w:val="0"/>
              <w:spacing w:before="0" w:after="283"/>
              <w:jc w:val="right"/>
              <w:rPr/>
            </w:pPr>
            <w:r>
              <w:rPr/>
              <w:t>18,336,000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bookmarkStart w:id="879" w:name="xdx_987_eus-gaap--RevenueFromContractWit"/>
            <w:bookmarkEnd w:id="879"/>
          </w:p>
        </w:tc>
        <w:tc>
          <w:tcPr>
            <w:tcW w:w="1277" w:type="dxa"/>
            <w:tcBorders/>
            <w:shd w:fill="CCEEFF" w:val="clear"/>
            <w:vAlign w:val="center"/>
          </w:tcPr>
          <w:p>
            <w:pPr>
              <w:pStyle w:val="TableContents"/>
              <w:bidi w:val="0"/>
              <w:spacing w:before="0" w:after="283"/>
              <w:jc w:val="right"/>
              <w:rPr/>
            </w:pPr>
            <w:r>
              <w:rPr/>
              <w:t>11,295,000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80" w:name="xdx_989_eus-gaap--RevenueFromContractWit"/>
            <w:bookmarkEnd w:id="880"/>
          </w:p>
        </w:tc>
        <w:tc>
          <w:tcPr>
            <w:tcW w:w="1220" w:type="dxa"/>
            <w:tcBorders/>
            <w:shd w:fill="CCEEFF" w:val="clear"/>
            <w:vAlign w:val="center"/>
          </w:tcPr>
          <w:p>
            <w:pPr>
              <w:pStyle w:val="TableContents"/>
              <w:bidi w:val="0"/>
              <w:spacing w:before="0" w:after="283"/>
              <w:jc w:val="right"/>
              <w:rPr/>
            </w:pPr>
            <w:r>
              <w:rPr/>
              <w:t>23,558,000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81" w:name="xdx_98F_eus-gaap--RevenueFromContractWit"/>
            <w:bookmarkEnd w:id="881"/>
          </w:p>
        </w:tc>
        <w:tc>
          <w:tcPr>
            <w:tcW w:w="1100" w:type="dxa"/>
            <w:tcBorders/>
            <w:shd w:fill="CCEEFF" w:val="clear"/>
            <w:vAlign w:val="center"/>
          </w:tcPr>
          <w:p>
            <w:pPr>
              <w:pStyle w:val="TableContents"/>
              <w:bidi w:val="0"/>
              <w:spacing w:before="0" w:after="283"/>
              <w:jc w:val="right"/>
              <w:rPr/>
            </w:pPr>
            <w:r>
              <w:rPr/>
              <w:t>13,616,000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both"/>
              <w:rPr/>
            </w:pPr>
            <w:r>
              <w:rPr/>
              <w:t>VEVYE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bookmarkStart w:id="882" w:name="xdx_988_eus-gaap--RevenueFromContractWit"/>
            <w:bookmarkEnd w:id="882"/>
          </w:p>
        </w:tc>
        <w:tc>
          <w:tcPr>
            <w:tcW w:w="1277" w:type="dxa"/>
            <w:tcBorders/>
            <w:shd w:fill="FFFFFF" w:val="clear"/>
            <w:vAlign w:val="center"/>
          </w:tcPr>
          <w:p>
            <w:pPr>
              <w:pStyle w:val="TableContents"/>
              <w:bidi w:val="0"/>
              <w:spacing w:before="0" w:after="283"/>
              <w:jc w:val="right"/>
              <w:rPr/>
            </w:pPr>
            <w:r>
              <w:rPr/>
              <w:t>18,641,000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bookmarkStart w:id="883" w:name="xdx_98C_eus-gaap--RevenueFromContractWit"/>
            <w:bookmarkEnd w:id="883"/>
          </w:p>
        </w:tc>
        <w:tc>
          <w:tcPr>
            <w:tcW w:w="1277" w:type="dxa"/>
            <w:tcBorders/>
            <w:shd w:fill="FFFFFF" w:val="clear"/>
            <w:vAlign w:val="center"/>
          </w:tcPr>
          <w:p>
            <w:pPr>
              <w:pStyle w:val="TableContents"/>
              <w:bidi w:val="0"/>
              <w:spacing w:before="0" w:after="283"/>
              <w:jc w:val="right"/>
              <w:rPr/>
            </w:pPr>
            <w:r>
              <w:rPr/>
              <w:t>4,315,000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4" w:name="xdx_984_eus-gaap--RevenueFromContractWit"/>
            <w:bookmarkEnd w:id="884"/>
          </w:p>
        </w:tc>
        <w:tc>
          <w:tcPr>
            <w:tcW w:w="1220" w:type="dxa"/>
            <w:tcBorders/>
            <w:shd w:fill="FFFFFF" w:val="clear"/>
            <w:vAlign w:val="center"/>
          </w:tcPr>
          <w:p>
            <w:pPr>
              <w:pStyle w:val="TableContents"/>
              <w:bidi w:val="0"/>
              <w:spacing w:before="0" w:after="283"/>
              <w:jc w:val="right"/>
              <w:rPr/>
            </w:pPr>
            <w:r>
              <w:rPr/>
              <w:t>40,156,000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85" w:name="xdx_980_eus-gaap--RevenueFromContractWit"/>
            <w:bookmarkEnd w:id="885"/>
          </w:p>
        </w:tc>
        <w:tc>
          <w:tcPr>
            <w:tcW w:w="1100" w:type="dxa"/>
            <w:tcBorders/>
            <w:shd w:fill="FFFFFF" w:val="clear"/>
            <w:vAlign w:val="center"/>
          </w:tcPr>
          <w:p>
            <w:pPr>
              <w:pStyle w:val="TableContents"/>
              <w:bidi w:val="0"/>
              <w:spacing w:before="0" w:after="283"/>
              <w:jc w:val="right"/>
              <w:rPr/>
            </w:pPr>
            <w:r>
              <w:rPr/>
              <w:t>6,912,000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both"/>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886" w:name="xdx_98A_eus-gaap--RevenueFromContractWit"/>
            <w:bookmarkEnd w:id="886"/>
          </w:p>
        </w:tc>
        <w:tc>
          <w:tcPr>
            <w:tcW w:w="1277" w:type="dxa"/>
            <w:tcBorders/>
            <w:shd w:fill="CCEEFF" w:val="clear"/>
            <w:vAlign w:val="center"/>
          </w:tcPr>
          <w:p>
            <w:pPr>
              <w:pStyle w:val="TableContents"/>
              <w:bidi w:val="0"/>
              <w:spacing w:before="0" w:after="283"/>
              <w:jc w:val="right"/>
              <w:rPr/>
            </w:pPr>
            <w:r>
              <w:rPr/>
              <w:t>5,212,000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887" w:name="xdx_984_eus-gaap--RevenueFromContractWit"/>
            <w:bookmarkEnd w:id="887"/>
          </w:p>
        </w:tc>
        <w:tc>
          <w:tcPr>
            <w:tcW w:w="1277" w:type="dxa"/>
            <w:tcBorders/>
            <w:shd w:fill="CCEEFF" w:val="clear"/>
            <w:vAlign w:val="center"/>
          </w:tcPr>
          <w:p>
            <w:pPr>
              <w:pStyle w:val="TableContents"/>
              <w:bidi w:val="0"/>
              <w:spacing w:before="0" w:after="283"/>
              <w:jc w:val="right"/>
              <w:rPr/>
            </w:pPr>
            <w:r>
              <w:rPr/>
              <w:t>11,681,000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8" w:name="xdx_98F_eus-gaap--RevenueFromContractWit"/>
            <w:bookmarkEnd w:id="888"/>
          </w:p>
        </w:tc>
        <w:tc>
          <w:tcPr>
            <w:tcW w:w="1220" w:type="dxa"/>
            <w:tcBorders/>
            <w:shd w:fill="CCEEFF" w:val="clear"/>
            <w:vAlign w:val="center"/>
          </w:tcPr>
          <w:p>
            <w:pPr>
              <w:pStyle w:val="TableContents"/>
              <w:bidi w:val="0"/>
              <w:spacing w:before="0" w:after="283"/>
              <w:jc w:val="right"/>
              <w:rPr/>
            </w:pPr>
            <w:r>
              <w:rPr/>
              <w:t>6,169,000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89" w:name="xdx_984_eus-gaap--RevenueFromContractWit"/>
            <w:bookmarkEnd w:id="889"/>
          </w:p>
        </w:tc>
        <w:tc>
          <w:tcPr>
            <w:tcW w:w="1100" w:type="dxa"/>
            <w:tcBorders/>
            <w:shd w:fill="CCEEFF" w:val="clear"/>
            <w:vAlign w:val="center"/>
          </w:tcPr>
          <w:p>
            <w:pPr>
              <w:pStyle w:val="TableContents"/>
              <w:bidi w:val="0"/>
              <w:spacing w:before="0" w:after="283"/>
              <w:jc w:val="right"/>
              <w:rPr/>
            </w:pPr>
            <w:r>
              <w:rPr/>
              <w:t>20,553,000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both"/>
              <w:rPr/>
            </w:pPr>
            <w:r>
              <w:rPr/>
              <w:t>Other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0" w:name="xdx_985_eus-gaap--RevenueFromContractWit"/>
            <w:bookmarkEnd w:id="890"/>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85,000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1" w:name="xdx_98A_eus-gaap--RevenueFromContractWit"/>
            <w:bookmarkEnd w:id="891"/>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2" w:name="xdx_981_eus-gaap--RevenueFromContractWit"/>
            <w:bookmarkEnd w:id="892"/>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3" w:name="xdx_98A_eus-gaap--RevenueFromContractWit"/>
            <w:bookmarkEnd w:id="893"/>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147,000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both"/>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894" w:name="xdx_981_eus-gaap--RevenueFromContractWit"/>
            <w:bookmarkEnd w:id="894"/>
          </w:p>
        </w:tc>
        <w:tc>
          <w:tcPr>
            <w:tcW w:w="1277" w:type="dxa"/>
            <w:tcBorders/>
            <w:shd w:fill="CCEEFF" w:val="clear"/>
            <w:vAlign w:val="center"/>
          </w:tcPr>
          <w:p>
            <w:pPr>
              <w:pStyle w:val="TableContents"/>
              <w:bidi w:val="0"/>
              <w:spacing w:before="0" w:after="283"/>
              <w:jc w:val="right"/>
              <w:rPr/>
            </w:pPr>
            <w:r>
              <w:rPr/>
              <w:t>42,274,000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bookmarkStart w:id="895" w:name="xdx_981_eus-gaap--RevenueFromContractWit"/>
            <w:bookmarkEnd w:id="895"/>
          </w:p>
        </w:tc>
        <w:tc>
          <w:tcPr>
            <w:tcW w:w="1277" w:type="dxa"/>
            <w:tcBorders/>
            <w:shd w:fill="CCEEFF" w:val="clear"/>
            <w:vAlign w:val="center"/>
          </w:tcPr>
          <w:p>
            <w:pPr>
              <w:pStyle w:val="TableContents"/>
              <w:bidi w:val="0"/>
              <w:spacing w:before="0" w:after="283"/>
              <w:jc w:val="right"/>
              <w:rPr/>
            </w:pPr>
            <w:r>
              <w:rPr/>
              <w:t>27,359,000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96" w:name="xdx_98B_eus-gaap--RevenueFromContractWit"/>
            <w:bookmarkEnd w:id="896"/>
          </w:p>
        </w:tc>
        <w:tc>
          <w:tcPr>
            <w:tcW w:w="1220" w:type="dxa"/>
            <w:tcBorders/>
            <w:shd w:fill="CCEEFF" w:val="clear"/>
            <w:vAlign w:val="center"/>
          </w:tcPr>
          <w:p>
            <w:pPr>
              <w:pStyle w:val="TableContents"/>
              <w:bidi w:val="0"/>
              <w:spacing w:before="0" w:after="283"/>
              <w:jc w:val="right"/>
              <w:rPr/>
            </w:pPr>
            <w:r>
              <w:rPr/>
              <w:t>70,054,000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897" w:name="xdx_98F_eus-gaap--RevenueFromContractWit"/>
            <w:bookmarkEnd w:id="897"/>
          </w:p>
        </w:tc>
        <w:tc>
          <w:tcPr>
            <w:tcW w:w="1100" w:type="dxa"/>
            <w:tcBorders/>
            <w:shd w:fill="CCEEFF" w:val="clear"/>
            <w:vAlign w:val="center"/>
          </w:tcPr>
          <w:p>
            <w:pPr>
              <w:pStyle w:val="TableContents"/>
              <w:bidi w:val="0"/>
              <w:spacing w:before="0" w:after="283"/>
              <w:jc w:val="right"/>
              <w:rPr/>
            </w:pPr>
            <w:r>
              <w:rPr/>
              <w:t>41,228,000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both"/>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8" w:name="xdx_98A_eus-gaap--RevenueFromContractWit"/>
            <w:bookmarkEnd w:id="898"/>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21,468,000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9" w:name="xdx_987_eus-gaap--RevenueFromContractWit"/>
            <w:bookmarkEnd w:id="899"/>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pPr>
            <w:r>
              <w:rPr/>
              <w:t>21,580,000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00" w:name="xdx_986_eus-gaap--RevenueFromContractWit"/>
            <w:bookmarkEnd w:id="900"/>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41,519,000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01" w:name="xdx_980_eus-gaap--RevenueFromContractWit"/>
            <w:bookmarkEnd w:id="90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42,298,000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both"/>
              <w:rPr>
                <w:b/>
              </w:rPr>
            </w:pPr>
            <w:r>
              <w:rPr>
                <w:b/>
              </w:rPr>
              <w:t>Total revenues,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02" w:name="xdx_987_eus-gaap--RevenueFromContractWit"/>
            <w:bookmarkEnd w:id="902"/>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63,742,000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03" w:name="xdx_98F_eus-gaap--RevenueFromContractWit"/>
            <w:bookmarkEnd w:id="903"/>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48,939,000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04" w:name="xdx_984_eus-gaap--RevenueFromContractWit"/>
            <w:bookmarkEnd w:id="904"/>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111,573,000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905" w:name="xdx_989_eus-gaap--RevenueFromContractWit"/>
            <w:bookmarkEnd w:id="90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83,526,000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6" w:name="xdx_8A8_z9XIg0O1pUI3"/>
      <w:bookmarkEnd w:id="9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IHEEZO and VEVYE, no other products accounted for more than 10% of total revenues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and Supplier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all of the Company’s Branded sales are made to third-party distributors who sell the products to pharmacies and to the end-users. There were two customers who comprised more than </w:t>
      </w:r>
      <w:bookmarkStart w:id="907" w:name="xdx_90E_eus-gaap--ConcentrationRiskPerce"/>
      <w:bookmarkStart w:id="908" w:name="xdx_905_eus-gaap--ConcentrationRiskPerce"/>
      <w:bookmarkEnd w:id="907"/>
      <w:bookmarkEnd w:id="908"/>
      <w:r>
        <w:rPr>
          <w:rFonts w:ascii="Times New Roman;Times;Serif" w:hAnsi="Times New Roman;Times;Serif"/>
          <w:b w:val="false"/>
          <w:i w:val="false"/>
          <w:caps w:val="false"/>
          <w:smallCaps w:val="false"/>
          <w:sz w:val="20"/>
        </w:rPr>
        <w:t xml:space="preserve">10% of the Company’s Branded revenues for the three and six months ended June 30, 2025 and one customer who comprised more than </w:t>
      </w:r>
      <w:bookmarkStart w:id="909" w:name="xdx_907_eus-gaap--ConcentrationRiskPerce"/>
      <w:bookmarkStart w:id="910" w:name="xdx_903_eus-gaap--ConcentrationRiskPerce"/>
      <w:bookmarkEnd w:id="909"/>
      <w:bookmarkEnd w:id="910"/>
      <w:r>
        <w:rPr>
          <w:rFonts w:ascii="Times New Roman;Times;Serif" w:hAnsi="Times New Roman;Times;Serif"/>
          <w:b w:val="false"/>
          <w:i w:val="false"/>
          <w:caps w:val="false"/>
          <w:smallCaps w:val="false"/>
          <w:sz w:val="20"/>
        </w:rPr>
        <w:t xml:space="preserve">10% of the Company’s Branded revenues for the three and six months ended June 30, 2024. There were no customers who comprised more than </w:t>
      </w:r>
      <w:bookmarkStart w:id="911" w:name="xdx_90F_eus-gaap--ConcentrationRiskPerce"/>
      <w:bookmarkStart w:id="912" w:name="xdx_90D_eus-gaap--ConcentrationRiskPerce"/>
      <w:bookmarkStart w:id="913" w:name="xdx_90F_eus-gaap--ConcentrationRiskPerce"/>
      <w:bookmarkStart w:id="914" w:name="xdx_90F_eus-gaap--ConcentrationRiskPerce"/>
      <w:bookmarkEnd w:id="911"/>
      <w:bookmarkEnd w:id="912"/>
      <w:bookmarkEnd w:id="913"/>
      <w:bookmarkEnd w:id="914"/>
      <w:r>
        <w:rPr>
          <w:rFonts w:ascii="Times New Roman;Times;Serif" w:hAnsi="Times New Roman;Times;Serif"/>
          <w:b w:val="false"/>
          <w:i w:val="false"/>
          <w:caps w:val="false"/>
          <w:smallCaps w:val="false"/>
          <w:sz w:val="20"/>
        </w:rPr>
        <w:t xml:space="preserve">10% of ImprimisRx revenues for the three and six months ended June 30, 2025 and 2024. As of June 30, 2025 and December 31, 2024, accounts receivable from two customers accounted for </w:t>
      </w:r>
      <w:bookmarkStart w:id="915" w:name="xdx_902_eus-gaap--ConcentrationRiskPerce"/>
      <w:bookmarkEnd w:id="915"/>
      <w:r>
        <w:rPr>
          <w:rFonts w:ascii="Times New Roman;Times;Serif" w:hAnsi="Times New Roman;Times;Serif"/>
          <w:b w:val="false"/>
          <w:i w:val="false"/>
          <w:caps w:val="false"/>
          <w:smallCaps w:val="false"/>
          <w:sz w:val="20"/>
        </w:rPr>
        <w:t xml:space="preserve">87% and </w:t>
      </w:r>
      <w:bookmarkStart w:id="916" w:name="xdx_904_eus-gaap--ConcentrationRiskPerce"/>
      <w:bookmarkEnd w:id="916"/>
      <w:r>
        <w:rPr>
          <w:rFonts w:ascii="Times New Roman;Times;Serif" w:hAnsi="Times New Roman;Times;Serif"/>
          <w:b w:val="false"/>
          <w:i w:val="false"/>
          <w:caps w:val="false"/>
          <w:smallCaps w:val="false"/>
          <w:sz w:val="20"/>
        </w:rPr>
        <w:t>94%, respectively, of total consolidated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received its active pharmaceutical ingredients from three main suppliers during the three and six months ended June 30, 2025 and 2024. These suppliers collectively accounted for </w:t>
      </w:r>
      <w:bookmarkStart w:id="917" w:name="xdx_905_eus-gaap--ConcentrationRiskPerce"/>
      <w:bookmarkEnd w:id="917"/>
      <w:r>
        <w:rPr>
          <w:rFonts w:ascii="Times New Roman;Times;Serif" w:hAnsi="Times New Roman;Times;Serif"/>
          <w:b w:val="false"/>
          <w:i w:val="false"/>
          <w:caps w:val="false"/>
          <w:smallCaps w:val="false"/>
          <w:sz w:val="20"/>
        </w:rPr>
        <w:t xml:space="preserve">76% and </w:t>
      </w:r>
      <w:bookmarkStart w:id="918" w:name="xdx_90D_eus-gaap--ConcentrationRiskPerce"/>
      <w:bookmarkEnd w:id="918"/>
      <w:r>
        <w:rPr>
          <w:rFonts w:ascii="Times New Roman;Times;Serif" w:hAnsi="Times New Roman;Times;Serif"/>
          <w:b w:val="false"/>
          <w:i w:val="false"/>
          <w:caps w:val="false"/>
          <w:smallCaps w:val="false"/>
          <w:sz w:val="20"/>
        </w:rPr>
        <w:t xml:space="preserve">72% of active pharmaceutical ingredient purchases during the three and six months ended June 30, 2025, respectively, and </w:t>
      </w:r>
      <w:bookmarkStart w:id="919" w:name="xdx_90D_eus-gaap--ConcentrationRiskPerce"/>
      <w:bookmarkEnd w:id="919"/>
      <w:r>
        <w:rPr>
          <w:rFonts w:ascii="Times New Roman;Times;Serif" w:hAnsi="Times New Roman;Times;Serif"/>
          <w:b w:val="false"/>
          <w:i w:val="false"/>
          <w:caps w:val="false"/>
          <w:smallCaps w:val="false"/>
          <w:sz w:val="20"/>
        </w:rPr>
        <w:t xml:space="preserve">61% and </w:t>
      </w:r>
      <w:bookmarkStart w:id="920" w:name="xdx_906_eus-gaap--ConcentrationRiskPerce"/>
      <w:bookmarkEnd w:id="920"/>
      <w:r>
        <w:rPr>
          <w:rFonts w:ascii="Times New Roman;Times;Serif" w:hAnsi="Times New Roman;Times;Serif"/>
          <w:b w:val="false"/>
          <w:i w:val="false"/>
          <w:caps w:val="false"/>
          <w:smallCaps w:val="false"/>
          <w:sz w:val="20"/>
        </w:rPr>
        <w:t>62% during the same periods in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1" w:name="xdx_800_eus-gaap--SubsequentEventsTextBl"/>
      <w:bookmarkEnd w:id="921"/>
      <w:r>
        <w:rPr>
          <w:rFonts w:ascii="Times New Roman;Times;Serif" w:hAnsi="Times New Roman;Times;Serif"/>
          <w:b/>
          <w:i w:val="false"/>
          <w:caps w:val="false"/>
          <w:smallCaps w:val="false"/>
          <w:sz w:val="20"/>
        </w:rPr>
        <w:t xml:space="preserve">NOTE 15. </w:t>
      </w:r>
      <w:bookmarkStart w:id="922" w:name="xdx_827_z38P52PFS9kf"/>
      <w:bookmarkEnd w:id="92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an evaluation of events occurring subsequent to June 30, 2025 through the filing date of this Quarterly Report on Form 10-Q. Based on its evaluation, no events other than those described below need to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Company issued </w:t>
      </w:r>
      <w:bookmarkStart w:id="923" w:name="xdx_90F_eus-gaap--StockIssuedDuringPerio"/>
      <w:bookmarkEnd w:id="923"/>
      <w:r>
        <w:rPr>
          <w:rFonts w:ascii="Times New Roman;Times;Serif" w:hAnsi="Times New Roman;Times;Serif"/>
          <w:b w:val="false"/>
          <w:i w:val="false"/>
          <w:caps w:val="false"/>
          <w:smallCaps w:val="false"/>
          <w:sz w:val="20"/>
        </w:rPr>
        <w:t xml:space="preserve">286,662 shares of common stock to Mark L. Baum, Chief Executive Officer, upon the cashless exercise of options to purchase </w:t>
      </w:r>
      <w:bookmarkStart w:id="924" w:name="xdx_903_eus-gaap--StockIssuedDuringPerio"/>
      <w:bookmarkEnd w:id="924"/>
      <w:r>
        <w:rPr>
          <w:rFonts w:ascii="Times New Roman;Times;Serif" w:hAnsi="Times New Roman;Times;Serif"/>
          <w:b w:val="false"/>
          <w:i w:val="false"/>
          <w:caps w:val="false"/>
          <w:smallCaps w:val="false"/>
          <w:sz w:val="20"/>
        </w:rPr>
        <w:t>600,000 shares at an exercise price of $</w:t>
      </w:r>
      <w:bookmarkStart w:id="925" w:name="xdx_90A_eus-gaap--ShareBasedCompensation"/>
      <w:bookmarkEnd w:id="925"/>
      <w:r>
        <w:rPr>
          <w:rFonts w:ascii="Times New Roman;Times;Serif" w:hAnsi="Times New Roman;Times;Serif"/>
          <w:b w:val="false"/>
          <w:i w:val="false"/>
          <w:caps w:val="false"/>
          <w:smallCaps w:val="false"/>
          <w:sz w:val="20"/>
        </w:rPr>
        <w:t xml:space="preserve">7.87 per share. The Company withheld from Mr. Baum </w:t>
      </w:r>
      <w:bookmarkStart w:id="926" w:name="xdx_90D_eus-gaap--SharesPaidForTaxWithho"/>
      <w:bookmarkEnd w:id="926"/>
      <w:r>
        <w:rPr>
          <w:rFonts w:ascii="Times New Roman;Times;Serif" w:hAnsi="Times New Roman;Times;Serif"/>
          <w:b w:val="false"/>
          <w:i w:val="false"/>
          <w:caps w:val="false"/>
          <w:smallCaps w:val="false"/>
          <w:sz w:val="20"/>
        </w:rPr>
        <w:t xml:space="preserve">127,346 shares as consideration for the cashless exercise and an additional </w:t>
      </w:r>
      <w:bookmarkStart w:id="927" w:name="xdx_904_ecustom--AddtionalSharesPaidForT"/>
      <w:bookmarkEnd w:id="927"/>
      <w:r>
        <w:rPr>
          <w:rFonts w:ascii="Times New Roman;Times;Serif" w:hAnsi="Times New Roman;Times;Serif"/>
          <w:b w:val="false"/>
          <w:i w:val="false"/>
          <w:caps w:val="false"/>
          <w:smallCaps w:val="false"/>
          <w:sz w:val="20"/>
        </w:rPr>
        <w:t>185,992 shares for payroll tax obligations totaling $</w:t>
      </w:r>
      <w:bookmarkStart w:id="928" w:name="xdx_900_eus-gaap--PaymentsRelatedToTaxWi"/>
      <w:bookmarkEnd w:id="928"/>
      <w:r>
        <w:rPr>
          <w:rFonts w:ascii="Times New Roman;Times;Serif" w:hAnsi="Times New Roman;Times;Serif"/>
          <w:b w:val="false"/>
          <w:i w:val="false"/>
          <w:caps w:val="false"/>
          <w:smallCaps w:val="false"/>
          <w:sz w:val="20"/>
        </w:rPr>
        <w:t>6,897,000.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issued 795 shares of common stock and received proceeds of $11,000 upon the exercise of options to purchase 795 shares of common stock with exercise prices between $7.60 and $25.86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BYOOVIZ® and OPUVIZ</w:t>
      </w:r>
      <w:r>
        <w:rPr>
          <w:rFonts w:ascii="Times New Roman;Times;Serif" w:hAnsi="Times New Roman;Times;Serif"/>
          <w:b w:val="false"/>
          <w:i/>
          <w:caps w:val="false"/>
          <w:smallCaps w:val="false"/>
          <w:position w:val="7"/>
          <w:sz w:val="16"/>
          <w:sz w:val="20"/>
        </w:rPr>
        <w:t xml:space="preserve">TM </w:t>
      </w:r>
      <w:r>
        <w:rPr>
          <w:rFonts w:ascii="Times New Roman;Times;Serif" w:hAnsi="Times New Roman;Times;Serif"/>
          <w:b w:val="false"/>
          <w:i/>
          <w:caps w:val="false"/>
          <w:smallCaps w:val="false"/>
          <w:sz w:val="20"/>
        </w:rPr>
        <w:t>– Commercialization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development and commercialization agreement (the “Samsung Agreement”) with Samsung Bioepis Co., Ltd. (“Samsung”). Under the terms of the Samsung Agreement, following completion of the transition of commercial rights from Biogen, Inc. back to Samsung, Samsung will develop, manufacture, and supply BYOOVIZ (ranibizumab-nuna) and OPUVIZ (aflibercept-yszy) (individually, a “Product” and together, the “Products”) for Harrow to commercialize in the U.S. market (the “Rights”). In consideration of such Rights, Harrow will make a one-time upfront payment to Samsung, and Samsung will be eligible to receive additional one-time payments based on the achievement of net sales-based milestones of the Products. In addition to other mutually agreed terms, Harrow shall pay to Samsung a share of net sales from the Products generated in the 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PSU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Company granted an aggregate of </w:t>
      </w:r>
      <w:bookmarkStart w:id="929" w:name="xdx_905_eus-gaap--ShareBasedCompensation"/>
      <w:bookmarkEnd w:id="929"/>
      <w:r>
        <w:rPr>
          <w:rFonts w:ascii="Times New Roman;Times;Serif" w:hAnsi="Times New Roman;Times;Serif"/>
          <w:b w:val="false"/>
          <w:i w:val="false"/>
          <w:caps w:val="false"/>
          <w:smallCaps w:val="false"/>
          <w:sz w:val="20"/>
        </w:rPr>
        <w:t>1,295,249 performance stock units to Mark L. Baum, Chief Executive Officer and Andrew R. Boll, Chief Financial Officer, which are subject to the satisfaction of certain market-based and continued service conditions (the “2025 PSUs”). The vesting of the 2025 PSUs require (i) a minimum of a three-year service period, and (ii) during a five-year term, the achievement and maintenance of Company common stock price targets ranging between $</w:t>
      </w:r>
      <w:bookmarkStart w:id="930" w:name="xdx_90D_eus-gaap--SharePrice_iI_pid_c202"/>
      <w:bookmarkEnd w:id="930"/>
      <w:r>
        <w:rPr>
          <w:rFonts w:ascii="Times New Roman;Times;Serif" w:hAnsi="Times New Roman;Times;Serif"/>
          <w:b w:val="false"/>
          <w:i w:val="false"/>
          <w:caps w:val="false"/>
          <w:smallCaps w:val="false"/>
          <w:sz w:val="20"/>
        </w:rPr>
        <w:t>50 to $</w:t>
      </w:r>
      <w:bookmarkStart w:id="931" w:name="xdx_909_eus-gaap--SharePrice_iI_pid_c202"/>
      <w:bookmarkEnd w:id="931"/>
      <w:r>
        <w:rPr>
          <w:rFonts w:ascii="Times New Roman;Times;Serif" w:hAnsi="Times New Roman;Times;Serif"/>
          <w:b w:val="false"/>
          <w:i w:val="false"/>
          <w:caps w:val="false"/>
          <w:smallCaps w:val="false"/>
          <w:sz w:val="20"/>
        </w:rPr>
        <w:t>100 per share, broken out into four separate tranches as described further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2" w:name="xdx_8B2_zF8NZXNZXHh8"/>
      <w:bookmarkStart w:id="933" w:name="xdx_897_eus-gaap--ScheduleOfNonvestedPer"/>
      <w:bookmarkEnd w:id="932"/>
      <w:bookmarkEnd w:id="933"/>
      <w:r>
        <w:rPr>
          <w:rFonts w:ascii="Times New Roman;Times;Serif" w:hAnsi="Times New Roman;Times;Serif"/>
          <w:b w:val="false"/>
          <w:i w:val="false"/>
          <w:caps w:val="false"/>
          <w:smallCaps w:val="false"/>
          <w:sz w:val="20"/>
        </w:rPr>
        <w:t>SCHEDULE OF PERFORMANCE STOCK UNITS</w:t>
      </w:r>
    </w:p>
    <w:tbl>
      <w:tblPr>
        <w:tblW w:w="5053" w:type="dxa"/>
        <w:jc w:val="left"/>
        <w:tblInd w:w="0" w:type="dxa"/>
        <w:tblLayout w:type="fixed"/>
        <w:tblCellMar>
          <w:top w:w="0" w:type="dxa"/>
          <w:left w:w="0" w:type="dxa"/>
          <w:bottom w:w="28" w:type="dxa"/>
          <w:right w:w="0" w:type="dxa"/>
        </w:tblCellMar>
      </w:tblPr>
      <w:tblGrid>
        <w:gridCol w:w="995"/>
        <w:gridCol w:w="60"/>
        <w:gridCol w:w="517"/>
        <w:gridCol w:w="1407"/>
        <w:gridCol w:w="60"/>
        <w:gridCol w:w="60"/>
        <w:gridCol w:w="131"/>
        <w:gridCol w:w="1748"/>
        <w:gridCol w:w="75"/>
      </w:tblGrid>
      <w:tr>
        <w:trPr/>
        <w:tc>
          <w:tcPr>
            <w:tcW w:w="995" w:type="dxa"/>
            <w:tcBorders>
              <w:bottom w:val="single" w:sz="8" w:space="0" w:color="000000"/>
            </w:tcBorders>
            <w:vAlign w:val="center"/>
          </w:tcPr>
          <w:p>
            <w:pPr>
              <w:pStyle w:val="TableContents"/>
              <w:bidi w:val="0"/>
              <w:spacing w:before="0" w:after="283"/>
              <w:jc w:val="center"/>
              <w:rPr>
                <w:b/>
              </w:rPr>
            </w:pPr>
            <w:r>
              <w:rPr>
                <w:b/>
              </w:rPr>
              <w:t>Tranche</w:t>
            </w:r>
          </w:p>
        </w:tc>
        <w:tc>
          <w:tcPr>
            <w:tcW w:w="60" w:type="dxa"/>
            <w:tcBorders/>
            <w:tcMar>
              <w:bottom w:w="0" w:type="dxa"/>
            </w:tcMar>
            <w:vAlign w:val="center"/>
          </w:tcPr>
          <w:p>
            <w:pPr>
              <w:pStyle w:val="TableContents"/>
              <w:bidi w:val="0"/>
              <w:spacing w:before="0" w:after="283"/>
              <w:jc w:val="left"/>
              <w:rPr/>
            </w:pPr>
            <w:r>
              <w:rPr/>
              <w:t> </w:t>
            </w:r>
          </w:p>
        </w:tc>
        <w:tc>
          <w:tcPr>
            <w:tcW w:w="1924" w:type="dxa"/>
            <w:gridSpan w:val="2"/>
            <w:tcBorders>
              <w:bottom w:val="single" w:sz="8" w:space="0" w:color="000000"/>
            </w:tcBorders>
            <w:vAlign w:val="center"/>
          </w:tcPr>
          <w:p>
            <w:pPr>
              <w:pStyle w:val="TableContents"/>
              <w:bidi w:val="0"/>
              <w:spacing w:before="0" w:after="283"/>
              <w:jc w:val="center"/>
              <w:rPr>
                <w:b/>
              </w:rPr>
            </w:pPr>
            <w:r>
              <w:rPr>
                <w:b/>
              </w:rPr>
              <w:t>Target Stock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 w:type="dxa"/>
            <w:tcBorders/>
            <w:shd w:fill="CCEEFF" w:val="clear"/>
            <w:tcMar>
              <w:bottom w:w="0" w:type="dxa"/>
            </w:tcMar>
            <w:vAlign w:val="center"/>
          </w:tcPr>
          <w:p>
            <w:pPr>
              <w:pStyle w:val="TableContents"/>
              <w:bidi w:val="0"/>
              <w:spacing w:before="0" w:after="283"/>
              <w:jc w:val="left"/>
              <w:rPr/>
            </w:pPr>
            <w:r>
              <w:rPr/>
              <w:t>$</w:t>
            </w:r>
            <w:bookmarkStart w:id="934" w:name="xdx_989_eus-gaap--SharePrice_iI_c2025073"/>
            <w:bookmarkEnd w:id="934"/>
          </w:p>
        </w:tc>
        <w:tc>
          <w:tcPr>
            <w:tcW w:w="1407" w:type="dxa"/>
            <w:tcBorders/>
            <w:shd w:fill="CCEEFF" w:val="clear"/>
            <w:tcMar>
              <w:bottom w:w="0" w:type="dxa"/>
            </w:tcMar>
            <w:vAlign w:val="center"/>
          </w:tcPr>
          <w:p>
            <w:pPr>
              <w:pStyle w:val="TableContents"/>
              <w:bidi w:val="0"/>
              <w:spacing w:before="0" w:after="283"/>
              <w:jc w:val="right"/>
              <w:rPr/>
            </w:pPr>
            <w:r>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bookmarkStart w:id="935" w:name="xdx_987_eus-gaap--SharebasedCompensation"/>
            <w:bookmarkEnd w:id="935"/>
          </w:p>
        </w:tc>
        <w:tc>
          <w:tcPr>
            <w:tcW w:w="1748" w:type="dxa"/>
            <w:tcBorders/>
            <w:shd w:fill="CCEEFF" w:val="clear"/>
            <w:tcMar>
              <w:bottom w:w="0" w:type="dxa"/>
            </w:tcMar>
            <w:vAlign w:val="center"/>
          </w:tcPr>
          <w:p>
            <w:pPr>
              <w:pStyle w:val="TableContents"/>
              <w:bidi w:val="0"/>
              <w:spacing w:before="0" w:after="283"/>
              <w:jc w:val="right"/>
              <w:rPr/>
            </w:pPr>
            <w:r>
              <w:rPr/>
              <w:t>181,335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 w:type="dxa"/>
            <w:tcBorders/>
            <w:shd w:fill="FFFFFF" w:val="clear"/>
            <w:tcMar>
              <w:bottom w:w="0" w:type="dxa"/>
            </w:tcMar>
            <w:vAlign w:val="center"/>
          </w:tcPr>
          <w:p>
            <w:pPr>
              <w:pStyle w:val="TableContents"/>
              <w:bidi w:val="0"/>
              <w:spacing w:before="0" w:after="283"/>
              <w:jc w:val="left"/>
              <w:rPr/>
            </w:pPr>
            <w:r>
              <w:rPr/>
              <w:t>$</w:t>
            </w:r>
            <w:bookmarkStart w:id="936" w:name="xdx_98B_eus-gaap--SharePrice_iI_c2025073"/>
            <w:bookmarkEnd w:id="936"/>
          </w:p>
        </w:tc>
        <w:tc>
          <w:tcPr>
            <w:tcW w:w="1407" w:type="dxa"/>
            <w:tcBorders/>
            <w:shd w:fill="FFFFFF" w:val="clear"/>
            <w:tcMar>
              <w:bottom w:w="0" w:type="dxa"/>
            </w:tcMar>
            <w:vAlign w:val="center"/>
          </w:tcPr>
          <w:p>
            <w:pPr>
              <w:pStyle w:val="TableContents"/>
              <w:bidi w:val="0"/>
              <w:spacing w:before="0" w:after="283"/>
              <w:jc w:val="right"/>
              <w:rPr/>
            </w:pPr>
            <w:r>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bookmarkStart w:id="937" w:name="xdx_986_eus-gaap--SharebasedCompensation"/>
            <w:bookmarkEnd w:id="937"/>
          </w:p>
        </w:tc>
        <w:tc>
          <w:tcPr>
            <w:tcW w:w="1748" w:type="dxa"/>
            <w:tcBorders/>
            <w:shd w:fill="FFFFFF" w:val="clear"/>
            <w:tcMar>
              <w:bottom w:w="0" w:type="dxa"/>
            </w:tcMar>
            <w:vAlign w:val="center"/>
          </w:tcPr>
          <w:p>
            <w:pPr>
              <w:pStyle w:val="TableContents"/>
              <w:bidi w:val="0"/>
              <w:spacing w:before="0" w:after="283"/>
              <w:jc w:val="right"/>
              <w:rPr/>
            </w:pPr>
            <w:r>
              <w:rPr/>
              <w:t>272,003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Tranche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 w:type="dxa"/>
            <w:tcBorders/>
            <w:shd w:fill="CCEEFF" w:val="clear"/>
            <w:tcMar>
              <w:bottom w:w="0" w:type="dxa"/>
            </w:tcMar>
            <w:vAlign w:val="center"/>
          </w:tcPr>
          <w:p>
            <w:pPr>
              <w:pStyle w:val="TableContents"/>
              <w:bidi w:val="0"/>
              <w:spacing w:before="0" w:after="283"/>
              <w:jc w:val="left"/>
              <w:rPr/>
            </w:pPr>
            <w:r>
              <w:rPr/>
              <w:t>$</w:t>
            </w:r>
            <w:bookmarkStart w:id="938" w:name="xdx_980_eus-gaap--SharePrice_iI_c2025073"/>
            <w:bookmarkEnd w:id="938"/>
          </w:p>
        </w:tc>
        <w:tc>
          <w:tcPr>
            <w:tcW w:w="1407" w:type="dxa"/>
            <w:tcBorders/>
            <w:shd w:fill="CCEEFF" w:val="clear"/>
            <w:tcMar>
              <w:bottom w:w="0" w:type="dxa"/>
            </w:tcMar>
            <w:vAlign w:val="center"/>
          </w:tcPr>
          <w:p>
            <w:pPr>
              <w:pStyle w:val="TableContents"/>
              <w:bidi w:val="0"/>
              <w:spacing w:before="0" w:after="283"/>
              <w:jc w:val="right"/>
              <w:rPr/>
            </w:pPr>
            <w:r>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bookmarkStart w:id="939" w:name="xdx_988_eus-gaap--SharebasedCompensation"/>
            <w:bookmarkEnd w:id="939"/>
          </w:p>
        </w:tc>
        <w:tc>
          <w:tcPr>
            <w:tcW w:w="1748" w:type="dxa"/>
            <w:tcBorders/>
            <w:shd w:fill="CCEEFF" w:val="clear"/>
            <w:tcMar>
              <w:bottom w:w="0" w:type="dxa"/>
            </w:tcMar>
            <w:vAlign w:val="center"/>
          </w:tcPr>
          <w:p>
            <w:pPr>
              <w:pStyle w:val="TableContents"/>
              <w:bidi w:val="0"/>
              <w:spacing w:before="0" w:after="283"/>
              <w:jc w:val="right"/>
              <w:rPr/>
            </w:pPr>
            <w:r>
              <w:rPr/>
              <w:t>375,623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95" w:type="dxa"/>
            <w:tcBorders/>
            <w:shd w:fill="FFFFFF" w:val="clear"/>
            <w:tcMar>
              <w:bottom w:w="0" w:type="dxa"/>
            </w:tcMar>
            <w:vAlign w:val="center"/>
          </w:tcPr>
          <w:p>
            <w:pPr>
              <w:pStyle w:val="TableContents"/>
              <w:bidi w:val="0"/>
              <w:spacing w:before="0" w:after="283"/>
              <w:jc w:val="center"/>
              <w:rPr/>
            </w:pPr>
            <w:r>
              <w:rPr/>
              <w:t>Tranche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 w:type="dxa"/>
            <w:tcBorders/>
            <w:shd w:fill="FFFFFF" w:val="clear"/>
            <w:tcMar>
              <w:bottom w:w="0" w:type="dxa"/>
            </w:tcMar>
            <w:vAlign w:val="center"/>
          </w:tcPr>
          <w:p>
            <w:pPr>
              <w:pStyle w:val="TableContents"/>
              <w:bidi w:val="0"/>
              <w:spacing w:before="0" w:after="283"/>
              <w:jc w:val="left"/>
              <w:rPr/>
            </w:pPr>
            <w:r>
              <w:rPr/>
              <w:t>$</w:t>
            </w:r>
            <w:bookmarkStart w:id="940" w:name="xdx_981_eus-gaap--SharePrice_iI_c2025073"/>
            <w:bookmarkEnd w:id="940"/>
          </w:p>
        </w:tc>
        <w:tc>
          <w:tcPr>
            <w:tcW w:w="1407"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bookmarkStart w:id="941" w:name="xdx_98A_eus-gaap--SharebasedCompensation"/>
            <w:bookmarkEnd w:id="941"/>
          </w:p>
        </w:tc>
        <w:tc>
          <w:tcPr>
            <w:tcW w:w="1748" w:type="dxa"/>
            <w:tcBorders/>
            <w:shd w:fill="FFFFFF" w:val="clear"/>
            <w:tcMar>
              <w:bottom w:w="0" w:type="dxa"/>
            </w:tcMar>
            <w:vAlign w:val="center"/>
          </w:tcPr>
          <w:p>
            <w:pPr>
              <w:pStyle w:val="TableContents"/>
              <w:bidi w:val="0"/>
              <w:spacing w:before="0" w:after="283"/>
              <w:jc w:val="right"/>
              <w:rPr/>
            </w:pPr>
            <w:r>
              <w:rPr/>
              <w:t>466,288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942" w:name="xdx_8A6_z4qv9HRRhLQj"/>
      <w:bookmarkEnd w:id="942"/>
      <w:r>
        <w:rPr/>
        <w:t> </w:t>
      </w:r>
    </w:p>
    <w:p>
      <w:pPr>
        <w:pStyle w:val="TextBody"/>
        <w:bidi w:val="0"/>
        <w:spacing w:before="0" w:after="283"/>
        <w:jc w:val="left"/>
        <w:rPr/>
      </w:pPr>
      <w:bookmarkStart w:id="943" w:name="xdx_81A_zGUWPOQKjP14"/>
      <w:bookmarkEnd w:id="943"/>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4" w:name="a_003"/>
      <w:bookmarkEnd w:id="94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2024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refinance and otherwise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any enforcement action by the U.S. Food and Drug Administration relating to compliance and quality plans at our outsourcing facility in New Jersey;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primary factors affecting our performance are our ability to increase revenues of our branded pharmaceutical products, proprietary compounded formulations and certain non-proprietary products, grow and gain operating efficiencies in our operations, avoid or mitigate any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may require significant costs and other resources, which we may not have or be able to obtain from operations or other sources. See “Liquidity and Capital Resources”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developments in 2025 to date that are important to understand our financial condition and results of operations. See the notes to our unaudited condensed consolidated financial statements included in this Quarterly Report for additional information about each of these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BYOOVIZ® and OPUVIZ</w:t>
      </w:r>
      <w:r>
        <w:rPr>
          <w:rFonts w:ascii="Times New Roman;Times;Serif" w:hAnsi="Times New Roman;Times;Serif"/>
          <w:b w:val="false"/>
          <w:i/>
          <w:caps w:val="false"/>
          <w:smallCaps w:val="false"/>
          <w:position w:val="7"/>
          <w:sz w:val="16"/>
          <w:sz w:val="20"/>
        </w:rPr>
        <w:t xml:space="preserve">TM </w:t>
      </w:r>
      <w:r>
        <w:rPr>
          <w:rFonts w:ascii="Times New Roman;Times;Serif" w:hAnsi="Times New Roman;Times;Serif"/>
          <w:b w:val="false"/>
          <w:i/>
          <w:caps w:val="false"/>
          <w:smallCaps w:val="false"/>
          <w:sz w:val="20"/>
        </w:rPr>
        <w:t>– Commercialization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entered into a development and commercialization agreement (the “Samsung Agreement”) with Samsung Bioepis Co., Ltd. (“Samsung”). Under the terms of the Samsung Agreement, following completion of the transition of commercial rights from Biogen, Inc. back to Samsung, Samsung will develop, manufacture, and supply BYOOVIZ (ranibizumab-nuna) and OPUVIZ (aflibercept-yszy) (individually, a “Product” and together, the “Products”) for Harrow to commercialize in the U.S. market (the “Rights”).. In consideration of such Rights, we will make a one-time upfront payment to Samsung, and Samsung will be eligible to receive additional one-time payments based on the achievement of net sales-based milestones of the Products. In addition to other mutually agreed terms, we shall pay to Samsung a share of net sales from the Products generated in the U.S.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Commercial Rights to BYQLOVI</w:t>
      </w:r>
      <w:r>
        <w:rPr>
          <w:rFonts w:ascii="Times New Roman;Times;Serif" w:hAnsi="Times New Roman;Times;Serif"/>
          <w:b w:val="false"/>
          <w:i/>
          <w:caps w:val="false"/>
          <w:smallCaps w:val="false"/>
          <w:position w:val="7"/>
          <w:sz w:val="16"/>
          <w:sz w:val="20"/>
        </w:rPr>
        <w:t>TM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announced a licensing agreement whereby we acquired the exclusive U.S. commercial rights to BYQLOVI (clobetasol propionate ophthalmic suspension) 0.05% from Taiwan-based Formosa Pharmaceuticals. BYQLOVI was recently approved by the FDA for the treatment of post-operative inflammation and pain following ocular surgery and is the first new ophthalmic steroid in its class in over 15 years. Harrow expects BYQLOVI to be available in the fourth quarter of 2025.</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VEVYE® Access for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announced a patient access program called VEVYE Access for All. The program is designed to increase patient access to VEVYE at an out-of-pocket cost of $59 or below and, in many cases, reduce the need for prior authorizations, step edits, and other treatment obstacles facing dry eye patients and their prescribers.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Beagle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we initiated a 360-degree review of opportunities to offer ImprimisRx customers a Harrow-owned FDA-approved product alternative to a compounded formulation. We call this initiative Project Beagle. In that vein, we began implementing a continuity of care program to transition approximately 25,000 ImprimisRx patients from our Klarity-C (0.1% cyclosporine) compounded formulation to VEVYE (0.1% cyclosporine), and we discontinued compounding Klarity-C on June 30, 2025. We also discontinued another related compounded formulation called Klarity PF. Klarity PF was primarily purchased by a concentrated group of customers who have accepted our FRESHKOTE product as an alternative. We continue to review opportunities to reduce the size of our compounded formulary, improve and simplify our compounding capabilities, and transition other ImprimisRx customers from compounded formulations to Harrow’s FDA-approved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period-to-period comparisons of our financial results for the three and six months ended June 30, 2025 and 2024 are not necessarily indicative of results for any future period.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revenues for the three and six months ended June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5"/>
        <w:gridCol w:w="60"/>
        <w:gridCol w:w="140"/>
        <w:gridCol w:w="1100"/>
        <w:gridCol w:w="60"/>
        <w:gridCol w:w="60"/>
        <w:gridCol w:w="140"/>
        <w:gridCol w:w="1100"/>
        <w:gridCol w:w="60"/>
        <w:gridCol w:w="60"/>
        <w:gridCol w:w="140"/>
        <w:gridCol w:w="1100"/>
        <w:gridCol w:w="95"/>
        <w:gridCol w:w="60"/>
        <w:gridCol w:w="140"/>
        <w:gridCol w:w="1220"/>
        <w:gridCol w:w="60"/>
        <w:gridCol w:w="60"/>
        <w:gridCol w:w="140"/>
        <w:gridCol w:w="1100"/>
        <w:gridCol w:w="60"/>
        <w:gridCol w:w="60"/>
        <w:gridCol w:w="140"/>
        <w:gridCol w:w="1175"/>
        <w:gridCol w:w="110"/>
      </w:tblGrid>
      <w:tr>
        <w:trPr/>
        <w:tc>
          <w:tcPr>
            <w:tcW w:w="1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vAlign w:val="center"/>
          </w:tcPr>
          <w:p>
            <w:pPr>
              <w:pStyle w:val="TableContents"/>
              <w:bidi w:val="0"/>
              <w:jc w:val="center"/>
              <w:rPr>
                <w:b/>
              </w:rPr>
            </w:pPr>
            <w:r>
              <w:rPr>
                <w:b/>
              </w:rPr>
              <w:t>For the</w:t>
            </w:r>
          </w:p>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20" w:type="dxa"/>
            <w:gridSpan w:val="6"/>
            <w:tcBorders/>
            <w:vAlign w:val="center"/>
          </w:tcPr>
          <w:p>
            <w:pPr>
              <w:pStyle w:val="TableContents"/>
              <w:bidi w:val="0"/>
              <w:jc w:val="center"/>
              <w:rPr>
                <w:b/>
              </w:rPr>
            </w:pPr>
            <w:r>
              <w:rPr>
                <w:b/>
              </w:rPr>
              <w:t>For the</w:t>
            </w:r>
          </w:p>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center"/>
              <w:rPr/>
            </w:pPr>
            <w:r>
              <w:rPr/>
              <w:t> </w:t>
            </w:r>
          </w:p>
        </w:tc>
      </w:tr>
      <w:tr>
        <w:trPr/>
        <w:tc>
          <w:tcPr>
            <w:tcW w:w="1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110" w:type="dxa"/>
            <w:tcBorders/>
            <w:vAlign w:val="center"/>
          </w:tcPr>
          <w:p>
            <w:pPr>
              <w:pStyle w:val="TableContents"/>
              <w:bidi w:val="0"/>
              <w:spacing w:before="0" w:after="283"/>
              <w:jc w:val="left"/>
              <w:rPr/>
            </w:pPr>
            <w:r>
              <w:rPr/>
              <w:t> </w:t>
            </w:r>
          </w:p>
        </w:tc>
      </w:tr>
      <w:tr>
        <w:trPr/>
        <w:tc>
          <w:tcPr>
            <w:tcW w:w="1765" w:type="dxa"/>
            <w:tcBorders/>
            <w:shd w:fill="CCEEFF" w:val="clear"/>
            <w:vAlign w:val="center"/>
          </w:tcPr>
          <w:p>
            <w:pPr>
              <w:pStyle w:val="TableContents"/>
              <w:bidi w:val="0"/>
              <w:spacing w:before="0" w:after="283"/>
              <w:jc w:val="both"/>
              <w:rPr/>
            </w:pPr>
            <w:r>
              <w:rPr/>
              <w:t>IHEEZO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18,336,000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11,295,000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7,041,000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23,558,000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13,616,000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9,942,000</w:t>
            </w:r>
          </w:p>
        </w:tc>
        <w:tc>
          <w:tcPr>
            <w:tcW w:w="110" w:type="dxa"/>
            <w:tcBorders/>
            <w:shd w:fill="CCEEFF" w:val="clear"/>
            <w:vAlign w:val="center"/>
          </w:tcPr>
          <w:p>
            <w:pPr>
              <w:pStyle w:val="TableContents"/>
              <w:bidi w:val="0"/>
              <w:spacing w:before="0" w:after="283"/>
              <w:jc w:val="left"/>
              <w:rPr/>
            </w:pPr>
            <w:r>
              <w:rPr/>
              <w:t> </w:t>
            </w:r>
          </w:p>
        </w:tc>
      </w:tr>
      <w:tr>
        <w:trPr/>
        <w:tc>
          <w:tcPr>
            <w:tcW w:w="1765" w:type="dxa"/>
            <w:tcBorders/>
            <w:shd w:fill="FFFFFF" w:val="clear"/>
            <w:vAlign w:val="center"/>
          </w:tcPr>
          <w:p>
            <w:pPr>
              <w:pStyle w:val="TableContents"/>
              <w:bidi w:val="0"/>
              <w:spacing w:before="0" w:after="283"/>
              <w:jc w:val="both"/>
              <w:rPr/>
            </w:pPr>
            <w:r>
              <w:rPr/>
              <w:t>VEVYE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18,641,000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14,326,000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33,244,000</w:t>
            </w:r>
          </w:p>
        </w:tc>
        <w:tc>
          <w:tcPr>
            <w:tcW w:w="110" w:type="dxa"/>
            <w:tcBorders/>
            <w:shd w:fill="FFFFFF" w:val="clear"/>
            <w:vAlign w:val="center"/>
          </w:tcPr>
          <w:p>
            <w:pPr>
              <w:pStyle w:val="TableContents"/>
              <w:bidi w:val="0"/>
              <w:spacing w:before="0" w:after="283"/>
              <w:jc w:val="left"/>
              <w:rPr/>
            </w:pPr>
            <w:r>
              <w:rPr/>
              <w:t> </w:t>
            </w:r>
          </w:p>
        </w:tc>
      </w:tr>
      <w:tr>
        <w:trPr/>
        <w:tc>
          <w:tcPr>
            <w:tcW w:w="1765" w:type="dxa"/>
            <w:tcBorders/>
            <w:shd w:fill="CCEEFF" w:val="clear"/>
            <w:vAlign w:val="center"/>
          </w:tcPr>
          <w:p>
            <w:pPr>
              <w:pStyle w:val="TableContents"/>
              <w:bidi w:val="0"/>
              <w:spacing w:before="0" w:after="283"/>
              <w:jc w:val="both"/>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11,681,000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6,169,000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(14,384,000</w:t>
            </w:r>
          </w:p>
        </w:tc>
        <w:tc>
          <w:tcPr>
            <w:tcW w:w="110" w:type="dxa"/>
            <w:tcBorders/>
            <w:shd w:fill="CCEEFF" w:val="clear"/>
            <w:vAlign w:val="center"/>
          </w:tcPr>
          <w:p>
            <w:pPr>
              <w:pStyle w:val="TableContents"/>
              <w:bidi w:val="0"/>
              <w:spacing w:before="0" w:after="283"/>
              <w:jc w:val="left"/>
              <w:rPr/>
            </w:pPr>
            <w:r>
              <w:rPr/>
              <w:t>)</w:t>
            </w:r>
          </w:p>
        </w:tc>
      </w:tr>
      <w:tr>
        <w:trPr/>
        <w:tc>
          <w:tcPr>
            <w:tcW w:w="1765" w:type="dxa"/>
            <w:tcBorders/>
            <w:shd w:fill="FFFFFF" w:val="clear"/>
            <w:vAlign w:val="center"/>
          </w:tcPr>
          <w:p>
            <w:pPr>
              <w:pStyle w:val="TableContents"/>
              <w:bidi w:val="0"/>
              <w:spacing w:before="0" w:after="283"/>
              <w:jc w:val="both"/>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24,000</w:t>
            </w:r>
          </w:p>
        </w:tc>
        <w:tc>
          <w:tcPr>
            <w:tcW w:w="110" w:type="dxa"/>
            <w:tcBorders/>
            <w:shd w:fill="FFFFFF" w:val="clear"/>
            <w:vAlign w:val="center"/>
          </w:tcPr>
          <w:p>
            <w:pPr>
              <w:pStyle w:val="TableContents"/>
              <w:bidi w:val="0"/>
              <w:spacing w:before="0" w:after="283"/>
              <w:jc w:val="left"/>
              <w:rPr/>
            </w:pPr>
            <w:r>
              <w:rPr/>
              <w:t> </w:t>
            </w:r>
          </w:p>
        </w:tc>
      </w:tr>
      <w:tr>
        <w:trPr/>
        <w:tc>
          <w:tcPr>
            <w:tcW w:w="1765" w:type="dxa"/>
            <w:tcBorders/>
            <w:shd w:fill="CCEEFF" w:val="clear"/>
            <w:vAlign w:val="center"/>
          </w:tcPr>
          <w:p>
            <w:pPr>
              <w:pStyle w:val="TableContents"/>
              <w:bidi w:val="0"/>
              <w:spacing w:before="0" w:after="283"/>
              <w:jc w:val="both"/>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27,359,000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70,054,000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41,228,000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28,826,000</w:t>
            </w:r>
          </w:p>
        </w:tc>
        <w:tc>
          <w:tcPr>
            <w:tcW w:w="110" w:type="dxa"/>
            <w:tcBorders/>
            <w:shd w:fill="CCEEFF" w:val="clear"/>
            <w:vAlign w:val="center"/>
          </w:tcPr>
          <w:p>
            <w:pPr>
              <w:pStyle w:val="TableContents"/>
              <w:bidi w:val="0"/>
              <w:spacing w:before="0" w:after="283"/>
              <w:jc w:val="left"/>
              <w:rPr/>
            </w:pPr>
            <w:r>
              <w:rPr/>
              <w:t> </w:t>
            </w:r>
          </w:p>
        </w:tc>
      </w:tr>
      <w:tr>
        <w:trPr/>
        <w:tc>
          <w:tcPr>
            <w:tcW w:w="1765" w:type="dxa"/>
            <w:tcBorders/>
            <w:shd w:fill="FFFFFF" w:val="clear"/>
            <w:vAlign w:val="center"/>
          </w:tcPr>
          <w:p>
            <w:pPr>
              <w:pStyle w:val="TableContents"/>
              <w:bidi w:val="0"/>
              <w:spacing w:before="0" w:after="283"/>
              <w:jc w:val="both"/>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41,519,000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42,298,000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(779,000</w:t>
            </w:r>
          </w:p>
        </w:tc>
        <w:tc>
          <w:tcPr>
            <w:tcW w:w="110" w:type="dxa"/>
            <w:tcBorders/>
            <w:shd w:fill="FFFFFF" w:val="clear"/>
            <w:vAlign w:val="center"/>
          </w:tcPr>
          <w:p>
            <w:pPr>
              <w:pStyle w:val="TableContents"/>
              <w:bidi w:val="0"/>
              <w:spacing w:before="0" w:after="283"/>
              <w:jc w:val="left"/>
              <w:rPr/>
            </w:pPr>
            <w:r>
              <w:rPr/>
              <w:t>)</w:t>
            </w:r>
          </w:p>
        </w:tc>
      </w:tr>
      <w:tr>
        <w:trPr/>
        <w:tc>
          <w:tcPr>
            <w:tcW w:w="1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765" w:type="dxa"/>
            <w:tcBorders/>
            <w:shd w:fill="FFFFFF" w:val="clear"/>
            <w:vAlign w:val="center"/>
          </w:tcPr>
          <w:p>
            <w:pPr>
              <w:pStyle w:val="TableContents"/>
              <w:bidi w:val="0"/>
              <w:spacing w:before="0" w:after="283"/>
              <w:jc w:val="both"/>
              <w:rPr>
                <w:b/>
              </w:rPr>
            </w:pPr>
            <w:r>
              <w:rPr>
                <w:b/>
              </w:rPr>
              <w:t>Total revenues,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63,742,000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48,939,000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14,803,000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111,573,000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83,526,000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28,047,000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between periods was related to an increase in sales of our branded ophthalmology products, primarily due to the increase of units sold of IHEEZO and VEVYE during the three and six months ended June 30, 2025 compared to the prior year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 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Branded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0"/>
        <w:gridCol w:w="60"/>
        <w:gridCol w:w="140"/>
        <w:gridCol w:w="1100"/>
        <w:gridCol w:w="215"/>
        <w:gridCol w:w="60"/>
        <w:gridCol w:w="140"/>
        <w:gridCol w:w="1100"/>
        <w:gridCol w:w="215"/>
        <w:gridCol w:w="60"/>
        <w:gridCol w:w="140"/>
        <w:gridCol w:w="1100"/>
        <w:gridCol w:w="215"/>
        <w:gridCol w:w="60"/>
        <w:gridCol w:w="140"/>
        <w:gridCol w:w="1100"/>
        <w:gridCol w:w="215"/>
        <w:gridCol w:w="60"/>
        <w:gridCol w:w="140"/>
        <w:gridCol w:w="1100"/>
        <w:gridCol w:w="215"/>
        <w:gridCol w:w="60"/>
        <w:gridCol w:w="140"/>
        <w:gridCol w:w="1100"/>
        <w:gridCol w:w="23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3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both"/>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8,734,000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5,559,000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3,175,000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16,915,000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9,237,000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7,678,000</w:t>
            </w:r>
          </w:p>
        </w:tc>
        <w:tc>
          <w:tcPr>
            <w:tcW w:w="23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33,540,000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21,800,000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11,740,000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53,139,000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31,991,000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21,148,000</w:t>
            </w:r>
          </w:p>
        </w:tc>
        <w:tc>
          <w:tcPr>
            <w:tcW w:w="23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both"/>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Branded cost of sales was primarily attributable to an increase in units sold during the three and six months ended June 30, 2025 compared to the prior year periods and an increase in our fixed expenses. The decrease in Branded gross margin between the three and six months ended June 30, 2025 and 2024 was primarily attributable to an increase in our fixed expenses, in particular, acquired product NDA amortizations related to the launch of TRIESENCE and a related contingent milestone payment that was capitalized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ImprimisRx</w:t>
      </w:r>
    </w:p>
    <w:p>
      <w:pPr>
        <w:pStyle w:val="TextBody"/>
        <w:bidi w:val="0"/>
        <w:spacing w:before="0" w:after="0"/>
        <w:ind w:left="0" w:right="0" w:hanging="0"/>
        <w:jc w:val="both"/>
        <w:rPr>
          <w:caps w:val="false"/>
          <w:smallCaps w:val="false"/>
        </w:rPr>
      </w:pPr>
      <w:r>
        <w:rPr>
          <w:caps w:val="false"/>
          <w:smallCaps w:val="false"/>
        </w:rPr>
        <w:t> </w:t>
      </w:r>
    </w:p>
    <w:tbl>
      <w:tblPr>
        <w:tblW w:w="10145" w:type="dxa"/>
        <w:jc w:val="left"/>
        <w:tblInd w:w="0" w:type="dxa"/>
        <w:tblLayout w:type="fixed"/>
        <w:tblCellMar>
          <w:top w:w="0" w:type="dxa"/>
          <w:left w:w="0" w:type="dxa"/>
          <w:bottom w:w="0" w:type="dxa"/>
          <w:right w:w="0" w:type="dxa"/>
        </w:tblCellMar>
      </w:tblPr>
      <w:tblGrid>
        <w:gridCol w:w="1310"/>
        <w:gridCol w:w="60"/>
        <w:gridCol w:w="140"/>
        <w:gridCol w:w="1100"/>
        <w:gridCol w:w="215"/>
        <w:gridCol w:w="60"/>
        <w:gridCol w:w="140"/>
        <w:gridCol w:w="1100"/>
        <w:gridCol w:w="215"/>
        <w:gridCol w:w="60"/>
        <w:gridCol w:w="140"/>
        <w:gridCol w:w="875"/>
        <w:gridCol w:w="215"/>
        <w:gridCol w:w="60"/>
        <w:gridCol w:w="140"/>
        <w:gridCol w:w="1100"/>
        <w:gridCol w:w="215"/>
        <w:gridCol w:w="60"/>
        <w:gridCol w:w="140"/>
        <w:gridCol w:w="1100"/>
        <w:gridCol w:w="215"/>
        <w:gridCol w:w="60"/>
        <w:gridCol w:w="140"/>
        <w:gridCol w:w="1055"/>
        <w:gridCol w:w="230"/>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230"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both"/>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7,496,000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6,980,000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516,000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14,839,000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13,855,000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984,000</w:t>
            </w:r>
          </w:p>
        </w:tc>
        <w:tc>
          <w:tcPr>
            <w:tcW w:w="23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13,972,000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14,600,000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(628,000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26,680,000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28,443,000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(1,763,000</w:t>
            </w:r>
          </w:p>
        </w:tc>
        <w:tc>
          <w:tcPr>
            <w:tcW w:w="230" w:type="dxa"/>
            <w:tcBorders/>
            <w:shd w:fill="FFFFFF" w:val="clear"/>
            <w:vAlign w:val="center"/>
          </w:tcPr>
          <w:p>
            <w:pPr>
              <w:pStyle w:val="TableContents"/>
              <w:bidi w:val="0"/>
              <w:spacing w:before="0" w:after="283"/>
              <w:jc w:val="left"/>
              <w:rPr/>
            </w:pPr>
            <w:r>
              <w:rPr/>
              <w:t>)</w:t>
            </w:r>
          </w:p>
        </w:tc>
      </w:tr>
      <w:tr>
        <w:trPr/>
        <w:tc>
          <w:tcPr>
            <w:tcW w:w="1310" w:type="dxa"/>
            <w:tcBorders/>
            <w:shd w:fill="CCEEFF" w:val="clear"/>
            <w:vAlign w:val="center"/>
          </w:tcPr>
          <w:p>
            <w:pPr>
              <w:pStyle w:val="TableContents"/>
              <w:bidi w:val="0"/>
              <w:spacing w:before="0" w:after="283"/>
              <w:jc w:val="both"/>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ImprimisRx costs of sales between the three and six months ended June 30, 2025 and 2024 was primarily attributable to an increase in units sold during the three and six months ended June 30, 2025 compared to the same periods in 2024. However, due to product mix during the three and six months ended June 30, 2025 that included more sales of lower gross margin products and sales discounts, ImprimisRx gross margin decreased during the 2025 periods compared to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(“SG&amp;A”)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SG&amp;A expenses for the three and six months ended June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0"/>
        <w:gridCol w:w="60"/>
        <w:gridCol w:w="140"/>
        <w:gridCol w:w="1100"/>
        <w:gridCol w:w="60"/>
        <w:gridCol w:w="60"/>
        <w:gridCol w:w="140"/>
        <w:gridCol w:w="1100"/>
        <w:gridCol w:w="60"/>
        <w:gridCol w:w="60"/>
        <w:gridCol w:w="140"/>
        <w:gridCol w:w="980"/>
        <w:gridCol w:w="60"/>
        <w:gridCol w:w="60"/>
        <w:gridCol w:w="140"/>
        <w:gridCol w:w="1100"/>
        <w:gridCol w:w="60"/>
        <w:gridCol w:w="60"/>
        <w:gridCol w:w="140"/>
        <w:gridCol w:w="1100"/>
        <w:gridCol w:w="60"/>
        <w:gridCol w:w="60"/>
        <w:gridCol w:w="140"/>
        <w:gridCol w:w="1100"/>
        <w:gridCol w:w="75"/>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vAlign w:val="center"/>
          </w:tcPr>
          <w:p>
            <w:pPr>
              <w:pStyle w:val="TableContents"/>
              <w:bidi w:val="0"/>
              <w:jc w:val="center"/>
              <w:rPr>
                <w:b/>
              </w:rPr>
            </w:pPr>
            <w:r>
              <w:rPr>
                <w:b/>
              </w:rPr>
              <w:t>For the</w:t>
            </w:r>
          </w:p>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vAlign w:val="center"/>
          </w:tcPr>
          <w:p>
            <w:pPr>
              <w:pStyle w:val="TableContents"/>
              <w:bidi w:val="0"/>
              <w:jc w:val="center"/>
              <w:rPr>
                <w:b/>
              </w:rPr>
            </w:pPr>
            <w:r>
              <w:rPr>
                <w:b/>
              </w:rPr>
              <w:t>For the</w:t>
            </w:r>
          </w:p>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b/>
              </w:rPr>
            </w:pPr>
            <w:r>
              <w:rPr>
                <w:b/>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33,235,000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31,817,000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73,748,000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60,630,000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13,118,000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SG&amp;A expenses between the three-month periods was primarily attributable to the addition of new employees in sales, marketing and other departments to support current and expected growth, which when combined contributed to a $4,375,000 increase in SG&amp;A expenses between the periods. These increases were offset by a $2,957,000 decrease in stock-based compensation expense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SG&amp;A expenses between the six-month periods was primarily attributable to an increase in certain seasonal expenses, such as increased costs associated with our annual audit and a special project that totaled $3,629,000 during the six months ended June 30, 2025. In addition, the increase in SG&amp;A expenses between periods was attributable to the addition of new employees in sales, marketing and other departments to support current and expected growth, which when combined contributed to a $12,042,000 increase in SG&amp;A expenses between the periods. These increases were offset by a $2,553,000 decrease in stock-based compensation expense between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research and development expenses for the three and six months ended June 30, 2025 and 2024:</w:t>
      </w:r>
    </w:p>
    <w:p>
      <w:pPr>
        <w:pStyle w:val="TextBody"/>
        <w:bidi w:val="0"/>
        <w:spacing w:before="0" w:after="0"/>
        <w:ind w:left="0" w:right="0" w:firstLine="720"/>
        <w:jc w:val="both"/>
        <w:rPr>
          <w:caps w:val="false"/>
          <w:smallCaps w:val="false"/>
        </w:rPr>
      </w:pPr>
      <w:r>
        <w:rPr>
          <w:caps w:val="false"/>
          <w:smallCaps w:val="false"/>
        </w:rPr>
        <w:t> </w:t>
      </w:r>
    </w:p>
    <w:tbl>
      <w:tblPr>
        <w:tblW w:w="9995" w:type="dxa"/>
        <w:jc w:val="left"/>
        <w:tblInd w:w="0" w:type="dxa"/>
        <w:tblLayout w:type="fixed"/>
        <w:tblCellMar>
          <w:top w:w="0" w:type="dxa"/>
          <w:left w:w="0" w:type="dxa"/>
          <w:bottom w:w="0" w:type="dxa"/>
          <w:right w:w="0" w:type="dxa"/>
        </w:tblCellMar>
      </w:tblPr>
      <w:tblGrid>
        <w:gridCol w:w="2780"/>
        <w:gridCol w:w="60"/>
        <w:gridCol w:w="140"/>
        <w:gridCol w:w="980"/>
        <w:gridCol w:w="60"/>
        <w:gridCol w:w="60"/>
        <w:gridCol w:w="140"/>
        <w:gridCol w:w="980"/>
        <w:gridCol w:w="60"/>
        <w:gridCol w:w="60"/>
        <w:gridCol w:w="140"/>
        <w:gridCol w:w="875"/>
        <w:gridCol w:w="95"/>
        <w:gridCol w:w="60"/>
        <w:gridCol w:w="140"/>
        <w:gridCol w:w="980"/>
        <w:gridCol w:w="60"/>
        <w:gridCol w:w="60"/>
        <w:gridCol w:w="140"/>
        <w:gridCol w:w="980"/>
        <w:gridCol w:w="60"/>
        <w:gridCol w:w="60"/>
        <w:gridCol w:w="141"/>
        <w:gridCol w:w="809"/>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vAlign w:val="center"/>
          </w:tcPr>
          <w:p>
            <w:pPr>
              <w:pStyle w:val="TableContents"/>
              <w:bidi w:val="0"/>
              <w:jc w:val="center"/>
              <w:rPr>
                <w:b/>
              </w:rPr>
            </w:pPr>
            <w:r>
              <w:rPr>
                <w:b/>
              </w:rPr>
              <w:t>For the</w:t>
            </w:r>
          </w:p>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vAlign w:val="center"/>
          </w:tcPr>
          <w:p>
            <w:pPr>
              <w:pStyle w:val="TableContents"/>
              <w:bidi w:val="0"/>
              <w:jc w:val="center"/>
              <w:rPr>
                <w:b/>
              </w:rPr>
            </w:pPr>
            <w:r>
              <w:rPr>
                <w:b/>
              </w:rPr>
              <w:t>For the</w:t>
            </w:r>
          </w:p>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both"/>
              <w:rPr>
                <w:b/>
              </w:rPr>
            </w:pP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2,868,000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3,053,000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5,894,000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5,202,000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jc w:val="right"/>
              <w:rPr/>
            </w:pPr>
            <w:r>
              <w:rPr/>
              <w:t>692,000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R&amp;D expenses between six-month periods was primarily attributable to increased activity related to our expanded branded product portfolio, product acquisitions, product development efforts, product launches, and clinical and medical support.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$6,408,000 and $12,956,000 for the three and six months ended June 30, 2025, respectively, compared to $5,471,000 and $10,886,000 for the same periods in 2024, respectively. The increase during the three and six months ended June 30, 2025 compared to the same periods in 2024 was primarily the result of an increase in the outstanding principal amount of our 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Loss from Eton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we recorded a loss of $(1,923,000) and $(3,171,000), respectively, related to the change in fair market value of common stock of Eton Pharmaceuticals, Inc. (“Eton”) at the time of its sale, including trading expenses and commissions of approximately $436,000. In April 2024, we sold all of our shares of Eton.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on hand at June 30, 2025 was $52,963,000, compared to $47,247,000 at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Quarterly Report, we believe that cash and cash equivalents of $52,963,000 at June 30, 2025 will be sufficient to sustain our planned level of operations and capital expenditures for at least the next 12 months. Management expects to refinance the Oaktree Loan (as defined in Note 10 of our unaudited condensed consolidated financial statements included in this Quarterly Report) during 2025 and to refinance the 2026 Notes (as defined in Note 10 of our unaudited condensed consolidated financial statements included in this Quarterly Report) at the same time or soon thereafter. Management believes it is probable that we will be able to refinance the Oaktree Loan and 2026 Notes; however, there can be no assurance that we will obtain the refinancing on terms acceptable to us, or at all - see the subheading </w:t>
      </w:r>
      <w:r>
        <w:rPr>
          <w:rFonts w:ascii="Times New Roman;Times;Serif" w:hAnsi="Times New Roman;Times;Serif"/>
          <w:b w:val="false"/>
          <w:i/>
          <w:caps w:val="false"/>
          <w:smallCaps w:val="false"/>
          <w:sz w:val="20"/>
        </w:rPr>
        <w:t>Sources of Capital</w:t>
      </w:r>
      <w:r>
        <w:rPr>
          <w:rFonts w:ascii="Times New Roman;Times;Serif" w:hAnsi="Times New Roman;Times;Serif"/>
          <w:b w:val="false"/>
          <w:i w:val="false"/>
          <w:caps w:val="false"/>
          <w:smallCaps w:val="false"/>
          <w:sz w:val="20"/>
        </w:rPr>
        <w:t xml:space="preserve"> below for additional discussion regarding the Oaktree Loan, 2026 Notes and refinancing plans. In addition, we may consider the sale of certain assets.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detailed information about our net cash flows for the six months ended June 30, 2025 and 2024:</w:t>
      </w:r>
    </w:p>
    <w:p>
      <w:pPr>
        <w:pStyle w:val="TextBody"/>
        <w:bidi w:val="0"/>
        <w:spacing w:before="0" w:after="0"/>
        <w:ind w:left="0" w:right="0" w:firstLine="720"/>
        <w:jc w:val="both"/>
        <w:rPr>
          <w:caps w:val="false"/>
          <w:smallCaps w:val="false"/>
        </w:rPr>
      </w:pPr>
      <w:r>
        <w:rPr>
          <w:caps w:val="false"/>
          <w:smallCaps w:val="false"/>
        </w:rPr>
        <w:t> </w:t>
      </w:r>
    </w:p>
    <w:tbl>
      <w:tblPr>
        <w:tblW w:w="7895" w:type="dxa"/>
        <w:jc w:val="left"/>
        <w:tblInd w:w="0" w:type="dxa"/>
        <w:tblLayout w:type="fixed"/>
        <w:tblCellMar>
          <w:top w:w="0" w:type="dxa"/>
          <w:left w:w="0" w:type="dxa"/>
          <w:bottom w:w="0" w:type="dxa"/>
          <w:right w:w="0" w:type="dxa"/>
        </w:tblCellMar>
      </w:tblPr>
      <w:tblGrid>
        <w:gridCol w:w="5015"/>
        <w:gridCol w:w="60"/>
        <w:gridCol w:w="140"/>
        <w:gridCol w:w="1175"/>
        <w:gridCol w:w="95"/>
        <w:gridCol w:w="60"/>
        <w:gridCol w:w="140"/>
        <w:gridCol w:w="1100"/>
        <w:gridCol w:w="110"/>
      </w:tblGrid>
      <w:tr>
        <w:trPr/>
        <w:tc>
          <w:tcPr>
            <w:tcW w:w="5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both"/>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18,865,000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(7,374,000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both"/>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4,993,000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both"/>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(12,644,000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(736,000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both"/>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(3,117,000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both"/>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47,247,000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74,085,000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52,963,000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70,968,000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 during the six months ended June 30, 2025 was $18,865,000 compared to $(7,374,000) during the same period in the prior year. The increase in net cash provided by operating activities between the periods was mainly attributed to a decrease of $37,211,000 in accounts receivable as a result of collections during the six months ended June 30, 2025, compared to an increase in accounts receivable of $15,631,000 during the same period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investing activities during the six months ended June 30, 2025 was $(505,000) compared to $4,993,000 during the same period in the prior year. Cash used in investing activities in 2025 was primarily related to equipment and software purchases. Cash provided by investing activities in 2024 was primarily related to the sale of our investment position in Eton.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during the six months ended June 30, 2025 and 2024 was $(12,644,000) and $(736,000), respectively. Cash used in financing activities during the six months ended June 30, 2025 and 2024 was primarily related to payment of payroll taxes upon vesting of PSUs in exchange for shares withheld from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our principal sources of cash came from proceeds from our operating activities. We expect future cash needs to be provided by operating activities, but our forecasts may not be accurate, and our plans may change. We may also sell some of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Oaktree Loan matures and in April 2026, the 2026 Notes become due. As of June 30, 2025, there was $107,500,000 principal amount outstanding under the Oaktree Loan and $75,000,000 principal amount of the 2026 Notes were outstanding. The maturity of these debt obligations could raise substantial doubt about our ability to continue as a going concern. We are currently in discussions with our current senior secured lender, Oaktree, and other potential lenders about refinancing the Oaktree Loan and the 2026 Notes. Management believes it is probable that we will be able to refinance the Oaktree Loan and the 2026 Notes based on our collateral strength and expected cash flows from operations; however, there can be no assurance that we will obtain the refinancing on terms acceptable to us, or at all. We believe that one of the other alternatives available to us is the sale of one or more of our assets. There can be no assurance that any sale could be completed on a timely basis or on terms acceptable to us. If we are unable to successfully refinance the Oaktree Loan and the 2026 Notes or sell assets to raise sufficient capital, we do not expect to have the ability to repay the Oaktree Loan and the 2026 Notes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new products, product candidates and/or businesses and, as a result, we may need significant additional capital to support our business plan and fund our proposed business operations.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condensed consolidated financial statements included in this Quarterly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5" w:name="a_004"/>
      <w:bookmarkEnd w:id="94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related to changes in interest rates on our cash and cash equivalents and the Oaktree Loan. We do not utilize derivative financial instruments or other market risk-sensitive instruments to manage our exposure to interest rate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interest rate risk related to our cash and cash equivalents is not material as our risk is that interest rates fall. Based on the current interest rates, we do not have a significant downside risk of a drop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risk related to the Oaktree Loan is based on the Secured Overnight Financing Rate (“SOFR”) plus an interest rate spread of 6.5% per annum. A hypothetical increase of 100 basis points in SOFR would impact our interest expense by $1,075,000 per annum based on the outstanding balance under the Oaktree Loan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6" w:name="a_005"/>
      <w:bookmarkEnd w:id="94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2025. Based on this evaluation, our principal executive officer and principal financial officer have concluded that our disclosure controls and procedures were effective to achieve their stated purpose as of June 30, 2025, the end of the period covered by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(as defined in Rule 13a-15(f) under the Exchange Act) during the quarter ended June 30, 2025,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7" w:name="a_006"/>
      <w:bookmarkEnd w:id="947"/>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8" w:name="a_007"/>
      <w:bookmarkEnd w:id="948"/>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13 to our unaudited condensed consolidated financial statements included in this Quarterly Report for information on various legal proceedings, which is incorporated into this Item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9" w:name="a_008"/>
      <w:bookmarkEnd w:id="949"/>
      <w:r>
        <w:rPr>
          <w:rFonts w:ascii="Times New Roman;Times;Serif" w:hAnsi="Times New Roman;Times;Serif"/>
          <w:b/>
          <w:i w:val="false"/>
          <w:caps w:val="false"/>
          <w:smallCaps w:val="false"/>
          <w:sz w:val="20"/>
        </w:rPr>
        <w:t>Item 1A. Risk Factors</w:t>
      </w:r>
    </w:p>
    <w:p>
      <w:pPr>
        <w:pStyle w:val="TextBody"/>
        <w:bidi w:val="0"/>
        <w:spacing w:before="0" w:after="0"/>
        <w:ind w:left="0" w:right="0" w:hanging="9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contained in this Quarterly Report you should consider the risk factors and the other information in our Annual Report on Form 10-K for the year ended December 31, 2024,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provide in supplemental form the material changes to our risk factors that occurred during the past quarter. Our risk factors disclosed in Part I, Item 1A, of our Annual Report on Form 10-K for the year ended December 31, 2024, provide additional disclosure for these supplemental risks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federal government could pursue enforcement actions against us to the extent we are unable to demonstrate compliance with cGMPs and other required regulations, the effects of which could be costly to us and could result in adverse consequences to our business.</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2017, the FDA issued a MedWatch notification regarding a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was due to mislabeling by the underlying supplier and not of our own misdoing. We no longer compound curcumin emulsion products.</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in December 2017, we were issued a warning letter from the FDA alleging that, in its interpretation of our public communications, we had made false or misleading claims and omitted risk and side effect information regarding certain of our ophthalmology-focused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remained in communication with the FDA and took steps to address the items outlined in the FDA letter. The Company received another warning letter from the FDA in June 2022 related to our alleged marketing activities. We immediately responded to the warning letter and the FDA sent the Company notice in January 2023 that our corrective actions appear adequate.</w:t>
      </w:r>
    </w:p>
    <w:p>
      <w:pPr>
        <w:pStyle w:val="TextBody"/>
        <w:shd w:fill="FFFFFF" w:val="clear"/>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2019, our New Jersey-based outsourcing facility (“NJOF”) was issued a warning letter related to an April 2017 inspection and our use of certain active pharmaceutical ingredients in our compounded medications. During September 2020 through January 2021, our New Jersey based outsourcing facility was inspected by the FDA (the “2020 Inspection”) and certain observations were made by the FDA in a Form 483. Five observations made during the 2020 Inspection were considered repeat observations from a 2017 FDA inspection. In addition, during the 2020 inspection, the FDA noted that we were compounding drugs for which there is no change that produces a clinical difference for an individual patient,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pharmacy was inspected in August 2022 and received a Form 483 with several observations from the FDA. In May 2023, our pharmacy received a warning letter related to the inspection that occurred in August 2022. The warning letter indicated that our corrective actions from the inspection had appeared to be adequate; however, the FDA could not fully evaluate the adequacy of our actions because we did not include sufficient information or supporting documentation. As an example, we stated that smoke studies related to airflow in our laminar airflow hoods had been redone to satisfy FDA requirements, however, we did not provide the FDA with supporting documentation (such as smoke study protocol, updated detailed report and/or videos). We have responded to this warning letter and provided the FDA with additional information requested.</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March 2024 through April 2024, NJOF was inspected by the FDA (the “2024 Inspection”), and the FDA issued a Form 483 with five observations. Since January 2025, we engaged in separate but related discussions with the federal government regarding the NJOF quality system and the 2024 Inspection. NJOF voluntarily recalled certain products and provided regular updates to the FDA regarding its remediation activities and other commitments, including Project Beagle. The government has notified us that these discussions are now closed.</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regulatory actions could increase scrutiny and could create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For other reasons, including, but not limited to, the following, physicians may be unwilling to prescribe or patients may be unwilling to use our compounded formulations: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These factors and any future regulatory action could continue to limit our production, and our ability to dispense and distribute our compounded products, which would negatively affect sales of our compounded products.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sales depend on coverage and reimbursement from government and commercial third-party payers, and pricing and reimbursement pressures have affected, and are likely to continue to affect, our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Further, pressures on healthcare budgets from the economic downturn and inflation continue and are likely to increase, across the markets we serve. Payers are increasingly focused on costs, which has resulted, and is expected to continue to result, in lower reimbursement rates for our products and/or narrower patient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to lower drug prices. These include provisions in the Inflation Reduction Act that enable the U.S. government to set prices for certain drugs in Medicare, redesign Medicare Part D benefits to shift a greater proportion of the costs to manufacturers and health plans and enable the U.S. government to impose penalties if drug prices are increased at a rate faster than inflation. Additional proposals focused on drug pricing continue to be debated, and additional executive orders or regulatory initiatives focused on drug pricing and competition are likely to be adopted and implemented in some form. It is unclear what policies will advance with respect to other drug pricing proposals, including international reference pricing or changes to healthcare regulations affecting pharmaceuticals. Further, state government activity has been dynamic, including certain states enacting new laws limiting drug reimbursement under state run Medicaid programs and prohibiting restrictions on 340B Program use. Such state laws could also eventually be adopted at the federal level.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which or how many policy, regulatory, administrative or legislative changes may ultimately be, or effectively estimate the consequences to our business if, enacted and implemented. However, to the extent that payer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conditions may negatively affect us and may magnify certain risks that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performance have been, and may continue to be, affected by global economic conditions. The economic downturn resulting from the COVID-19 pandemic precipitated a global recession, which was followed by high rates of inflation and actions taken by financial regulators to raise interest rates. Instability in the financial system, tighter lending standards and higher interest rates have added stress that may create additional vulnerabilities in the global economy, the effects of which may be of an extended duration. Additionally, with higher interest rates, deficits (including those associated with the pandemic), and other fiscal pressures, governments may be unable to sustain their previously high levels of fiscal spending.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could lead to reduced demand for our products, which could have a material adverse effect on our product sales, business and results of operations. The cumulative effects of inflationary pressures, an uncertain trade environment with escalating and rapidly-changing tariffs, and the effects from the armed conflict in Ukraine (including the effects of the sanctions that were implemented in response to the conflict and the resulting impacts on the commodity market and supply chains) and the Middle East may also increase our operating expenses. Some of our operational costs, including the cost of energy, cost of goods, other materials, labor, distribution and our other operational costs are subject to market conditions and have been adversely affected by inflationary pressures.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U.S. trade policy—including the possible imposition of significant tariffs on pharmaceuticals and raw materials—could materially increase our costs, disrupt our supply chain, and impair our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public statements by U.S. policymakers contemplate phased tariff rates of up to 150% (or more) on imported finished drugs, active pharmaceutical ingredients (“APIs”), and key excipients. Although we manufacture a significant amount of our finished ophthalmic products in the United States, we rely on third-party suppliers, many of which source APIs, sterile bottles, dropper tips, and other critical components from non-U.S. jurisdictions. If one or more rounds of tariffs are enacted, we could experience: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input costs that we may be unable to pass through to customers under existing supply and reimbursement arrangements, compressing gross margins;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Customs delays or shortages if overseas suppliers elect to redirect shipments to non-U.S. customers to avoid tariff exposure;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Retaliatory measures by foreign governments that could hinder our ability to procure specialized equipment or to out-license our products abroad;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Working-capital pressure, as we may need to build additional safety stock or advance-pay duties before goods clear U.S. customs.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evaluating mitigation strategies—including dual-sourcing, qualifying U.S. or free-trade-area suppliers, and tariff-engineering options—there can be no assurance that these actions will be successful or fully offset potential cost increases. Material tariff-related cost inflation or supply disruptions could adversely affect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0" w:name="a_009"/>
      <w:bookmarkEnd w:id="95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1" w:name="a_010"/>
      <w:bookmarkEnd w:id="95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2" w:name="a_011"/>
      <w:bookmarkEnd w:id="95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3" w:name="a_012"/>
      <w:bookmarkEnd w:id="95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certain of our executive officers and directors may enter into, amend or terminate written trading arrangements pursuant to Rule 10b5-1 of the Exchange Act or otherwise. During the six months ended June 30, 2025, none of our directors or officers </w:t>
      </w:r>
      <w:bookmarkStart w:id="954" w:name="xdx_903_eecd--NonRule10b51ArrAdoptedFlag"/>
      <w:bookmarkStart w:id="955" w:name="xdx_907_eecd--Rule10b51ArrAdoptedFlag_db"/>
      <w:bookmarkEnd w:id="954"/>
      <w:bookmarkEnd w:id="955"/>
      <w:r>
        <w:rPr>
          <w:rFonts w:ascii="Times New Roman;Times;Serif" w:hAnsi="Times New Roman;Times;Serif"/>
          <w:b w:val="false"/>
          <w:i w:val="false"/>
          <w:caps w:val="false"/>
          <w:smallCaps w:val="false"/>
          <w:sz w:val="20"/>
        </w:rPr>
        <w:t xml:space="preserve">adopted or </w:t>
      </w:r>
      <w:bookmarkStart w:id="956" w:name="xdx_906_eecd--NonRule10b51ArrTrmntdFlag_"/>
      <w:bookmarkStart w:id="957" w:name="xdx_907_eecd--Rule10b51ArrTrmntdFlag_dbF"/>
      <w:bookmarkEnd w:id="956"/>
      <w:bookmarkEnd w:id="957"/>
      <w:r>
        <w:rPr>
          <w:rFonts w:ascii="Times New Roman;Times;Serif" w:hAnsi="Times New Roman;Times;Serif"/>
          <w:b w:val="false"/>
          <w:i w:val="false"/>
          <w:caps w:val="false"/>
          <w:smallCaps w:val="false"/>
          <w:sz w:val="20"/>
        </w:rPr>
        <w:t>terminated any Rule 10b5-1 trading arrangement or non-Rule 10b5-1 trading arrangement (as such terms are defined in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8" w:name="a_013"/>
      <w:bookmarkEnd w:id="958"/>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(incorporated herein by reference to Exhibit 3.1 to the Current Report on Form 8-K of Harrow, Inc. filed with the Securities and Exchange Commission on September 29, 2023).</w:t>
              </w:r>
            </w:hyperlink>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and Restated Bylaws of Harrow, Inc. (incorporated herein by reference to Exhibit 3.2 to the Current Report on Form 8-K of Harrow, Inc. filed with the Securities and Exchange Commission on September 29, 2023).</w:t>
              </w:r>
            </w:hyperlink>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"https://www.sec.gov/Archives/edgar/data/1360214/000164117225006102/formdef14a.htm" \l "D_016"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2025 Incentive Stock and Awards Plan (incorporated herein by reference to Appendix A to Harrow Inc.’s Definitive Proxy Statement filed with the SEC on April 25, 2025).</w:t>
            </w:r>
            <w:r>
              <w:rPr>
                <w:rStyle w:val="InternetLink"/>
                <w:smallCaps w:val="false"/>
                <w:caps w:val="false"/>
                <w:sz w:val="20"/>
                <w:i w:val="false"/>
                <w:b w:val="false"/>
                <w:rFonts w:ascii="Times New Roman;Times;Serif" w:hAnsi="Times New Roman;Times;Serif"/>
              </w:rPr>
              <w:fldChar w:fldCharType="end"/>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 of Incentive Stock Option Agreement</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Form of Non-Qualified Stock Option Agreement</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Form of Restricted Stock Unit Agreement</w:t>
              </w:r>
            </w:hyperlink>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Mark L. Baum, principal executive officer, pursuant to Rule 13a-14(a) or 15d-14(a) of the Securities and Exchange Act of 1934, as adopted pursuant to Section 302 of the Sarbanes- Oxley Act of 2002.</w:t>
              </w:r>
            </w:hyperlink>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and accounting officer, pursuant to Rule 13a-14(a) or 15d-14(a) of the Securities and Exchange Act of 1934, as adopted pursuant to Section 302 of the Sarbanes- Oxley Act of 2002.</w:t>
              </w:r>
            </w:hyperlink>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 Andrew R. Boll, principal financial and accounting officer.</w:t>
              </w:r>
            </w:hyperlink>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June 30, 2025, has been formatted in Inline XBRL.</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9" w:name="a_014"/>
      <w:bookmarkEnd w:id="959"/>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1970"/>
        <w:gridCol w:w="320"/>
        <w:gridCol w:w="5555"/>
      </w:tblGrid>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2025</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bookmarkStart w:id="960" w:name="ex10-2.htm"/>
      <w:bookmarkStart w:id="961" w:name="ksex102"/>
      <w:bookmarkEnd w:id="960"/>
      <w:bookmarkEnd w:id="96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INCENTIVE STOCK AND AWARDS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STOCK OPTION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INCENTIVE STOCK OPTION AGREEMENT (the “Option Agreement”), dated [__________](the “Grant Date”), is between Harrow, Inc., a Delaware corporation (the “Company”), and [_______________] (the “Optionee”), an employee of the Company, pursuant to the Harrow, Inc. 2025 Incentive Stock and Awards Plan (the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give the Optionee the opportunity to purchase [___________] shares of common stock of the Company, par value $0.001 (“Common Shares”) in accordance with the provisions of the Plan, a copy of which is attached 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hereinafter set forth and for other good and valuable consideration, the parties hereto, intending to be legally bound hereby, agree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The Company hereby grants to the Optionee the right and option (the “Option”) to purchase Common Shares all or any part of an aggregate of [____________].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Option is in all respects limited and conditioned as hereinafter provided, and is subject in all respects to the terms and conditions of the Plan now in effect and as it may be amended from time to time (but only to the extent that such amendments apply to outstanding options). Such terms and conditions are incorporated herein by reference, made a part hereof, and shall control in the event of any conflict with any other terms of this Option Agreement. The Option granted hereunder is intended to be an incentive stock option (“ISO”) meeting the requirements of the Plan and section 422 of the Internal Revenue Code of 1986, as amended (the “Code”), and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a nonqualified stock option (“NQSO”).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the Common Shares covered by this Option shall be [_________]. It is the determination of the committee administering the Plan (the “Committee”) that on the Grant Date the exercise price was not less than the greater of (i) 100% (110% for an Optionee who owns more than 10% of the total combined voting power of all shares of stock of the - a “More-Than-10% Owner”) of the “Fair Market Value” (as defined in the Plan) of a Common Share, or (ii) the par value of a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Unless earlier terminated pursuant to any provision of the Plan or of this Option Agreement, this Option shall expire on the tenth anniversary of the grant date (the “Expiration Date”). This Option shall not be exercisable on or after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The Optionee shall have the right to purchase from the Company, on and after the following dates, the following number of Common Shares, provided the Optionee has not terminated his or her service as of the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accelerate any exercise date of the Option, in its discretion, if it deems such acceleration to be desirable. Once the Option becomes exercisable, it will remain exercisable until it is exercised or until it terminates.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Method of Exercising Option</w:t>
      </w:r>
      <w:r>
        <w:rPr>
          <w:rFonts w:ascii="Times New Roman;Times;Serif" w:hAnsi="Times New Roman;Times;Serif"/>
          <w:b w:val="false"/>
          <w:i w:val="false"/>
          <w:caps w:val="false"/>
          <w:smallCaps w:val="false"/>
          <w:sz w:val="20"/>
        </w:rPr>
        <w:t>. Subject to the terms and conditions of this Option Agreement and the Plan, the Option may be exercised by written notice to the Company at its principal office. The form of such notice is attached hereto and shall state the election to exercise the Option and the number of whole shares with respect to which it is being exercised; shall be signed by the person or persons so exercising the Option; and shall be accompanied by payment of the full exercise price of such shares. Only full shares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shall be paid to the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cash, or by certified check, bank draft, or postal or express money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through the delivery of Common Shares previously acquired by the Optionee;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delivering a properly executed notice of exercise of the Option to the Company and a broker, with irrevocable instructions to the broker promptly to deliver to the Company the amount necessary to pay the exercise price of the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Common Shares newly acquired by the Optionee upon exercise of the Option (which shall constitute a disqualifying disposition with respect to this ISO);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any combination of (a), (b), (c), or (d)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exercise price is paid, in whole or in part, with Common Shares, the portion of the exercise price so paid shall be equal to the Fair Market Value of the Common Shares surrendered on the date of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notice of exercise and payment, the Company shall deliver a certificate or certificates representing the Common Shares with respect to which the Option is so exercised. The Optionee shall obtain the rights of a shareholder upon receipt of a certificate(s) representing such Common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certificate(s) shall be registered in the name of the person so exercising the Option (or, if the Option is exercised by the Optionee and if the Optionee so requests in the notice exercising the Option, shall be registered in the name of the Optionee and the Optionee’s spouse, jointly, with right of survivorship), and shall be delivered as provided above to, or upon the written order of, the person exercising the Option. In the event the Option is exercised by any person after the death or disability (as determined in accordance with Section 22(e)(3) of the Code) of the Optionee, the notice shall be accompanied by appropriate proof of the right of such person to exercise the Option. All Common Shares that are purchased upon exercise of the Option as provided herein shall be fully paid and non-assessable.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the Option, Optionee shall be responsible for all employment and income taxes then or thereafter due (whether Federal, State or local), and if the Optionee does not remit to the Company sufficient cash (or, with the consent of the Committee, Common Shares) to satisfy all applicable withholding requirements, the Company shall be entitled to satisfy any withholding requirements for any such tax by disposing of Common Shares at exercise, withholding cash from Optionee’s salary or other compensation or such other means as the Committee considers appropriate to the fullest extent permitted by applicable law. Nothing in the preceding sentence shall impair or limit the Company’s rights with respect to satisfying withholding obligations under Section 10 of the Plan.</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Non-Transferability of Option</w:t>
      </w:r>
      <w:r>
        <w:rPr>
          <w:rFonts w:ascii="Times New Roman;Times;Serif" w:hAnsi="Times New Roman;Times;Serif"/>
          <w:b w:val="false"/>
          <w:i w:val="false"/>
          <w:caps w:val="false"/>
          <w:smallCaps w:val="false"/>
          <w:sz w:val="20"/>
        </w:rPr>
        <w:t>. This Option is not assignable or transferable, in whole or in part, by the Optionee other than by will or by the laws of descent and distribution. During the lifetime of the Optionee, the Option shall be exercisable only by the Optionee or, in the event of his or her disability, by his or her guardian or legal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 of Employment by Optionee</w:t>
      </w:r>
      <w:r>
        <w:rPr>
          <w:rFonts w:ascii="Times New Roman;Times;Serif" w:hAnsi="Times New Roman;Times;Serif"/>
          <w:b w:val="false"/>
          <w:i w:val="false"/>
          <w:caps w:val="false"/>
          <w:smallCaps w:val="false"/>
          <w:sz w:val="20"/>
        </w:rPr>
        <w:t>. If the Optionee’s employment with the Company is terminated by the Optionee for any reason (other than death or disability or with Good Reason) prior to the Expiration Date, this Option may be exercised, to the extent of the number of Common Shares with respect to which the Optionee could have exercised it on the date of such termination of employment by the Optionee at any time prior to the earlier of (i) the Expiration Date; (ii) ninety (90) days after such termination of employment; or (iii) three hundred and sixty five (365) days after termination of employment if the Optionee terminated their employment due to retirement . Any part of the Option that was not exercisable immediately before the Optionee’s termination of employment shall terminate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If the Optionee becomes disabled (as determined in accordance with Section 22(e)(3) of the Code) during his or her employment and, prior to the Expiration Date, the Optionee’s employment is terminated as a consequence of such disability, this Option may be exercised, to the extent of the number of Common Shares with respect to which the Optionee could have exercised it on the date of such termination of employment by the Optionee or by the Optionee’s legal representative at any time prior to the earlier of (i) the Expiration Date or (ii) ninety (90) days after such termination of employment. Any part of the Option that was not exercisable immediately before the Optionee’s termination of employment shall terminate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Termination of Employment by Company without Cause or by Optionee with Good Reason</w:t>
      </w:r>
      <w:r>
        <w:rPr>
          <w:rFonts w:ascii="Times New Roman;Times;Serif" w:hAnsi="Times New Roman;Times;Serif"/>
          <w:b w:val="false"/>
          <w:i w:val="false"/>
          <w:caps w:val="false"/>
          <w:smallCaps w:val="false"/>
          <w:sz w:val="20"/>
        </w:rPr>
        <w:t>. If the Optionee’s employment with the Company is terminated by the Company for any reason other than Cause (or is terminated by the Optionee for Good Reason) prior to the Expiration Date, this Option may be exercised, to the extent of the number of Common Shares with respect to which the Optionee could have exercised it on the date of such termination of employment by the Optionee at any time prior to the earlier of (i) the Expiration Date, or (ii) ninety (90) days after such termination of employment. Any part of the Option that was not exercisable immediately before the Optionee’s termination of employment shall terminate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If the Optionee dies during his or her employment and prior to the Expiration Date, or if the Optionee’s employment is terminated for any reason (as described in Paragraphs 7, 8 and 9) and the Optionee dies following his or her termination of employment but prior to the earliest of (i) the Expiration Date, or (ii) the expiration of the period determined under Paragraph 7, 8 or 9 (as applicable to the Optionee) this Option may be exercised, to the extent of the number of Common Shares with respect to which the Optionee could have exercised it on the date of his or her death by the Optionee’s estate, personal representative or beneficiary who acquired the right to exercise this Option by bequest or inheritance or by reason of the Optionee’s death, at any time prior to the earlier of (i) the Expiration Date or (ii) one year after the date of the Optionee’s death. Any part of the Option that was not exercisable immediately before the Optionee’s death shall terminate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employment with the Company is terminated by the Company for Cause prior to the Expiration Date, any unexercised portion of this Option shall immediately terminate at that time.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Disqualifying Disposition of Option Shares</w:t>
      </w:r>
      <w:r>
        <w:rPr>
          <w:rFonts w:ascii="Times New Roman;Times;Serif" w:hAnsi="Times New Roman;Times;Serif"/>
          <w:b w:val="false"/>
          <w:i w:val="false"/>
          <w:caps w:val="false"/>
          <w:smallCaps w:val="false"/>
          <w:sz w:val="20"/>
        </w:rPr>
        <w:t>. The Optionee agrees to give written notice to the Company, at its principal office, if a “disposition” of the Common Shares acquired through exercise of the Option granted hereunder occurs at any time within two years after the Grant Date or within one year after the transfer to the Optionee of such shares. Optionee acknowledges that if such disposition occurs, the Optionee generally will recognize ordinary income as of the date the Option was exercised in an amount equal to the lesser of (i) the Fair Market Value of the Common Shares on the date of exercise minus the exercise price, or (ii) the amount realized on disposition of such shares minus the exercise price. If requested by the Company at the time of and in the case of any such disposition, Optionee shall pay to the Company an amount sufficient to satisfy the Company’s federal, state and local withholding tax obligations with respect to such disposition. The provisions of this Section 12 shall apply, whether or not the Optionee is in the employ of the Company at the time of the relevant disposition. For purposes of this Paragraph, the term “disposition” shall have the meaning assigned to such term by section 424(c)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Securities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at any time, counsel to the Company shall determine that the listing, registration or qualification of the Common Shares subject to the Option upon any securities exchange or under any state or federal law, or the consent or approval of any governmental or regulatory body, or that the disclosure of non-public information or the satisfaction of any other condition is necessary as a condition of, or in connection with, the issuance or purchase of Common Shares hereunder, such Option may not be exercised, in whole or in part, unless such listing, registration, qualification, consent or approval, or satisfaction of such condition shall have been effected or obtained on conditions acceptable to the Board of Directors. The Company shall be under no obligation to apply for or to obtain such listing, registration or qualification, or to satisfy such condition. The Committee shall inform the Optionee in writing of any decision to defer or prohibit the exercise of an Option. During the period that the effectiveness of the exercise of an Option has been deferred or prohibited, the Optionee may, by written notice, withdraw the Optionee’s decision to exercise and obtain a refund of any amount paid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require: (i) the Optionee (or any other person exercising the Option in the case of the Optionee’s death or Disability) as a condition of exercising the Option, to give written assurances, in substance and form satisfactory to the Company, to the effect that such person is acquiring the Common Shares subject to the Option for his or her own account for investment and not with any present intention of selling or otherwise distributing the same, and to make such other representations or covenants; and (ii) that any certificates for Common Shares delivered in connection with the exercise of the Option bear such legends, in each case as the Company deems necessary or appropriate, in order to comply with federal and applicable state securities laws, to comply with covenants or representations made by the Company in connection with any public offering of its Common Shares or otherwise. The Optionee specifically understands and agrees that the Common Shares, if and when issued upon exercise of the Option, may be “restricted securities,” as that term is defined in Rule 144 under the Securities Act of 1933 and, accordingly, the Optionee may be required to hold the shares indefinitely unless they are registered under such Securities Act of 1933, as amended, or an exemption from such registration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Optionee shall have no rights as a shareholder with respect to any Common Shares covered by the Option (including, without limitation, any rights to receive dividends or non-cash distributions with respect to such shares) until the date of issue of a stock certificate to the Optionee for such Common Shares. No adjustment shall be made for dividends or other rights for which the record date is prior to the date such stock certificate is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Option Agreement shall be governed by the applicable Code provisions to the maximum extent possible. Otherwise, the laws of the State of Delaware (without reference to the principles of conflict of laws) shall govern the operation of, and the rights of the Optionee under, the Plan and Options granted thereunder.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Incentive Stock Option Agreement to be duly executed by its duly authorized officer, and the Optionee has hereunto set his or her hand and seal, all as of [______________].</w:t>
      </w:r>
    </w:p>
    <w:p>
      <w:pPr>
        <w:pStyle w:val="TextBody"/>
        <w:bidi w:val="0"/>
        <w:spacing w:before="0" w:after="0"/>
        <w:jc w:val="both"/>
        <w:rPr>
          <w:caps w:val="false"/>
          <w:smallCaps w:val="false"/>
        </w:rPr>
      </w:pPr>
      <w:r>
        <w:rPr>
          <w:caps w:val="false"/>
          <w:smallCaps w:val="false"/>
        </w:rPr>
        <w:t> </w:t>
      </w:r>
    </w:p>
    <w:tbl>
      <w:tblPr>
        <w:tblW w:w="1429" w:type="dxa"/>
        <w:jc w:val="left"/>
        <w:tblInd w:w="0" w:type="dxa"/>
        <w:tblLayout w:type="fixed"/>
        <w:tblCellMar>
          <w:top w:w="0" w:type="dxa"/>
          <w:left w:w="0" w:type="dxa"/>
          <w:bottom w:w="0" w:type="dxa"/>
          <w:right w:w="0" w:type="dxa"/>
        </w:tblCellMar>
      </w:tblPr>
      <w:tblGrid>
        <w:gridCol w:w="75"/>
        <w:gridCol w:w="1234"/>
        <w:gridCol w:w="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Optionee</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50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Incentive Stock and Awards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Exercise of Incentive Stock Option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exercise the incentive stock option granted to me pursuant to the Incentive Stock Option Agreement by Harrow, Inc. (the “Company”) dated [___________].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following number of shares of the Company’s common stock (“Shares”), par value $0.001 per Share, covered by said option:</w:t>
      </w:r>
    </w:p>
    <w:p>
      <w:pPr>
        <w:pStyle w:val="TextBody"/>
        <w:bidi w:val="0"/>
        <w:spacing w:before="0" w:after="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2795"/>
        <w:gridCol w:w="1820"/>
      </w:tblGrid>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to be purchased:</w:t>
            </w:r>
          </w:p>
        </w:tc>
        <w:tc>
          <w:tcPr>
            <w:tcW w:w="182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caps w:val="false"/>
                <w:smallCaps w:val="false"/>
              </w:rPr>
            </w:pPr>
            <w:r>
              <w:rPr>
                <w:caps w:val="false"/>
                <w:smallCaps w:val="false"/>
              </w:rPr>
              <w:t> </w:t>
            </w:r>
          </w:p>
        </w:tc>
        <w:tc>
          <w:tcPr>
            <w:tcW w:w="18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per Share:</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caps w:val="false"/>
                <w:smallCaps w:val="false"/>
              </w:rPr>
            </w:pPr>
            <w:r>
              <w:rPr>
                <w:caps w:val="false"/>
                <w:smallCaps w:val="false"/>
              </w:rPr>
              <w:t> </w:t>
            </w:r>
          </w:p>
        </w:tc>
        <w:tc>
          <w:tcPr>
            <w:tcW w:w="18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60"/>
        <w:gridCol w:w="9510"/>
      </w:tblGrid>
      <w:tr>
        <w:trPr/>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____A.</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Enclosed is cash or my certified check, bank draft, or postal or express money order in the amount of $_______ in full/partial </w:t>
            </w:r>
            <w:r>
              <w:rPr>
                <w:rFonts w:ascii="Times New Roman;Times;Serif" w:hAnsi="Times New Roman;Times;Serif"/>
                <w:b/>
                <w:i w:val="false"/>
                <w:caps w:val="false"/>
                <w:smallCaps w:val="false"/>
                <w:sz w:val="20"/>
              </w:rPr>
              <w:t>[circle one]</w:t>
            </w:r>
            <w:r>
              <w:rPr>
                <w:rFonts w:ascii="Times New Roman;Times;Serif" w:hAnsi="Times New Roman;Times;Serif"/>
                <w:b w:val="false"/>
                <w:i w:val="false"/>
                <w:caps w:val="false"/>
                <w:smallCaps w:val="false"/>
                <w:sz w:val="20"/>
              </w:rPr>
              <w:t xml:space="preserve"> payment for such Shares; </w:t>
            </w:r>
          </w:p>
        </w:tc>
      </w:tr>
      <w:tr>
        <w:trPr/>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Enclosed is/are _______ Share(s) with a total fair market value of $  on the date hereof in full/partial </w:t>
            </w:r>
            <w:r>
              <w:rPr>
                <w:rFonts w:ascii="Times New Roman;Times;Serif" w:hAnsi="Times New Roman;Times;Serif"/>
                <w:b/>
                <w:i w:val="false"/>
                <w:caps w:val="false"/>
                <w:smallCaps w:val="false"/>
                <w:sz w:val="20"/>
              </w:rPr>
              <w:t>[circle one]</w:t>
            </w:r>
            <w:r>
              <w:rPr>
                <w:rFonts w:ascii="Times New Roman;Times;Serif" w:hAnsi="Times New Roman;Times;Serif"/>
                <w:b w:val="false"/>
                <w:i w:val="false"/>
                <w:caps w:val="false"/>
                <w:smallCaps w:val="false"/>
                <w:sz w:val="20"/>
              </w:rPr>
              <w:t xml:space="preserve"> payment for such Shares; </w:t>
            </w:r>
          </w:p>
        </w:tc>
      </w:tr>
      <w:tr>
        <w:trPr/>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____C.</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provided notice to _______ </w:t>
            </w:r>
            <w:r>
              <w:rPr>
                <w:rFonts w:ascii="Times New Roman;Times;Serif" w:hAnsi="Times New Roman;Times;Serif"/>
                <w:b/>
                <w:i w:val="false"/>
                <w:caps w:val="false"/>
                <w:smallCaps w:val="false"/>
                <w:sz w:val="20"/>
              </w:rPr>
              <w:t>[insert name of broker]</w:t>
            </w:r>
            <w:r>
              <w:rPr>
                <w:rFonts w:ascii="Times New Roman;Times;Serif" w:hAnsi="Times New Roman;Times;Serif"/>
                <w:b w:val="false"/>
                <w:i w:val="false"/>
                <w:caps w:val="false"/>
                <w:smallCaps w:val="false"/>
                <w:sz w:val="20"/>
              </w:rPr>
              <w:t xml:space="preserve">, a broker, who will render full/partial </w:t>
            </w:r>
            <w:r>
              <w:rPr>
                <w:rFonts w:ascii="Times New Roman;Times;Serif" w:hAnsi="Times New Roman;Times;Serif"/>
                <w:b/>
                <w:i w:val="false"/>
                <w:caps w:val="false"/>
                <w:smallCaps w:val="false"/>
                <w:sz w:val="20"/>
              </w:rPr>
              <w:t>[circle one]</w:t>
            </w:r>
            <w:r>
              <w:rPr>
                <w:rFonts w:ascii="Times New Roman;Times;Serif" w:hAnsi="Times New Roman;Times;Serif"/>
                <w:b w:val="false"/>
                <w:i w:val="false"/>
                <w:caps w:val="false"/>
                <w:smallCaps w:val="false"/>
                <w:sz w:val="20"/>
              </w:rPr>
              <w:t xml:space="preserve"> payment for such Shares. </w:t>
            </w:r>
            <w:r>
              <w:rPr>
                <w:rFonts w:ascii="Times New Roman;Times;Serif" w:hAnsi="Times New Roman;Times;Serif"/>
                <w:b/>
                <w:i w:val="false"/>
                <w:caps w:val="false"/>
                <w:smallCaps w:val="false"/>
                <w:sz w:val="20"/>
              </w:rPr>
              <w:t>[Optionee should attach to the notice of exercise provided to such broker a copy of this Notice of Exercise and irrevocable instructions to pay to the Company the full/partial (as elected above) exercise price.]</w:t>
            </w:r>
          </w:p>
        </w:tc>
      </w:tr>
      <w:tr>
        <w:trPr/>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elect to satisfy the payment for Shares purchased hereunder by having the Company withhold newly acquired Shares pursuant to the exercise of the Option. I understand that this will result in a “disqualifying disposition,” as described in Section 12 of my Incentive Stock Option Agreement.</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have the certificate or certificates representing the purchased Shares registered in the following name or names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____________ and sent to _________________.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 ,20___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may be registered in the name of the Optionee alone or in the joint names (with right of survivorship) of the Optionee and his or her spouse.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962" w:name="ex10-3.htm"/>
      <w:bookmarkStart w:id="963" w:name="ksex103"/>
      <w:bookmarkEnd w:id="962"/>
      <w:bookmarkEnd w:id="96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INCENTIVE STOCK AND AWARDS PLAN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NONQUALIFIED STOCK OPTION AGREEMENT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NONQUALIFIED STOCK OPTION AGREEMENT (the “Option Agreement”), dated as of [________] (the “Grant Date”), is between Harrow, Inc., a Delaware corporation (the “Company”), and [___________] (the “Optionee”), an employee or consultant of the Company or of a Subsidiary of the Company (a “Related Corporation”), pursuant to the Harrow, Inc. 2025 Incentive Stock and Awards Plan (the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give the Optionee the opportunity to purchase shares of common stock of the Company, par value $0.001 (“Common Shares”) in accordance with the provisions of the Plan, a copy of which is attached hereto;</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hereinafter set forth and for other good and valuable consideration, the parties hereto, intending to be legally bound hereby, agree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xml:space="preserve">. The Company hereby grants to the Optionee the right and option (the “Option”) to purchase all or any part of an aggregate of [Number of shares] Common Shares. The Option is in all respects limited and conditioned as hereinafter provided, and is subject in all respects to the terms and conditions of the Plan now in effect and as it may be amended from time to time (but only to the extent that such amendments apply to outstanding options). Such terms and conditions are incorporated herein by reference, made a part hereof, and shall control in the event of any conflict with any other terms of this Option Agreement. The Option granted hereunder is intended to be a nonqualified stock option (“NQSO”) and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an incentive stock option (“ISO”) as such term is defined in section 422 of the Internal Revenue Code of 1986, as amended (the “Code”).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of the Common Shares covered by this Option shall be [______] per share. It is the determination of the committee administering the Plan (the “Committee”) that on the Grant Date the exercise price was not less than the greater of (i) 100% of the “Fair Market Value” (as defined in the Plan) of a Common Share, or (ii) the par value of a Common Share.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Unless earlier terminated pursuant to any provision of the Plan or of this Option Agreement, this Option shall expire on [___________] (the “Expiration Date”). This Option shall not be exercisable on or after the Expiration Date.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______________</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The Optionee shall have the right to purchase Common Shares from the Company, on and after the dates per the vesting schedule, provided the Optionee has not terminated his or her service as of the applicable vesting date. The Committee may accelerate any exercise date of the Option, in its discretion, if it deems such acceleration to be desirable. Once the Option becomes exercisable, it will remain exercisable until it is exercised or until it terminates.</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Method of Exercising Option</w:t>
      </w:r>
      <w:r>
        <w:rPr>
          <w:rFonts w:ascii="Times New Roman;Times;Serif" w:hAnsi="Times New Roman;Times;Serif"/>
          <w:b w:val="false"/>
          <w:i w:val="false"/>
          <w:caps w:val="false"/>
          <w:smallCaps w:val="false"/>
          <w:sz w:val="20"/>
        </w:rPr>
        <w:t>. Subject to the terms and conditions of this Option Agreement and the Plan, the Option may be exercised by written notice to the Company at its principal office. The form of such notice is attached hereto and shall state the election to exercise the Option and the number of whole shares with respect to which it is being exercised; shall be signed by the person or persons so exercising the Option; and shall be accompanied by payment of the full exercise price of such shares. Only full shares will be issued.</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shall be paid to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cash, or by certified check, bank draft, or postal or express money order;</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through the delivery of Common Shares;</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delivering a properly executed notice of exercise of the Option to the Company and a broker, with irrevocable instructions to the broker promptly to deliver to the Company the amount necessary to pay the exercise price of the Option;</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Common Shares newly acquired by the Optionee upon the exercise of the Option; or</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any combination of (a), (b), (c), or (d) above.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exercise price is paid, in whole or in part, with Common Shares, the portion of the exercise price so paid shall be equal to the Fair Market Value of the Common Shares surrendered on the date of exercise.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notice of exercise and payment, the Company shall deliver a certificate or certificates representing the Common Shares with respect to which the Option is so exercised. The Optionee shall obtain the rights of a shareholder upon receipt of a certificate(s) representing such Common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certificate(s) shall be registered in the name of the person so exercising the Option (or, if the Option is exercised by the Optionee and if the Optionee so requests in the notice exercising the Option, shall be registered in the name of the Optionee and the Optionee’s spouse, jointly, with right of survivorship) and shall be delivered as provided above to, or upon the written order of, the person exercising the Option. In the event the Option is exercised by any person or persons after the death or disability (as determined in accordance with section 22(e)(3) of the Code) of the Optionee, the notice shall be accompanied by appropriate proof of the right of such person or persons to exercise the Option. All Common Shares that are purchased upon exercise of the Option as provided herein shall be fully paid and non-assessable.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the Option, Optionee shall be responsible for all employment and income taxes then or thereafter due (whether Federal, State or local), and if the Optionee does not remit to the Company sufficient cash (or, with the consent of the Committee, Common Shares to satisfy all applicable withholding requirements, the Company shall be entitled to satisfy any withholding requirements for any such tax by disposing of Common Shares at exercise, withholding cash from Optionee’s salary or other compensation or such other means as the Committee considers appropriate to the fullest extent permitted by applicable law. Nothing in the preceding sentence shall impair or limit the Company’s rights with respect to satisfying withholding obligations under Section 10 of the Plan.</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Transferability of Option</w:t>
      </w:r>
      <w:r>
        <w:rPr>
          <w:rFonts w:ascii="Times New Roman;Times;Serif" w:hAnsi="Times New Roman;Times;Serif"/>
          <w:b w:val="false"/>
          <w:i w:val="false"/>
          <w:caps w:val="false"/>
          <w:smallCaps w:val="false"/>
          <w:sz w:val="20"/>
        </w:rPr>
        <w:t>. This Option is not assignable or transferable, in whole or in part, by the Optionee other than by will or by the laws of descent and distribution. During the lifetime of the Optionee, the Option shall be exercisable only by the Optionee or, in the event of his or her disability, by his or her guardian or legal representative.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Termination of Service by Optionee</w:t>
      </w:r>
      <w:r>
        <w:rPr>
          <w:rFonts w:ascii="Times New Roman;Times;Serif" w:hAnsi="Times New Roman;Times;Serif"/>
          <w:b w:val="false"/>
          <w:i w:val="false"/>
          <w:caps w:val="false"/>
          <w:smallCaps w:val="false"/>
          <w:sz w:val="20"/>
        </w:rPr>
        <w:t>. If the Optionee’s service with the Company and all Related Corporations is terminated by the Optionee for any reason other than death or disability prior to the Expiration Date, this Option may be exercised, to the extent of the number of Common Shares with respect to which the Optionee could have exercised it on the date of such termination of service by the Optionee at any time prior to the earlier of (i) the Expiration Date or (ii) ninety (90) days after the date of such termination of service. Any part of the Option that was not exercisable immediately before the Optionee’s termination of service shall terminate at that time.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If the Optionee becomes disabled (as determined in accordance with section 22(e)(3) of the Code) during his or her service and, prior to the Expiration Date, the Optionee’s service is terminated as a consequence of such disability, this Option may be exercised, to the extent of the number of Common Shares with respect to which the Optionee could have exercised it on the date of such termination of service by the Optionee or by the optionee’s legal representative, at any time prior to the earlier of (i) the Expiration Date or (ii) ninety (90) days after such termination of service. Any part of the Option that was not exercisable immediately before the Optionee’s termination of service shall terminate at that time.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Termination of Service by Company without Cause or by Optionee with Good Reason</w:t>
      </w:r>
      <w:r>
        <w:rPr>
          <w:rFonts w:ascii="Times New Roman;Times;Serif" w:hAnsi="Times New Roman;Times;Serif"/>
          <w:b w:val="false"/>
          <w:i w:val="false"/>
          <w:caps w:val="false"/>
          <w:smallCaps w:val="false"/>
          <w:sz w:val="20"/>
        </w:rPr>
        <w:t>. If the Optionee’s service with the Company and all Related Corporations is terminated by the Company for any reason other than Cause (or is terminated by the Optionee for Good Reason) prior to the Expiration Date, this Option may be exercised, to the extent of the number of Common Shares with respect to which the Optionee could have exercised it on the date of such termination of employment by the Optionee at any time prior to the earlier of (i) the Expiration Date, or (ii) ninety (90) days after such termination of service. Any part of the Option that was not exercisable immediately before the Optionee’s termination of employment shall terminate at that time.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If the Optionee dies during his or her service and prior to the Expiration Date, or if the Optionee’s service is terminated for any reason (as described in Paragraphs 7, 8 and 9) and the Optionee dies following his or her termination of service but prior to the earlier of the Expiration Date or the expiration of the period determined under Paragraph 7, 8 or 9 (as applicable to the Optionee), this Option may be exercised, to the extent of the number of Common Shares with respect to which the Optionee could have exercised it on the date of his or her death by the Optionee’s estate, personal representative or beneficiary who acquired the right to exercise this Option by bequest or inheritance or by reason of the Optionee’s death, at any time prior to the earlier of (i) the Expiration Date or (ii) one year after the date of the Optionee’s death. Any part of the Option that was not exercisable immediately before the Optionee’s death shall terminate at that time.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with the Company and all Related Corporations is terminated by the Company for Cause prior to the Expiration Date, any unexercised portion of this Option shall immediately terminate at that time.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Securities Matters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at any time, counsel to the Company shall determine that the listing, registration or qualification of the Common Shares subject to the Option upon any securities exchange or under any state or federal law, or the consent or approval of any governmental or regulatory body, or that the disclosure of non-public information or the satisfaction of any other condition is necessary as a condition of, or in connection with, the issuance or purchase of Common Shares hereunder, such Option may not be exercised, in whole or in part, unless such listing, registration, qualification, consent or approval, or satisfaction of such condition shall have been effected or obtained on conditions acceptable to the Board of Directors. The Company shall be under no obligation to apply for or to obtain such listing, registration or qualification, or to satisfy such condition. The Committee shall inform the Optionee in writing of any decision to defer or prohibit the exercise of an Option. During the period that the effectiveness of the exercise of an Option has been deferred or prohibited, the Optionee may, by written notice, withdraw the Optionee’s decision to exercise and obtain a refund of any amount paid with respect thereto.</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require: (i) the Optionee (or any other person exercising the Option in the case of the Optionee’s death or Disability) as a condition of exercising the Option, to give written assurances, in substance and form satisfactory to the Company, to the effect that such person is acquiring the Common Shares subject to the Option for his or her own account for investment and not with any present intention of selling or otherwise distributing the same, and to make such other representations or covenants; and (ii) that any certificates for Common Shares delivered in connection with the exercise of the Option bear such legends, in each case as the Company deems necessary or appropriate, in order to comply with federal and applicable state securities laws, to comply with covenants or representations made by the Company in connection with any public offering of its Common Shares or otherwise. The Optionee specifically understands and agrees that the Common Shares, if and when issued upon exercise of the Option, may be “restricted securities,” as that term is defined in Rule 144 under the Securities Act of 1933 and, accordingly, the Optionee may be required to hold the shares indefinitely unless they are registered under such Securities Act of 1933, as amended, or an exemption from such registration is available.</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Optionee shall have no rights as a shareholder with respect to any Common Shares covered by the Option (including, without limitation, any rights to receive dividends or non-cash distributions with respect to such shares) until the date of issue of a stock certificate to the Optionee for such Common Shares. No adjustment shall be made for dividends or other rights for which the record date is prior to the date such stock certificate is issued.</w:t>
      </w:r>
    </w:p>
    <w:p>
      <w:pPr>
        <w:pStyle w:val="TextBody"/>
        <w:pBdr/>
        <w:bidi w:val="0"/>
        <w:spacing w:before="0" w:after="0"/>
        <w:ind w:left="0" w:right="0" w:firstLine="72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Option Agreement shall be governed by the applicable Code provisions to the maximum extent possible. Otherwise, the laws of the State of Delaware (without reference to the principles of conflict of laws) shall govern the operation of, and the rights of the Optionee under, the Plan and Options granted thereunder.</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Nonqualified Stock Option Agreement to be duly executed by its duly authorized officer, and the Optionee has hereunto set his or her hand and seal, all as of ____________.</w:t>
      </w:r>
    </w:p>
    <w:p>
      <w:pPr>
        <w:pStyle w:val="TextBody"/>
        <w:pBdr/>
        <w:bidi w:val="0"/>
        <w:spacing w:before="0" w:after="0"/>
        <w:ind w:left="0" w:right="0" w:hanging="0"/>
        <w:jc w:val="both"/>
        <w:rPr>
          <w:caps w:val="false"/>
          <w:smallCaps w:val="false"/>
        </w:rPr>
      </w:pPr>
      <w:r>
        <w:rPr>
          <w:caps w:val="false"/>
          <w:smallCaps w:val="false"/>
        </w:rPr>
        <w:t> </w:t>
      </w:r>
    </w:p>
    <w:tbl>
      <w:tblPr>
        <w:tblW w:w="1429" w:type="dxa"/>
        <w:jc w:val="left"/>
        <w:tblInd w:w="0" w:type="dxa"/>
        <w:tblLayout w:type="fixed"/>
        <w:tblCellMar>
          <w:top w:w="0" w:type="dxa"/>
          <w:left w:w="0" w:type="dxa"/>
          <w:bottom w:w="0" w:type="dxa"/>
          <w:right w:w="0" w:type="dxa"/>
        </w:tblCellMar>
      </w:tblPr>
      <w:tblGrid>
        <w:gridCol w:w="75"/>
        <w:gridCol w:w="631"/>
        <w:gridCol w:w="7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72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1" w:type="dxa"/>
            <w:tcBorders/>
            <w:vAlign w:val="center"/>
          </w:tcPr>
          <w:p>
            <w:pPr>
              <w:pStyle w:val="TableContents"/>
              <w:bidi w:val="0"/>
              <w:spacing w:before="0" w:after="283"/>
              <w:jc w:val="both"/>
              <w:rPr>
                <w:caps w:val="false"/>
                <w:smallCaps w:val="false"/>
              </w:rPr>
            </w:pPr>
            <w:r>
              <w:rPr>
                <w:caps w:val="false"/>
                <w:smallCaps w:val="false"/>
              </w:rPr>
              <w:t> </w:t>
            </w:r>
          </w:p>
        </w:tc>
        <w:tc>
          <w:tcPr>
            <w:tcW w:w="7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2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Optionee</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INCENTIVE STOCK AND AWARDS PLAN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Exercise of Nonqualified Stock Option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exercise the nonqualified stock option granted to me pursuant to the Nonqualified Stock Option Agreement dated as of ________________, by Harrow, Inc. (the “Company”), with respect to the following number of shares of the Company’s common stock (“Shares”), par value $0.001 per Share, covered by said option:</w:t>
      </w:r>
    </w:p>
    <w:p>
      <w:pPr>
        <w:pStyle w:val="TextBody"/>
        <w:pBdr/>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2795"/>
        <w:gridCol w:w="1955"/>
      </w:tblGrid>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to be purchased:</w:t>
            </w:r>
          </w:p>
        </w:tc>
        <w:tc>
          <w:tcPr>
            <w:tcW w:w="1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per Share: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$________________</w:t>
            </w:r>
          </w:p>
        </w:tc>
      </w:tr>
      <w:tr>
        <w:trPr/>
        <w:tc>
          <w:tcPr>
            <w:tcW w:w="75"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$________________</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
        <w:gridCol w:w="60"/>
        <w:gridCol w:w="9465"/>
      </w:tblGrid>
      <w:tr>
        <w:trPr/>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A.</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Enclosed is cash or my certified check, bank draft, or postal or express money order in the amount of $________in full/partial </w:t>
            </w:r>
            <w:r>
              <w:rPr>
                <w:rFonts w:ascii="Times New Roman;Times;Serif" w:hAnsi="Times New Roman;Times;Serif"/>
                <w:b/>
                <w:i w:val="false"/>
                <w:caps w:val="false"/>
                <w:smallCaps w:val="false"/>
                <w:sz w:val="20"/>
              </w:rPr>
              <w:t>[circle one]</w:t>
            </w:r>
            <w:r>
              <w:rPr>
                <w:rFonts w:ascii="Times New Roman;Times;Serif" w:hAnsi="Times New Roman;Times;Serif"/>
                <w:b w:val="false"/>
                <w:i w:val="false"/>
                <w:caps w:val="false"/>
                <w:smallCaps w:val="false"/>
                <w:sz w:val="20"/>
              </w:rPr>
              <w:t xml:space="preserve"> payment for such Shares;</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B.</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Enclosed is/are Share(s) with a total fair market value of $_________ on the date hereof in full/partial </w:t>
            </w:r>
            <w:r>
              <w:rPr>
                <w:rFonts w:ascii="Times New Roman;Times;Serif" w:hAnsi="Times New Roman;Times;Serif"/>
                <w:b/>
                <w:i w:val="false"/>
                <w:caps w:val="false"/>
                <w:smallCaps w:val="false"/>
                <w:sz w:val="20"/>
              </w:rPr>
              <w:t>[circle one]</w:t>
            </w:r>
            <w:r>
              <w:rPr>
                <w:rFonts w:ascii="Times New Roman;Times;Serif" w:hAnsi="Times New Roman;Times;Serif"/>
                <w:b w:val="false"/>
                <w:i w:val="false"/>
                <w:caps w:val="false"/>
                <w:smallCaps w:val="false"/>
                <w:sz w:val="20"/>
              </w:rPr>
              <w:t xml:space="preserve"> payment for such Shares;</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C.</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provided notice to _______________</w:t>
            </w:r>
            <w:r>
              <w:rPr>
                <w:rFonts w:ascii="Times New Roman;Times;Serif" w:hAnsi="Times New Roman;Times;Serif"/>
                <w:b/>
                <w:i w:val="false"/>
                <w:caps w:val="false"/>
                <w:smallCaps w:val="false"/>
                <w:sz w:val="20"/>
              </w:rPr>
              <w:t>[insert name of broker]</w:t>
            </w:r>
            <w:r>
              <w:rPr>
                <w:rFonts w:ascii="Times New Roman;Times;Serif" w:hAnsi="Times New Roman;Times;Serif"/>
                <w:b w:val="false"/>
                <w:i w:val="false"/>
                <w:caps w:val="false"/>
                <w:smallCaps w:val="false"/>
                <w:sz w:val="20"/>
              </w:rPr>
              <w:t xml:space="preserve">, a broker, who will render full/partial </w:t>
            </w:r>
            <w:r>
              <w:rPr>
                <w:rFonts w:ascii="Times New Roman;Times;Serif" w:hAnsi="Times New Roman;Times;Serif"/>
                <w:b/>
                <w:i w:val="false"/>
                <w:caps w:val="false"/>
                <w:smallCaps w:val="false"/>
                <w:sz w:val="20"/>
              </w:rPr>
              <w:t>[circle one]</w:t>
            </w:r>
            <w:r>
              <w:rPr>
                <w:rFonts w:ascii="Times New Roman;Times;Serif" w:hAnsi="Times New Roman;Times;Serif"/>
                <w:b w:val="false"/>
                <w:i w:val="false"/>
                <w:caps w:val="false"/>
                <w:smallCaps w:val="false"/>
                <w:sz w:val="20"/>
              </w:rPr>
              <w:t xml:space="preserve"> payment for such Shares. </w:t>
            </w:r>
            <w:r>
              <w:rPr>
                <w:rFonts w:ascii="Times New Roman;Times;Serif" w:hAnsi="Times New Roman;Times;Serif"/>
                <w:b/>
                <w:i w:val="false"/>
                <w:caps w:val="false"/>
                <w:smallCaps w:val="false"/>
                <w:sz w:val="20"/>
              </w:rPr>
              <w:t>[Optionee should attach to the notice of exercise provided to such broker a copy of this Notice of Exercise and irrevocable instructions to pay to the Company the full/partial (as elected above) exercise price.]</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and/or</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D.</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elect to satisfy the payment for Shares purchased hereunder by having the Company withhold newly acquired Shares pursuant to the exercise of the Option. I understand that this will result in a “disqualifying disposition,” as described in Section 12 of my Incentive Stock Option Agreement.</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have the certificate or certificates representing the purchased Shares registered in the following name or names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____________ and sent to _________________.</w:t>
            </w:r>
          </w:p>
        </w:tc>
      </w:tr>
    </w:tbl>
    <w:p>
      <w:pPr>
        <w:pStyle w:val="TextBody"/>
        <w:pBdr/>
        <w:bidi w:val="0"/>
        <w:spacing w:before="0" w:after="0"/>
        <w:ind w:left="0" w:right="0" w:hanging="0"/>
        <w:jc w:val="left"/>
        <w:rPr>
          <w:caps w:val="false"/>
          <w:smallCaps w:val="false"/>
        </w:rPr>
      </w:pPr>
      <w:r>
        <w:rPr>
          <w:caps w:val="false"/>
          <w:smallCaps w:val="false"/>
        </w:rPr>
        <w:t> </w:t>
      </w:r>
    </w:p>
    <w:tbl>
      <w:tblPr>
        <w:tblW w:w="5019" w:type="dxa"/>
        <w:jc w:val="left"/>
        <w:tblInd w:w="0" w:type="dxa"/>
        <w:tblLayout w:type="fixed"/>
        <w:tblCellMar>
          <w:top w:w="0" w:type="dxa"/>
          <w:left w:w="0" w:type="dxa"/>
          <w:bottom w:w="0" w:type="dxa"/>
          <w:right w:w="0" w:type="dxa"/>
        </w:tblCellMar>
      </w:tblPr>
      <w:tblGrid>
        <w:gridCol w:w="3155"/>
        <w:gridCol w:w="60"/>
        <w:gridCol w:w="575"/>
        <w:gridCol w:w="575"/>
        <w:gridCol w:w="579"/>
        <w:gridCol w:w="75"/>
      </w:tblGrid>
      <w:tr>
        <w:trPr/>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_____________ , 20 _______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caps w:val="false"/>
                <w:smallCaps w:val="false"/>
              </w:rPr>
            </w:pPr>
            <w:r>
              <w:rPr>
                <w:caps w:val="false"/>
                <w:smallCaps w:val="false"/>
              </w:rPr>
              <w:t> </w:t>
            </w:r>
          </w:p>
        </w:tc>
        <w:tc>
          <w:tcPr>
            <w:tcW w:w="579"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29" w:type="dxa"/>
            <w:gridSpan w:val="3"/>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Optionee’s Signature</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may be registered in the name of the Optionee alone or in the joint names (with right of survivorship) of the Optionee and his or her spouse.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964" w:name="ex10-4.htm"/>
      <w:bookmarkStart w:id="965" w:name="ksex104"/>
      <w:bookmarkEnd w:id="964"/>
      <w:bookmarkEnd w:id="96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HARROW,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2025 INCENTIVE STOCK AND AWARDS 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NOTICE OF Restricted Stock Unit AWARD</w:t>
      </w:r>
    </w:p>
    <w:p>
      <w:pPr>
        <w:pStyle w:val="TextBody"/>
        <w:bidi w:val="0"/>
        <w:spacing w:before="0" w:after="0"/>
        <w:ind w:left="0" w:right="0" w:hanging="0"/>
        <w:jc w:val="center"/>
        <w:rPr>
          <w:caps/>
        </w:rPr>
      </w:pPr>
      <w:r>
        <w:rPr>
          <w:caps/>
        </w:rPr>
        <w:t> </w:t>
      </w:r>
    </w:p>
    <w:tbl>
      <w:tblPr>
        <w:tblW w:w="2600" w:type="dxa"/>
        <w:jc w:val="left"/>
        <w:tblInd w:w="0" w:type="dxa"/>
        <w:tblLayout w:type="fixed"/>
        <w:tblCellMar>
          <w:top w:w="0" w:type="dxa"/>
          <w:left w:w="0" w:type="dxa"/>
          <w:bottom w:w="0" w:type="dxa"/>
          <w:right w:w="0" w:type="dxa"/>
        </w:tblCellMar>
      </w:tblPr>
      <w:tblGrid>
        <w:gridCol w:w="2405"/>
        <w:gridCol w:w="60"/>
        <w:gridCol w:w="135"/>
      </w:tblGrid>
      <w:tr>
        <w:trPr/>
        <w:tc>
          <w:tcPr>
            <w:tcW w:w="2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Name and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(the “Grantee”) have been granted an award of Restricted Stock Units (the “Award”), subject to the terms and conditions of this Notice of Restricted Stock Unit Award (the “Notice”), the Harrow, Inc. 2025 Incentive Stock and Awards Plan, as amended from time to time (the “Plan”) and the Restricted Stock Unit Agreement (the “Agreement”) attached hereto, as follows. Unless otherwise provided herein, the terms in this Notice shall have the same meaning as those defined in the Plan.</w:t>
      </w:r>
    </w:p>
    <w:p>
      <w:pPr>
        <w:pStyle w:val="TextBody"/>
        <w:bidi w:val="0"/>
        <w:spacing w:before="0" w:after="0"/>
        <w:ind w:left="0" w:right="0" w:firstLine="72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2750"/>
        <w:gridCol w:w="60"/>
        <w:gridCol w:w="135"/>
      </w:tblGrid>
      <w:tr>
        <w:trPr/>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Award Number</w:t>
            </w:r>
          </w:p>
        </w:tc>
        <w:tc>
          <w:tcPr>
            <w:tcW w:w="60" w:type="dxa"/>
            <w:tcBorders/>
            <w:vAlign w:val="center"/>
          </w:tcPr>
          <w:p>
            <w:pPr>
              <w:pStyle w:val="TableContents"/>
              <w:bidi w:val="0"/>
              <w:spacing w:before="0" w:after="283"/>
              <w:jc w:val="left"/>
              <w:rPr/>
            </w:pPr>
            <w:r>
              <w:rPr/>
              <w:t>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of Award </w:t>
            </w:r>
          </w:p>
        </w:tc>
        <w:tc>
          <w:tcPr>
            <w:tcW w:w="60" w:type="dxa"/>
            <w:tcBorders/>
            <w:vAlign w:val="center"/>
          </w:tcPr>
          <w:p>
            <w:pPr>
              <w:pStyle w:val="TableContents"/>
              <w:bidi w:val="0"/>
              <w:spacing w:before="0" w:after="283"/>
              <w:jc w:val="left"/>
              <w:rPr/>
            </w:pPr>
            <w:r>
              <w:rPr/>
              <w:t> </w:t>
            </w:r>
          </w:p>
        </w:tc>
        <w:tc>
          <w:tcPr>
            <w:tcW w:w="1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Commencement Date</w:t>
            </w:r>
          </w:p>
        </w:tc>
        <w:tc>
          <w:tcPr>
            <w:tcW w:w="60" w:type="dxa"/>
            <w:tcBorders/>
            <w:vAlign w:val="center"/>
          </w:tcPr>
          <w:p>
            <w:pPr>
              <w:pStyle w:val="TableContents"/>
              <w:bidi w:val="0"/>
              <w:spacing w:before="0" w:after="283"/>
              <w:jc w:val="left"/>
              <w:rPr/>
            </w:pPr>
            <w:r>
              <w:rPr/>
              <w:t> </w:t>
            </w:r>
          </w:p>
        </w:tc>
        <w:tc>
          <w:tcPr>
            <w:tcW w:w="1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Restricted Stock</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 Awarded (the “Units”)</w:t>
            </w:r>
          </w:p>
        </w:tc>
        <w:tc>
          <w:tcPr>
            <w:tcW w:w="60" w:type="dxa"/>
            <w:tcBorders/>
            <w:vAlign w:val="center"/>
          </w:tcPr>
          <w:p>
            <w:pPr>
              <w:pStyle w:val="TableContents"/>
              <w:bidi w:val="0"/>
              <w:spacing w:before="0" w:after="283"/>
              <w:jc w:val="left"/>
              <w:rPr/>
            </w:pPr>
            <w:r>
              <w:rPr/>
              <w:t>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Grantee continuing to be employed by or provide service to the Company or any Subsidiary and other limitations set forth in this Notice, the Agreement and the Plan, the Units will “vest” in accordance with the following schedule (the “Vesting Schedule”):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Grantee’s change in status from an employee to a consultant or nonemployee director, the determination of whether such change in status results in a termination of employment or service will be determined in accordance with Section 409A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Notice and the Agreement, the term “vest” shall mean, with respect to any Units, that such Units are no longer subject to forfeiture to the Company. If the Grantee would become vested in a fraction of a Unit, such Unit shall not vest until the Grantee becomes vested in the entire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shall cease upon the date the Grantee terminates employment or service with the Company or any Subsidiary for any reason, including death or Disability. In the event the Grantee terminates employment or service for any reason, including death or Disability, any unvested Units held by the Grantee immediately upon such termination of the Grantee’s employment or service shall be forfeited and deemed reconveyed to the Company and the Company shall thereafter be the legal and beneficial owner of such reconveyed Units and shall have all rights and interest in or related thereto without further action by the Grantee.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the Grantee have executed this Notice and agree that the Award is to be governed by the terms and conditions of this Notice, the Plan, and the Agreement.</w:t>
      </w:r>
    </w:p>
    <w:p>
      <w:pPr>
        <w:pStyle w:val="TextBody"/>
        <w:bidi w:val="0"/>
        <w:spacing w:before="0" w:after="0"/>
        <w:jc w:val="center"/>
        <w:rPr>
          <w:caps w:val="false"/>
          <w:smallCaps w:val="false"/>
        </w:rPr>
      </w:pPr>
      <w:r>
        <w:rPr>
          <w:caps w:val="false"/>
          <w:smallCaps w:val="false"/>
        </w:rPr>
        <w:t> </w:t>
      </w:r>
    </w:p>
    <w:tbl>
      <w:tblPr>
        <w:tblW w:w="1984" w:type="dxa"/>
        <w:jc w:val="left"/>
        <w:tblInd w:w="0" w:type="dxa"/>
        <w:tblLayout w:type="fixed"/>
        <w:tblCellMar>
          <w:top w:w="0" w:type="dxa"/>
          <w:left w:w="0" w:type="dxa"/>
          <w:bottom w:w="0" w:type="dxa"/>
          <w:right w:w="0" w:type="dxa"/>
        </w:tblCellMar>
      </w:tblPr>
      <w:tblGrid>
        <w:gridCol w:w="75"/>
        <w:gridCol w:w="891"/>
        <w:gridCol w:w="10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caps w:val="false"/>
                <w:smallCaps w:val="false"/>
              </w:rPr>
            </w:pPr>
            <w:r>
              <w:rPr>
                <w:caps w:val="false"/>
                <w:smallCaps w:val="false"/>
              </w:rPr>
              <w:t> </w:t>
            </w:r>
          </w:p>
        </w:tc>
        <w:tc>
          <w:tcPr>
            <w:tcW w:w="10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0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0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ACKNOWLEDGES AND AGREES THAT THE UNITS SHALL VEST, IF AT ALL, ONLY DURING THE PERIOD OF THE GRANTEE’S EMPLOYMENT OR SERVICE WITH THE COMPANY OR A SUBSIDIARY OR AS OTHERWISE SPECIFICALLY PROVIDED HEREIN (NOT THROUGH THE ACT OF BEING HIRED, BEING GRANTED THIS AWARD OR ACQUIRING SHARES HEREUNDER). THE GRANTEE FURTHER ACKNOWLEDGES AND AGREES THAT NOTHING IN THIS NOTICE, THE AGREEMENT, NOR IN THE PLAN, SHALL CONFER UPON THE GRANTEE ANY RIGHT WITH RESPECT TO CONTINUATION OF THE GRANTEE’S EMPLOYMENT OR SERVICE, NOR SHALL IT INTERFERE IN ANY WAY WITH THE GRANTEE’S RIGHT OR THE COMPANY’S RIGHT TO TERMINATE THE GRANTEE’S EMPLOYMENT OR SERVICE AT ANY TIME, WITH OR WITHOUT CAUSE, AND WITH OR WITHOUT NOTICE. THE GRANTEE ACKNOWLEDGES THAT UNLESS THE GRANTEE HAS A WRITTEN EMPLOYMENT AGREEMENT WITH THE COMPANY TO THE CONTRARY, THE GRANTEE’S STATUS IS AT WILL.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Grantee Acknowledges and Agrees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acknowledges receipt of a copy of the Plan and the Agreement and represents that he or she is familiar with the terms and provisions thereof, and hereby accepts the Award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further agrees and acknowledges that this Award is a non-elective arrangement pursuant to Section 409A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further acknowledges that, from time to time, the Company may be in a “blackout period” and/or subject to applicable federal securities laws that could subject the Grantee to liability for engaging in any transaction involving the sale of the Company’s Shares. The Grantee further acknowledges and agrees that, prior to the sale of any Shares acquired under this Award, it is the Grantee’s responsibility to determine whether or not such sale of Shares will subject the Grantee to liability under insider trading rules or other applicable federal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that the Award is subject to the Grantee’s consent to access this Notice, the Agreement, the Plan and the Plan prospectus (collectively, the “Plan Documents”) in electronic form on the Company’s intranet or the website of the Company’s designated brokerage firm, if applicable. By signing below (or providing an electronic signature by clicking below) and accepting the grant of the Award, the Grantee: (i) consents to access electronic copies (instead of receiving paper copies) of the Plan Documents via the Company’s intranet or the website of the Company’s designated brokerage firm, if applicable; (ii) represents that the Grantee has access to the Company’s intranet [or the website of the Company’s designated brokerage firm, if applicable]; (iii) acknowledges receipt of electronic copies, or that the Grantee is already in possession of paper copies, of the Plan Documents; and (iv) acknowledges that the Grantee is familiar with and accepts the Award subject to the terms and provisions of the Plan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its sole discretion, decide to deliver any Plan Documents by electronic means or request the Grantee’s consent to participate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hereby agrees that all questions of interpretation and administration relating to this Notice, the Plan and the Agreement shall be resolved by the Administrator in accordance with Section 8 of the Agreement. The Grantee further agrees to the venue and jurisdiction selection in accordance with Section 9 of the Agreement. The Grantee further agrees to notify the Company upon any change in his or her residence address indicated in this Notice.</w:t>
      </w:r>
    </w:p>
    <w:p>
      <w:pPr>
        <w:pStyle w:val="TextBody"/>
        <w:bidi w:val="0"/>
        <w:spacing w:before="0" w:after="0"/>
        <w:ind w:left="0" w:right="0" w:firstLine="72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470"/>
        <w:gridCol w:w="18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Signature</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Printed Name</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&amp; Zip</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 Number: __________________</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INCENTIVE STOCK AND AWARDS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RESTRICTED STOCK UNIT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of Units</w:t>
      </w:r>
      <w:r>
        <w:rPr>
          <w:rFonts w:ascii="Times New Roman;Times;Serif" w:hAnsi="Times New Roman;Times;Serif"/>
          <w:b w:val="false"/>
          <w:i w:val="false"/>
          <w:caps w:val="false"/>
          <w:smallCaps w:val="false"/>
          <w:sz w:val="20"/>
        </w:rPr>
        <w:t>. Harrow, Inc., a Delaware corporation (the “Company”), hereby issues to the Grantee (the “Grantee”) named in the Notice of Restricted Stock Unit Award (the “Notice”) an award (the “Award”) of the Total Number of Restricted Stock Units Awarded set forth in the Notice (the “Units”), subject to the Notice, this Restricted Stock Unit Agreement (the “Agreement”) and the terms and provisions of the Harrow, Inc. 2025 Incentive Stock and Awards Plan, as amended from time to time (the “Plan”), which is incorporated herein by reference. Unless otherwise provided herein, the terms in this Agreement shall have the same meaning as those defined in the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The Units may not be transferred in any manner other than by will or by the laws of descent and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Units and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Subject to Sections 3(b) and 3(c), one share of Common Stock shall be issuable for each Unit subject to the Award (the “Shares”) upon vesting. Immediately prior to the specified effective date of a Change in Control (each as defined in the Plan) and subject to Sections 3(b) and 3(c), vesting shall accelerate and one Share shall be issuable for each Unit subject to the Award. Immediately thereafter, or as soon as administratively feasible, the Company will transfer the appropriate number of Shares to the Grantee after satisfaction of any required tax or other withholding obligations. Any fractional Unit remaining after the Award is fully vested shall be discarded and shall not be converted into a fractional Share. Notwithstanding the foregoing, the relevant number of Shares shall be issued no later than March 15th of the year following the calendar year in which the Award vests.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Delay of Conversion</w:t>
      </w:r>
      <w:r>
        <w:rPr>
          <w:rFonts w:ascii="Times New Roman;Times;Serif" w:hAnsi="Times New Roman;Times;Serif"/>
          <w:b w:val="false"/>
          <w:i w:val="false"/>
          <w:caps w:val="false"/>
          <w:smallCaps w:val="false"/>
          <w:sz w:val="20"/>
        </w:rPr>
        <w:t>. The conversion of the Units into the Shares under Section 3(a) above, shall be delayed in the event the Company reasonably anticipates that the issuance of the Shares would constitute a violation of federal securities laws or other applicable law. If the conversion of the Units into the Shares is delayed by the provisions of this Section 3(b), the conversion of the Units into the Shares shall occur at the earliest date at which the Company reasonably anticipates issuing the Shares will not cause a violation of federal securities laws or other applicable law. For purposes of this Section 3(b), the issuance of Shares that would cause inclusion in gross income or the application of any penalty provision or other provision of the Code is not considered a violation of applicable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Delay of Issuance of Shares</w:t>
      </w:r>
      <w:r>
        <w:rPr>
          <w:rFonts w:ascii="Times New Roman;Times;Serif" w:hAnsi="Times New Roman;Times;Serif"/>
          <w:b w:val="false"/>
          <w:i w:val="false"/>
          <w:caps w:val="false"/>
          <w:smallCaps w:val="false"/>
          <w:sz w:val="20"/>
        </w:rPr>
        <w:t>. The Company shall delay the issuance of any Shares under this Section 3 to the extent necessary to comply with Section 409A(a)(2)(B)(i) of the Code (relating to payments made to certain “specified employees” of certain publicly-traded companies); in such event, any Shares to which the Grantee would otherwise be entitled during the six (6) month period following the date of the Grantee’s termination of employment or service with the Company or a Subsidiary will be issuable on the first business day following the expiration of such six (6) month period.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 to Shares</w:t>
      </w:r>
      <w:r>
        <w:rPr>
          <w:rFonts w:ascii="Times New Roman;Times;Serif" w:hAnsi="Times New Roman;Times;Serif"/>
          <w:b w:val="false"/>
          <w:i w:val="false"/>
          <w:caps w:val="false"/>
          <w:smallCaps w:val="false"/>
          <w:sz w:val="20"/>
        </w:rPr>
        <w:t>. The Grantee shall not have any right in, to or with respect to any of the Shares (including any voting rights or rights with respect to dividends paid on the Common Stock) issuable under the Award until the Award is settled by the issuance of such Shares to the Grantee.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Tax Liability</w:t>
      </w:r>
      <w:r>
        <w:rPr>
          <w:rFonts w:ascii="Times New Roman;Times;Serif" w:hAnsi="Times New Roman;Times;Serif"/>
          <w:b w:val="false"/>
          <w:i w:val="false"/>
          <w:caps w:val="false"/>
          <w:smallCaps w:val="false"/>
          <w:sz w:val="20"/>
        </w:rPr>
        <w:t>. The Grantee is ultimately liable and responsible for all taxes owed by the Grantee in connection with the Award, regardless of any action the Company or any Subsidiary takes with respect to any tax withholding obligations that arise in connection with the Award. Neither the Company nor any Subsidiary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Withholding Taxes</w:t>
      </w:r>
      <w:r>
        <w:rPr>
          <w:rFonts w:ascii="Times New Roman;Times;Serif" w:hAnsi="Times New Roman;Times;Serif"/>
          <w:b w:val="false"/>
          <w:i w:val="false"/>
          <w:caps w:val="false"/>
          <w:smallCaps w:val="false"/>
          <w:sz w:val="20"/>
        </w:rPr>
        <w:t>. Prior to any event in connection with the Award (e.g., vesting) that the Company determines may result in any tax withholding obligation, whether United States federal, state, local or non-U.S., including any social insurance, employment tax, payment on account or other tax-related obligation (the “Tax Withholding Obligation”), the Grantee must arrange for the satisfaction of the minimum amount of such Tax Withholding Obligation in a manner acceptable to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By Share Withholding.</w:t>
      </w:r>
      <w:r>
        <w:rPr>
          <w:rFonts w:ascii="Times New Roman;Times;Serif" w:hAnsi="Times New Roman;Times;Serif"/>
          <w:b w:val="false"/>
          <w:i w:val="false"/>
          <w:caps w:val="false"/>
          <w:smallCaps w:val="false"/>
          <w:sz w:val="20"/>
        </w:rPr>
        <w:t xml:space="preserve"> If permissible under applicable law, the Grantee authorizes the Company to, upon the exercise of its sole discretion, withhold from those Shares otherwise issuable to the Grantee the whole number of Shares sufficient to satisfy the minimum applicable Tax Withholding Obligation. The Grantee acknowledges that the withheld Shares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withholding of Shares described above.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By Sale of Shares</w:t>
      </w:r>
      <w:r>
        <w:rPr>
          <w:rFonts w:ascii="Times New Roman;Times;Serif" w:hAnsi="Times New Roman;Times;Serif"/>
          <w:b w:val="false"/>
          <w:i w:val="false"/>
          <w:caps w:val="false"/>
          <w:smallCaps w:val="false"/>
          <w:sz w:val="20"/>
        </w:rPr>
        <w:t>. Unless the Grantee determines to satisfy the Tax Withholding Obligation by some other means in accordance with clause (iii) below, the Grantee’s acceptance of this Award constitutes the Grantee’s instruction and authorization to the Company and any brokerage firm determined acceptable to the Company for such purpose to, upon the exercise of Company’s sole discretion, sell on the Grantee’s behalf a whole number of Shares from those Shares issuable to the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The Grantee will be responsible for all broker’s fees and other costs of sale, and the Grantee agrees to indemnify and hold the Company harmless from any losses, costs, damages, or expenses relating to any such sale. To the extent the proceeds of such sale exceed the Grantee’s minimum Tax Withholding Obligation, the Company agrees to pay such excess in cash to the Grantee. The Grantee acknowledges that the Company or its designee is under no obligation to arrange for such sale at any particular price, and that the proceeds of any such sale may not be sufficient to satisfy the Grantee’s minimum Tax Withholding Obligation. Accordingly, the Grantee agrees to pay to the Company or any Subsidiary as soon as practicable, including through additional payroll withholding, any amount of the Tax Withholding Obligation that is not satisfied by the sale of Shares described above.</w:t>
      </w:r>
    </w:p>
    <w:p>
      <w:pPr>
        <w:pStyle w:val="TextBody"/>
        <w:bidi w:val="0"/>
        <w:spacing w:before="0" w:after="0"/>
        <w:ind w:left="0" w:right="0" w:firstLine="21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By Check, Wire Transfer or Other Means</w:t>
      </w:r>
      <w:r>
        <w:rPr>
          <w:rFonts w:ascii="Times New Roman;Times;Serif" w:hAnsi="Times New Roman;Times;Serif"/>
          <w:b w:val="false"/>
          <w:i w:val="false"/>
          <w:caps w:val="false"/>
          <w:smallCaps w:val="false"/>
          <w:sz w:val="20"/>
        </w:rPr>
        <w:t>. At any time not less than five (5) business days (or such fewer number of business days as determined by the Administrator) before any Tax Withholding Obligation arises (e.g., a vesting date),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or a Subsidiary also may satisfy any Tax Withholding Obligation by offsetting any amounts (including, but not limited to, salary, bonus and severance payments) payable to the Grantee by the Company and/or a Subsidiary.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These agreements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Should any provision of the Notice or this Agreement be determined to be illegal or unenforceable, the other provisions shall nevertheless remain effective and shall remain 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Administration and Interpretation</w:t>
      </w:r>
      <w:r>
        <w:rPr>
          <w:rFonts w:ascii="Times New Roman;Times;Serif" w:hAnsi="Times New Roman;Times;Serif"/>
          <w:b w:val="false"/>
          <w:i w:val="false"/>
          <w:caps w:val="false"/>
          <w:smallCaps w:val="false"/>
          <w:sz w:val="20"/>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Venue and Jurisdiction</w:t>
      </w:r>
      <w:r>
        <w:rPr>
          <w:rFonts w:ascii="Times New Roman;Times;Serif" w:hAnsi="Times New Roman;Times;Serif"/>
          <w:b w:val="false"/>
          <w:i w:val="false"/>
          <w:caps w:val="false"/>
          <w:smallCaps w:val="false"/>
          <w:sz w:val="20"/>
        </w:rPr>
        <w:t>. The parties agree that any suit, action, or proceeding arising out of or relating to the Notice, the Plan or this Agreement shall be brought exclusively in the United States District Court for the Middle District of Tennessee (or should such court lack jurisdiction to hear such action, suit or proceeding, in a Tennessee state court in the County of Davidson)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9 shall for any reason be held invalid or unenforceable, it is the specific intent of the parties that such provisions shall be modified to the minimum extent necessary to make it or its application valid and 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If the Grantee has received this Agreement or any other document related to the Plan translated into a language other than English and if the translated version is different than the English version, the English version will control, unless otherwise prescribed by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Amendment and Delay to Meet the Requirements of Section 409A</w:t>
      </w:r>
      <w:r>
        <w:rPr>
          <w:rFonts w:ascii="Times New Roman;Times;Serif" w:hAnsi="Times New Roman;Times;Serif"/>
          <w:b w:val="false"/>
          <w:i w:val="false"/>
          <w:caps w:val="false"/>
          <w:smallCaps w:val="false"/>
          <w:sz w:val="20"/>
        </w:rPr>
        <w:t>. The Grantee acknowledges that the Company, in the exercise of its sole discretion and without the consent of the Grantee, may amend or modify this Agreement in any manner and delay the issuance of any Shares issuable pursuant to this Agreement to the minimum extent necessary to meet the requirements of Section 409A of the Code as amplified by any Treasury regulations or guidance from the Internal Revenue Service as the Company deems appropriate or advisable. In addition, the Company makes no representation that the Award will comply with Section 409A of the Code and makes no undertaking to prevent Section 409A of the Code from applying to the Award or to mitigate its effects on any deferrals or payments made in respect of the Units. The Grantee is encouraged to consult a tax adviser regarding the potential impact of Section 409A of the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 OF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bookmarkStart w:id="966" w:name="ex31-1.htm"/>
      <w:bookmarkStart w:id="967" w:name="ksex311"/>
      <w:bookmarkEnd w:id="966"/>
      <w:bookmarkEnd w:id="96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Mark L. Baum,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865"/>
        <w:gridCol w:w="224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2025</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68" w:name="ex31-2.htm"/>
      <w:bookmarkStart w:id="969" w:name="ksex312"/>
      <w:bookmarkEnd w:id="968"/>
      <w:bookmarkEnd w:id="9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Andrew R. Boll,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865"/>
        <w:gridCol w:w="365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2025</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70" w:name="ex32-1.htm"/>
      <w:bookmarkStart w:id="971" w:name="ksex321"/>
      <w:bookmarkEnd w:id="970"/>
      <w:bookmarkEnd w:id="9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REQUIRED 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OF TITLE 18 OF THE UNITED STATES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June 30, 2025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firstLine="72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2025</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3755"/>
        <w:gridCol w:w="75"/>
      </w:tblGrid>
      <w:tr>
        <w:trPr/>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2025</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0214/000149315223034832/ex3-1.htm" TargetMode="External"/><Relationship Id="rId3" Type="http://schemas.openxmlformats.org/officeDocument/2006/relationships/hyperlink" Target="https://www.sec.gov/Archives/edgar/data/1360214/000149315223034832/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31274</Words>
  <Characters>170794</Characters>
  <CharactersWithSpaces>204368</CharactersWithSpaces>
  <Paragraphs>8314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